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Override ContentType="application/vnd.openxmlformats-officedocument.wordprocessingml.header+xml" PartName="/word/header2.xml"/>
  <Override ContentType="application/vnd.openxmlformats-officedocument.wordprocessingml.footer+xml" PartName="/word/footer2.xml"/>
  <Override ContentType="application/vnd.openxmlformats-officedocument.wordprocessingml.header+xml" PartName="/word/header3.xml"/>
  <Override ContentType="application/vnd.openxmlformats-officedocument.wordprocessingml.footer+xml" PartName="/word/footer3.xml"/>
  <Override ContentType="application/vnd.openxmlformats-officedocument.wordprocessingml.header+xml" PartName="/word/header4.xml"/>
  <Override ContentType="application/vnd.openxmlformats-officedocument.wordprocessingml.footer+xml" PartName="/word/footer4.xml"/>
  <Override ContentType="application/vnd.openxmlformats-officedocument.wordprocessingml.header+xml" PartName="/word/header5.xml"/>
  <Override ContentType="application/vnd.openxmlformats-officedocument.wordprocessingml.footer+xml" PartName="/word/footer5.xml"/>
  <Override ContentType="application/vnd.openxmlformats-officedocument.wordprocessingml.header+xml" PartName="/word/header6.xml"/>
  <Override ContentType="application/vnd.openxmlformats-officedocument.wordprocessingml.footer+xml" PartName="/word/footer6.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jc w:val="center"/>
      </w:pPr>
      <w:r>
        <w:rPr>
          <w:rFonts w:ascii="Arial" w:cs="Arial" w:eastAsia="Arial" w:hAnsi="Arial"/>
          <w:b/>
          <w:bCs/>
          <w:sz w:val="26"/>
          <w:szCs w:val="26"/>
        </w:rPr>
        <w:t xml:space="preserve">EDITAL DE CHAMAMENTO PÚBLICO</w:t>
      </w:r>
    </w:p>
    <w:p>
      <w:pPr>
        <w:spacing w:after="80"/>
        <w:jc w:val="center"/>
      </w:pPr>
      <w:r>
        <w:rPr>
          <w:rFonts w:ascii="Arial" w:cs="Arial" w:eastAsia="Arial" w:hAnsi="Arial"/>
          <w:b/>
          <w:bCs/>
          <w:sz w:val="22"/>
          <w:szCs w:val="22"/>
        </w:rPr>
        <w:t xml:space="preserve">CREDENCIAMENTO Nº 013/2026 – PROGRAMA FILA ZERO 3.0</w:t>
      </w:r>
    </w:p>
    <w:p>
      <w:pPr>
        <w:spacing w:after="40" w:before="0" w:line="276"/>
        <w:jc w:val="center"/>
      </w:pPr>
      <w:r>
        <w:rPr>
          <w:rFonts w:ascii="Arial" w:cs="Arial" w:eastAsia="Arial" w:hAnsi="Arial"/>
          <w:sz w:val="21"/>
          <w:szCs w:val="21"/>
        </w:rPr>
        <w:t xml:space="preserve">Processo Administrativo nº 145/2026</w:t>
      </w:r>
    </w:p>
    <w:p>
      <w:pPr>
        <w:spacing w:after="60" w:before="0" w:line="276"/>
        <w:jc w:val="center"/>
      </w:pPr>
      <w:r>
        <w:rPr>
          <w:rFonts w:ascii="Arial" w:cs="Arial" w:eastAsia="Arial" w:hAnsi="Arial"/>
          <w:sz w:val="21"/>
          <w:szCs w:val="21"/>
        </w:rPr>
        <w:t xml:space="preserve">Processo de Compra nº 00002659/2026 – Solicitação nº 2961/2026</w:t>
      </w:r>
    </w:p>
    <w:p>
      <w:pPr>
        <w:spacing w:after="200" w:before="0" w:line="276"/>
        <w:jc w:val="center"/>
      </w:pPr>
      <w:r>
        <w:rPr>
          <w:rFonts w:ascii="Arial" w:cs="Arial" w:eastAsia="Arial" w:hAnsi="Arial"/>
          <w:sz w:val="21"/>
          <w:szCs w:val="21"/>
        </w:rPr>
        <w:t xml:space="preserve">Parecer Jurídico nº 401/2026-PGM</w:t>
      </w:r>
    </w:p>
    <w:p>
      <w:pPr>
        <w:spacing w:after="100" w:before="0" w:line="276"/>
        <w:jc w:val="both"/>
      </w:pPr>
      <w:r>
        <w:rPr>
          <w:rFonts w:ascii="Arial" w:cs="Arial" w:eastAsia="Arial" w:hAnsi="Arial"/>
          <w:sz w:val="21"/>
          <w:szCs w:val="21"/>
        </w:rPr>
        <w:t xml:space="preserve">O </w:t>
      </w:r>
      <w:r>
        <w:rPr>
          <w:rFonts w:ascii="Arial" w:cs="Arial" w:eastAsia="Arial" w:hAnsi="Arial"/>
          <w:b/>
          <w:bCs/>
          <w:sz w:val="21"/>
          <w:szCs w:val="21"/>
        </w:rPr>
        <w:t xml:space="preserve">MUNICÍPIO DE CONFRESA – MT</w:t>
      </w:r>
      <w:r>
        <w:rPr>
          <w:rFonts w:ascii="Arial" w:cs="Arial" w:eastAsia="Arial" w:hAnsi="Arial"/>
          <w:sz w:val="21"/>
          <w:szCs w:val="21"/>
        </w:rPr>
        <w:t xml:space="preserve">, pessoa jurídica de direito público, inscrito no CNPJ sob o nº 37.464.716/0001-50, com sede na Avenida Centro Oeste, nº 286, Centro, CEP 78652-000, por intermédio do </w:t>
      </w:r>
      <w:r>
        <w:rPr>
          <w:rFonts w:ascii="Arial" w:cs="Arial" w:eastAsia="Arial" w:hAnsi="Arial"/>
          <w:b/>
          <w:bCs/>
          <w:sz w:val="21"/>
          <w:szCs w:val="21"/>
        </w:rPr>
        <w:t xml:space="preserve">FUNDO MUNICIPAL DE SAÚDE / SECRETARIA MUNICIPAL DE SAÚDE</w:t>
      </w:r>
      <w:r>
        <w:rPr>
          <w:rFonts w:ascii="Arial" w:cs="Arial" w:eastAsia="Arial" w:hAnsi="Arial"/>
          <w:sz w:val="21"/>
          <w:szCs w:val="21"/>
        </w:rPr>
        <w:t xml:space="preserve">, torna público que realizará </w:t>
      </w:r>
      <w:r>
        <w:rPr>
          <w:rFonts w:ascii="Arial" w:cs="Arial" w:eastAsia="Arial" w:hAnsi="Arial"/>
          <w:b/>
          <w:bCs/>
          <w:sz w:val="21"/>
          <w:szCs w:val="21"/>
        </w:rPr>
        <w:t xml:space="preserve">CHAMAMENTO PÚBLICO</w:t>
      </w:r>
      <w:r>
        <w:rPr>
          <w:rFonts w:ascii="Arial" w:cs="Arial" w:eastAsia="Arial" w:hAnsi="Arial"/>
          <w:sz w:val="21"/>
          <w:szCs w:val="21"/>
        </w:rPr>
        <w:t xml:space="preserve"> para </w:t>
      </w:r>
      <w:r>
        <w:rPr>
          <w:rFonts w:ascii="Arial" w:cs="Arial" w:eastAsia="Arial" w:hAnsi="Arial"/>
          <w:b/>
          <w:bCs/>
          <w:sz w:val="21"/>
          <w:szCs w:val="21"/>
        </w:rPr>
        <w:t xml:space="preserve">CREDENCIAMENTO</w:t>
      </w:r>
      <w:r>
        <w:rPr>
          <w:rFonts w:ascii="Arial" w:cs="Arial" w:eastAsia="Arial" w:hAnsi="Arial"/>
          <w:sz w:val="21"/>
          <w:szCs w:val="21"/>
        </w:rPr>
        <w:t xml:space="preserve"> de pessoas jurídicas especializadas, na hipótese de contratação paralela e não excludente, com fundamento nos arts. 6º, XLIII, 74, IV, 78, I, e 79, I, da Lei nº 14.133/2021, no Decreto Municipal nº 123/2026, nos arts. 24 a 26 da Lei nº 8.080/1990 e nas demais normas indicadas neste Edital, mediante as condições a seguir.</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2700"/>
        <w:gridCol w:w="6654"/>
      </w:tblGrid>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Objeto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Credenciamento de pessoas jurídicas especializadas, por procedimento individual, para prestação complementar e sob demanda de serviços ambulatoriais e hospitalares de média e alta complexidade a usuários do SUS regulados no âmbito da 2ª Proposta nº 172/2026 do Programa Fila Zero 3.0</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Procedimento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Credenciamento – contratação paralela e não excludente (art. 79, I, da Lei nº 14.133/2021), com contratações decorrentes por inexigibilidade (art. 74, IV)</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Programação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107 procedimentos (códigos SIGTAP) – 8.178 atendimentos/procedimentos – 10 subgrupos</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Valor global programado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R$ 9.398.427,27 (Tabela SUS Mato Grosso – Decreto Estadual nº 2.005/2026)</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Valor estimado de remuneração às credenciadas</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R$ 7.672.693,88 (regra de remuneração do item 11 e Anexo II)</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Critério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Sem disputa de preços. Credenciamento de todos os interessados que atendam aos requisitos, com valores fixos e uniformes</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Recebimento dos requerimentos de credenciamento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De 06/11/2026 a 05/11/2027</w:t>
            </w:r>
            <w:r>
              <w:rPr>
                <w:rFonts w:ascii="Arial" w:cs="Arial" w:eastAsia="Arial" w:hAnsi="Arial"/>
                <w:sz w:val="18"/>
                <w:szCs w:val="18"/>
              </w:rPr>
              <w:t xml:space="preserve">, em dias úteis, das 7h às 11h e das 13h às 17h (horário de Mato Grosso), em fluxo contínuo</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Impugnações e esclarecimentos</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Até 03/11/2026 (item 19)</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Forma de entrega dos requerimentos</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Protocolo no Departamento de Licitações (endereço abaixo) ou e-mail licitacao.cfsa@gmail.com, com documentos digitalizados ou assinados digitalmente</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b/>
                <w:bCs/>
                <w:sz w:val="18"/>
                <w:szCs w:val="18"/>
              </w:rPr>
              <w:t xml:space="preserve">Endereço e contato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Departamento de Licitações – Avenida Centro Oeste, nº 286, Centro, Confresa – MT, CEP 78652-000 – Telefone (66) 3143-0000 – e-mail licitacao.cfsa@gmail.com</w:t>
            </w:r>
          </w:p>
        </w:tc>
      </w:tr>
    </w:tbl>
    <w:p>
      <w:pPr>
        <w:keepNext/>
        <w:spacing w:after="100" w:before="220"/>
        <w:jc w:val="left"/>
      </w:pPr>
      <w:r>
        <w:rPr>
          <w:rFonts w:ascii="Arial" w:cs="Arial" w:eastAsia="Arial" w:hAnsi="Arial"/>
          <w:b/>
          <w:bCs/>
          <w:sz w:val="22"/>
          <w:szCs w:val="22"/>
        </w:rPr>
        <w:t xml:space="preserve">1. DO OBJETO</w:t>
      </w:r>
    </w:p>
    <w:p>
      <w:pPr>
        <w:spacing w:after="90" w:line="276"/>
        <w:ind w:left="0"/>
        <w:jc w:val="both"/>
      </w:pPr>
      <w:r>
        <w:rPr>
          <w:rFonts w:ascii="Arial" w:cs="Arial" w:eastAsia="Arial" w:hAnsi="Arial"/>
          <w:b w:val="false"/>
          <w:bCs w:val="false"/>
          <w:sz w:val="21"/>
          <w:szCs w:val="21"/>
        </w:rPr>
        <w:t xml:space="preserve">1.1. </w:t>
      </w:r>
      <w:r>
        <w:rPr>
          <w:rFonts w:ascii="Arial" w:cs="Arial" w:eastAsia="Arial" w:hAnsi="Arial"/>
          <w:sz w:val="21"/>
          <w:szCs w:val="21"/>
        </w:rPr>
        <w:t xml:space="preserve">O objeto deste Edital é o credenciamento de pessoas jurídicas especializadas, por procedimento individual, para prestação complementar e sob demanda de consultas especializadas de avaliação pré e pós-cirúrgica, exames de tomografia computadorizada e ultrassonografia, sedação e procedimentos cirúrgicos dos aparelhos circulatório, da visão, digestivo e geniturinário e dos sistemas nervoso central e periférico e osteomuscular, destinados aos usuários do SUS regulados no âmbito da 2ª Proposta nº 172/2026 do Programa Fila Zero 3.0, aprovada pela Resolução CIB/MT nº 528/2026.</w:t>
      </w:r>
    </w:p>
    <w:p>
      <w:pPr>
        <w:spacing w:after="90" w:line="276"/>
        <w:ind w:left="0"/>
        <w:jc w:val="both"/>
      </w:pPr>
      <w:r>
        <w:rPr>
          <w:rFonts w:ascii="Arial" w:cs="Arial" w:eastAsia="Arial" w:hAnsi="Arial"/>
          <w:b w:val="false"/>
          <w:bCs w:val="false"/>
          <w:sz w:val="21"/>
          <w:szCs w:val="21"/>
        </w:rPr>
        <w:t xml:space="preserve">1.2. </w:t>
      </w:r>
      <w:r>
        <w:rPr>
          <w:rFonts w:ascii="Arial" w:cs="Arial" w:eastAsia="Arial" w:hAnsi="Arial"/>
          <w:sz w:val="21"/>
          <w:szCs w:val="21"/>
        </w:rPr>
        <w:t xml:space="preserve">Os procedimentos, códigos, instrumentos de registro, quantitativos, valores da Tabela SUS Mato Grosso e valores fixos de remuneração da credenciada constam do </w:t>
      </w:r>
      <w:r>
        <w:rPr>
          <w:rFonts w:ascii="Arial" w:cs="Arial" w:eastAsia="Arial" w:hAnsi="Arial"/>
          <w:b/>
          <w:bCs/>
          <w:sz w:val="21"/>
          <w:szCs w:val="21"/>
        </w:rPr>
        <w:t xml:space="preserve">Anexo II</w:t>
      </w:r>
      <w:r>
        <w:rPr>
          <w:rFonts w:ascii="Arial" w:cs="Arial" w:eastAsia="Arial" w:hAnsi="Arial"/>
          <w:sz w:val="21"/>
          <w:szCs w:val="21"/>
        </w:rPr>
        <w:t xml:space="preserve">.</w:t>
      </w:r>
    </w:p>
    <w:p>
      <w:pPr>
        <w:spacing w:after="90" w:line="276"/>
        <w:ind w:left="0"/>
        <w:jc w:val="both"/>
      </w:pPr>
      <w:r>
        <w:rPr>
          <w:rFonts w:ascii="Arial" w:cs="Arial" w:eastAsia="Arial" w:hAnsi="Arial"/>
          <w:b w:val="false"/>
          <w:bCs w:val="false"/>
          <w:sz w:val="21"/>
          <w:szCs w:val="21"/>
        </w:rPr>
        <w:t xml:space="preserve">1.3. </w:t>
      </w:r>
      <w:r>
        <w:rPr>
          <w:rFonts w:ascii="Arial" w:cs="Arial" w:eastAsia="Arial" w:hAnsi="Arial"/>
          <w:sz w:val="21"/>
          <w:szCs w:val="21"/>
        </w:rPr>
        <w:t xml:space="preserve">O interessado poderá requerer credenciamento para um, vários ou todos os procedimentos, desde que demonstre, para cada um deles, a habilitação e a capacidade exigidas. Não será exigida a assunção de subgrupo ou lote completo.</w:t>
      </w:r>
    </w:p>
    <w:p>
      <w:pPr>
        <w:spacing w:after="90" w:line="276"/>
        <w:ind w:left="0"/>
        <w:jc w:val="both"/>
      </w:pPr>
      <w:r>
        <w:rPr>
          <w:rFonts w:ascii="Arial" w:cs="Arial" w:eastAsia="Arial" w:hAnsi="Arial"/>
          <w:b w:val="false"/>
          <w:bCs w:val="false"/>
          <w:sz w:val="21"/>
          <w:szCs w:val="21"/>
        </w:rPr>
        <w:t xml:space="preserve">1.4. </w:t>
      </w:r>
      <w:r>
        <w:rPr>
          <w:rFonts w:ascii="Arial" w:cs="Arial" w:eastAsia="Arial" w:hAnsi="Arial"/>
          <w:sz w:val="21"/>
          <w:szCs w:val="21"/>
        </w:rPr>
        <w:t xml:space="preserve">Os quantitativos constituem teto físico e os valores constituem teto financeiro da programação. O credenciamento não gera exclusividade, garantia de contratação imediata, direito a quantitativo mínimo, direito ao esgotamento da programação por determinado prestador nem autorização para executar ou faturar procedimentos.</w:t>
      </w:r>
    </w:p>
    <w:p>
      <w:pPr>
        <w:spacing w:after="90" w:line="276"/>
        <w:ind w:left="0"/>
        <w:jc w:val="both"/>
      </w:pPr>
      <w:r>
        <w:rPr>
          <w:rFonts w:ascii="Arial" w:cs="Arial" w:eastAsia="Arial" w:hAnsi="Arial"/>
          <w:b w:val="false"/>
          <w:bCs w:val="false"/>
          <w:sz w:val="21"/>
          <w:szCs w:val="21"/>
        </w:rPr>
        <w:t xml:space="preserve">1.5. </w:t>
      </w:r>
      <w:r>
        <w:rPr>
          <w:rFonts w:ascii="Arial" w:cs="Arial" w:eastAsia="Arial" w:hAnsi="Arial"/>
          <w:sz w:val="21"/>
          <w:szCs w:val="21"/>
        </w:rPr>
        <w:t xml:space="preserve">A existência de mais de um credenciado para o mesmo procedimento não multiplica a programação. Esgotado o quantitativo ou o saldo financeiro de um código, fica suspensa a distribuição daquele procedimento, sem indenização por demanda não recebida.</w:t>
      </w:r>
    </w:p>
    <w:p>
      <w:pPr>
        <w:spacing w:after="90" w:line="276"/>
        <w:ind w:left="0"/>
        <w:jc w:val="both"/>
      </w:pPr>
      <w:r>
        <w:rPr>
          <w:rFonts w:ascii="Arial" w:cs="Arial" w:eastAsia="Arial" w:hAnsi="Arial"/>
          <w:b w:val="false"/>
          <w:bCs w:val="false"/>
          <w:sz w:val="21"/>
          <w:szCs w:val="21"/>
        </w:rPr>
        <w:t xml:space="preserve">1.6. </w:t>
      </w:r>
      <w:r>
        <w:rPr>
          <w:rFonts w:ascii="Arial" w:cs="Arial" w:eastAsia="Arial" w:hAnsi="Arial"/>
          <w:sz w:val="21"/>
          <w:szCs w:val="21"/>
        </w:rPr>
        <w:t xml:space="preserve">O credenciamento tem caráter complementar à rede própria do Município, nos termos do art. 199, § 1º, da Constituição Federal e do art. 24 da Lei nº 8.080/1990, e não poderá ser utilizado para substituir servidores em funções permanentes do Hospital Municipal (art. 18, § 1º, da Lei Complementar nº 101/2000; Resolução de Consulta TCE-MT nº 68/2011).</w:t>
      </w:r>
    </w:p>
    <w:p>
      <w:pPr>
        <w:keepNext/>
        <w:spacing w:after="100" w:before="220"/>
        <w:jc w:val="left"/>
      </w:pPr>
      <w:r>
        <w:rPr>
          <w:rFonts w:ascii="Arial" w:cs="Arial" w:eastAsia="Arial" w:hAnsi="Arial"/>
          <w:b/>
          <w:bCs/>
          <w:sz w:val="22"/>
          <w:szCs w:val="22"/>
        </w:rPr>
        <w:t xml:space="preserve">2. DOS ANEXOS</w:t>
      </w:r>
    </w:p>
    <w:p>
      <w:pPr>
        <w:spacing w:after="90" w:line="276"/>
        <w:ind w:left="0"/>
        <w:jc w:val="both"/>
      </w:pPr>
      <w:r>
        <w:rPr>
          <w:rFonts w:ascii="Arial" w:cs="Arial" w:eastAsia="Arial" w:hAnsi="Arial"/>
          <w:b w:val="false"/>
          <w:bCs w:val="false"/>
          <w:sz w:val="21"/>
          <w:szCs w:val="21"/>
        </w:rPr>
        <w:t xml:space="preserve">2.1. </w:t>
      </w:r>
      <w:r>
        <w:rPr>
          <w:rFonts w:ascii="Arial" w:cs="Arial" w:eastAsia="Arial" w:hAnsi="Arial"/>
          <w:sz w:val="21"/>
          <w:szCs w:val="21"/>
        </w:rPr>
        <w:t xml:space="preserve">Integram este Edital, independentemente de transcrição:</w:t>
      </w:r>
    </w:p>
    <w:p>
      <w:pPr>
        <w:spacing w:after="60" w:line="264"/>
        <w:ind w:left="720" w:hanging="360"/>
        <w:jc w:val="both"/>
      </w:pPr>
      <w:r>
        <w:rPr>
          <w:rFonts w:ascii="Arial" w:cs="Arial" w:eastAsia="Arial" w:hAnsi="Arial"/>
          <w:sz w:val="21"/>
          <w:szCs w:val="21"/>
        </w:rPr>
        <w:t xml:space="preserve">Anexo I – </w:t>
      </w:r>
      <w:r>
        <w:rPr>
          <w:rFonts w:ascii="Arial" w:cs="Arial" w:eastAsia="Arial" w:hAnsi="Arial"/>
          <w:sz w:val="21"/>
          <w:szCs w:val="21"/>
        </w:rPr>
        <w:t xml:space="preserve">Termo de Referência consolidado, com seus Apêndices, e Estudo Técnico Preliminar;</w:t>
      </w:r>
    </w:p>
    <w:p>
      <w:pPr>
        <w:spacing w:after="60" w:line="264"/>
        <w:ind w:left="720" w:hanging="360"/>
        <w:jc w:val="both"/>
      </w:pPr>
      <w:r>
        <w:rPr>
          <w:rFonts w:ascii="Arial" w:cs="Arial" w:eastAsia="Arial" w:hAnsi="Arial"/>
          <w:sz w:val="21"/>
          <w:szCs w:val="21"/>
        </w:rPr>
        <w:t xml:space="preserve">Anexo II – </w:t>
      </w:r>
      <w:r>
        <w:rPr>
          <w:rFonts w:ascii="Arial" w:cs="Arial" w:eastAsia="Arial" w:hAnsi="Arial"/>
          <w:sz w:val="21"/>
          <w:szCs w:val="21"/>
        </w:rPr>
        <w:t xml:space="preserve">Quadro de procedimentos, quantitativos e valores de remuneração;</w:t>
      </w:r>
    </w:p>
    <w:p>
      <w:pPr>
        <w:spacing w:after="60" w:line="264"/>
        <w:ind w:left="720" w:hanging="360"/>
        <w:jc w:val="both"/>
      </w:pPr>
      <w:r>
        <w:rPr>
          <w:rFonts w:ascii="Arial" w:cs="Arial" w:eastAsia="Arial" w:hAnsi="Arial"/>
          <w:sz w:val="21"/>
          <w:szCs w:val="21"/>
        </w:rPr>
        <w:t xml:space="preserve">Anexo III – </w:t>
      </w:r>
      <w:r>
        <w:rPr>
          <w:rFonts w:ascii="Arial" w:cs="Arial" w:eastAsia="Arial" w:hAnsi="Arial"/>
          <w:sz w:val="21"/>
          <w:szCs w:val="21"/>
        </w:rPr>
        <w:t xml:space="preserve">Matriz de responsabilidades entre o Município/Hospital Municipal e a credenciada;</w:t>
      </w:r>
    </w:p>
    <w:p>
      <w:pPr>
        <w:spacing w:after="60" w:line="264"/>
        <w:ind w:left="720" w:hanging="360"/>
        <w:jc w:val="both"/>
      </w:pPr>
      <w:r>
        <w:rPr>
          <w:rFonts w:ascii="Arial" w:cs="Arial" w:eastAsia="Arial" w:hAnsi="Arial"/>
          <w:sz w:val="21"/>
          <w:szCs w:val="21"/>
        </w:rPr>
        <w:t xml:space="preserve">Anexo IV – </w:t>
      </w:r>
      <w:r>
        <w:rPr>
          <w:rFonts w:ascii="Arial" w:cs="Arial" w:eastAsia="Arial" w:hAnsi="Arial"/>
          <w:sz w:val="21"/>
          <w:szCs w:val="21"/>
        </w:rPr>
        <w:t xml:space="preserve">Modelo de requerimento de credenciamento;</w:t>
      </w:r>
    </w:p>
    <w:p>
      <w:pPr>
        <w:spacing w:after="60" w:line="264"/>
        <w:ind w:left="720" w:hanging="360"/>
        <w:jc w:val="both"/>
      </w:pPr>
      <w:r>
        <w:rPr>
          <w:rFonts w:ascii="Arial" w:cs="Arial" w:eastAsia="Arial" w:hAnsi="Arial"/>
          <w:sz w:val="21"/>
          <w:szCs w:val="21"/>
        </w:rPr>
        <w:t xml:space="preserve">Anexo V – </w:t>
      </w:r>
      <w:r>
        <w:rPr>
          <w:rFonts w:ascii="Arial" w:cs="Arial" w:eastAsia="Arial" w:hAnsi="Arial"/>
          <w:sz w:val="21"/>
          <w:szCs w:val="21"/>
        </w:rPr>
        <w:t xml:space="preserve">Modelo de declarações;</w:t>
      </w:r>
    </w:p>
    <w:p>
      <w:pPr>
        <w:spacing w:after="60" w:line="264"/>
        <w:ind w:left="720" w:hanging="360"/>
        <w:jc w:val="both"/>
      </w:pPr>
      <w:r>
        <w:rPr>
          <w:rFonts w:ascii="Arial" w:cs="Arial" w:eastAsia="Arial" w:hAnsi="Arial"/>
          <w:sz w:val="21"/>
          <w:szCs w:val="21"/>
        </w:rPr>
        <w:t xml:space="preserve">Anexo VI – </w:t>
      </w:r>
      <w:r>
        <w:rPr>
          <w:rFonts w:ascii="Arial" w:cs="Arial" w:eastAsia="Arial" w:hAnsi="Arial"/>
          <w:sz w:val="21"/>
          <w:szCs w:val="21"/>
        </w:rPr>
        <w:t xml:space="preserve">Minuta de contrato;</w:t>
      </w:r>
    </w:p>
    <w:p>
      <w:pPr>
        <w:spacing w:after="60" w:line="264"/>
        <w:ind w:left="720" w:hanging="360"/>
        <w:jc w:val="both"/>
      </w:pPr>
      <w:r>
        <w:rPr>
          <w:rFonts w:ascii="Arial" w:cs="Arial" w:eastAsia="Arial" w:hAnsi="Arial"/>
          <w:sz w:val="21"/>
          <w:szCs w:val="21"/>
        </w:rPr>
        <w:t xml:space="preserve">Anexo VII – </w:t>
      </w:r>
      <w:r>
        <w:rPr>
          <w:rFonts w:ascii="Arial" w:cs="Arial" w:eastAsia="Arial" w:hAnsi="Arial"/>
          <w:sz w:val="21"/>
          <w:szCs w:val="21"/>
        </w:rPr>
        <w:t xml:space="preserve">Minuta de Termo de Credenciamento.</w:t>
      </w:r>
    </w:p>
    <w:p>
      <w:pPr>
        <w:spacing w:after="90" w:line="276"/>
        <w:ind w:left="0"/>
        <w:jc w:val="both"/>
      </w:pPr>
      <w:r>
        <w:rPr>
          <w:rFonts w:ascii="Arial" w:cs="Arial" w:eastAsia="Arial" w:hAnsi="Arial"/>
          <w:b w:val="false"/>
          <w:bCs w:val="false"/>
          <w:sz w:val="21"/>
          <w:szCs w:val="21"/>
        </w:rPr>
        <w:t xml:space="preserve">2.2. </w:t>
      </w:r>
      <w:r>
        <w:rPr>
          <w:rFonts w:ascii="Arial" w:cs="Arial" w:eastAsia="Arial" w:hAnsi="Arial"/>
          <w:sz w:val="21"/>
          <w:szCs w:val="21"/>
        </w:rPr>
        <w:t xml:space="preserve">Havendo divergência entre este Edital e o Termo de Referência quanto à regra de remuneração, à matriz de responsabilidades ou aos prazos procedimentais, prevalecerá o disposto neste Edital e nos Anexos II e III, que incorporam a Manifestação Técnica, a Justificativa Técnica e a Memória de Cálculo da Secretaria Municipal de Saúde e o Parecer Jurídico nº 401/2026-PGM.</w:t>
      </w:r>
    </w:p>
    <w:p>
      <w:pPr>
        <w:keepNext/>
        <w:spacing w:after="100" w:before="220"/>
        <w:jc w:val="left"/>
      </w:pPr>
      <w:r>
        <w:rPr>
          <w:rFonts w:ascii="Arial" w:cs="Arial" w:eastAsia="Arial" w:hAnsi="Arial"/>
          <w:b/>
          <w:bCs/>
          <w:sz w:val="22"/>
          <w:szCs w:val="22"/>
        </w:rPr>
        <w:t xml:space="preserve">3. DA FUNDAMENTAÇÃO E DAS NORMAS APLICÁVEIS</w:t>
      </w:r>
    </w:p>
    <w:p>
      <w:pPr>
        <w:spacing w:after="90" w:line="276"/>
        <w:ind w:left="0"/>
        <w:jc w:val="both"/>
      </w:pPr>
      <w:r>
        <w:rPr>
          <w:rFonts w:ascii="Arial" w:cs="Arial" w:eastAsia="Arial" w:hAnsi="Arial"/>
          <w:b w:val="false"/>
          <w:bCs w:val="false"/>
          <w:sz w:val="21"/>
          <w:szCs w:val="21"/>
        </w:rPr>
        <w:t xml:space="preserve">3.1. </w:t>
      </w:r>
      <w:r>
        <w:rPr>
          <w:rFonts w:ascii="Arial" w:cs="Arial" w:eastAsia="Arial" w:hAnsi="Arial"/>
          <w:sz w:val="21"/>
          <w:szCs w:val="21"/>
        </w:rPr>
        <w:t xml:space="preserve">Aplicam-se a este credenciamento: a Constituição Federal (arts. 196 a 199); a Lei nº 8.080/1990; a Lei nº 14.133/2021; o Decreto Municipal nº 123/2026; o Decreto Estadual nº 2.005/2026 (Tabela SUS Mato Grosso); a Portaria nº 0404/2026/GBSES; a Resolução CIB/MT nº 528/2026; o Termo de Compromisso e a Ordem de Serviço nº 172/2026/SPCA; a Lei Complementar nº 123/2006, no que couber; a Lei nº 13.709/2018 (LGPD); e as normas sanitárias, profissionais, de regulação e de produção do SUS.</w:t>
      </w:r>
    </w:p>
    <w:p>
      <w:pPr>
        <w:keepNext/>
        <w:spacing w:after="100" w:before="220"/>
        <w:jc w:val="left"/>
      </w:pPr>
      <w:r>
        <w:rPr>
          <w:rFonts w:ascii="Arial" w:cs="Arial" w:eastAsia="Arial" w:hAnsi="Arial"/>
          <w:b/>
          <w:bCs/>
          <w:sz w:val="22"/>
          <w:szCs w:val="22"/>
        </w:rPr>
        <w:t xml:space="preserve">4. DAS CONDIÇÕES DE PARTICIPAÇÃO</w:t>
      </w:r>
    </w:p>
    <w:p>
      <w:pPr>
        <w:spacing w:after="90" w:line="276"/>
        <w:ind w:left="0"/>
        <w:jc w:val="both"/>
      </w:pPr>
      <w:r>
        <w:rPr>
          <w:rFonts w:ascii="Arial" w:cs="Arial" w:eastAsia="Arial" w:hAnsi="Arial"/>
          <w:b w:val="false"/>
          <w:bCs w:val="false"/>
          <w:sz w:val="21"/>
          <w:szCs w:val="21"/>
        </w:rPr>
        <w:t xml:space="preserve">4.1. </w:t>
      </w:r>
      <w:r>
        <w:rPr>
          <w:rFonts w:ascii="Arial" w:cs="Arial" w:eastAsia="Arial" w:hAnsi="Arial"/>
          <w:sz w:val="21"/>
          <w:szCs w:val="21"/>
        </w:rPr>
        <w:t xml:space="preserve">Poderão participar pessoas jurídicas, com ou sem fins lucrativos, cujo objeto social seja compatível com os procedimentos pretendidos e que atendam às exigências deste Edital.</w:t>
      </w:r>
    </w:p>
    <w:p>
      <w:pPr>
        <w:spacing w:after="90" w:line="276"/>
        <w:ind w:left="0"/>
        <w:jc w:val="both"/>
      </w:pPr>
      <w:r>
        <w:rPr>
          <w:rFonts w:ascii="Arial" w:cs="Arial" w:eastAsia="Arial" w:hAnsi="Arial"/>
          <w:b w:val="false"/>
          <w:bCs w:val="false"/>
          <w:sz w:val="21"/>
          <w:szCs w:val="21"/>
        </w:rPr>
        <w:t xml:space="preserve">4.2. </w:t>
      </w:r>
      <w:r>
        <w:rPr>
          <w:rFonts w:ascii="Arial" w:cs="Arial" w:eastAsia="Arial" w:hAnsi="Arial"/>
          <w:sz w:val="21"/>
          <w:szCs w:val="21"/>
        </w:rPr>
        <w:t xml:space="preserve">Não poderão participar:</w:t>
      </w:r>
    </w:p>
    <w:p>
      <w:pPr>
        <w:spacing w:after="60" w:line="264"/>
        <w:ind w:left="720" w:hanging="360"/>
        <w:jc w:val="both"/>
      </w:pPr>
      <w:r>
        <w:rPr>
          <w:rFonts w:ascii="Arial" w:cs="Arial" w:eastAsia="Arial" w:hAnsi="Arial"/>
          <w:sz w:val="21"/>
          <w:szCs w:val="21"/>
        </w:rPr>
        <w:t xml:space="preserve">a) </w:t>
      </w:r>
      <w:r>
        <w:rPr>
          <w:rFonts w:ascii="Arial" w:cs="Arial" w:eastAsia="Arial" w:hAnsi="Arial"/>
          <w:sz w:val="21"/>
          <w:szCs w:val="21"/>
        </w:rPr>
        <w:t xml:space="preserve">as pessoas jurídicas que incorram nos impedimentos do art. 14 da Lei nº 14.133/2021;</w:t>
      </w:r>
    </w:p>
    <w:p>
      <w:pPr>
        <w:spacing w:after="60" w:line="264"/>
        <w:ind w:left="720" w:hanging="360"/>
        <w:jc w:val="both"/>
      </w:pPr>
      <w:r>
        <w:rPr>
          <w:rFonts w:ascii="Arial" w:cs="Arial" w:eastAsia="Arial" w:hAnsi="Arial"/>
          <w:sz w:val="21"/>
          <w:szCs w:val="21"/>
        </w:rPr>
        <w:t xml:space="preserve">b) </w:t>
      </w:r>
      <w:r>
        <w:rPr>
          <w:rFonts w:ascii="Arial" w:cs="Arial" w:eastAsia="Arial" w:hAnsi="Arial"/>
          <w:sz w:val="21"/>
          <w:szCs w:val="21"/>
        </w:rPr>
        <w:t xml:space="preserve">as pessoas jurídicas declaradas inidôneas ou impedidas de licitar e contratar, enquanto perdurarem os efeitos da sanção;</w:t>
      </w:r>
    </w:p>
    <w:p>
      <w:pPr>
        <w:spacing w:after="60" w:line="264"/>
        <w:ind w:left="720" w:hanging="360"/>
        <w:jc w:val="both"/>
      </w:pPr>
      <w:r>
        <w:rPr>
          <w:rFonts w:ascii="Arial" w:cs="Arial" w:eastAsia="Arial" w:hAnsi="Arial"/>
          <w:sz w:val="21"/>
          <w:szCs w:val="21"/>
        </w:rPr>
        <w:t xml:space="preserve">c) </w:t>
      </w:r>
      <w:r>
        <w:rPr>
          <w:rFonts w:ascii="Arial" w:cs="Arial" w:eastAsia="Arial" w:hAnsi="Arial"/>
          <w:sz w:val="21"/>
          <w:szCs w:val="21"/>
        </w:rPr>
        <w:t xml:space="preserve">as pessoas jurídicas cujos proprietários, administradores ou dirigentes exerçam cargo de chefia ou função de confiança no SUS (art. 26, § 4º, da Lei nº 8.080/1990);</w:t>
      </w:r>
    </w:p>
    <w:p>
      <w:pPr>
        <w:spacing w:after="60" w:line="264"/>
        <w:ind w:left="720" w:hanging="360"/>
        <w:jc w:val="both"/>
      </w:pPr>
      <w:r>
        <w:rPr>
          <w:rFonts w:ascii="Arial" w:cs="Arial" w:eastAsia="Arial" w:hAnsi="Arial"/>
          <w:sz w:val="21"/>
          <w:szCs w:val="21"/>
        </w:rPr>
        <w:t xml:space="preserve">d) </w:t>
      </w:r>
      <w:r>
        <w:rPr>
          <w:rFonts w:ascii="Arial" w:cs="Arial" w:eastAsia="Arial" w:hAnsi="Arial"/>
          <w:sz w:val="21"/>
          <w:szCs w:val="21"/>
        </w:rPr>
        <w:t xml:space="preserve">as pessoas jurídicas em processo de falência, dissolução ou liquidação;</w:t>
      </w:r>
    </w:p>
    <w:p>
      <w:pPr>
        <w:spacing w:after="60" w:line="264"/>
        <w:ind w:left="720" w:hanging="360"/>
        <w:jc w:val="both"/>
      </w:pPr>
      <w:r>
        <w:rPr>
          <w:rFonts w:ascii="Arial" w:cs="Arial" w:eastAsia="Arial" w:hAnsi="Arial"/>
          <w:sz w:val="21"/>
          <w:szCs w:val="21"/>
        </w:rPr>
        <w:t xml:space="preserve">e) </w:t>
      </w:r>
      <w:r>
        <w:rPr>
          <w:rFonts w:ascii="Arial" w:cs="Arial" w:eastAsia="Arial" w:hAnsi="Arial"/>
          <w:sz w:val="21"/>
          <w:szCs w:val="21"/>
        </w:rPr>
        <w:t xml:space="preserve">as pessoas jurídicas que tenham, em seu quadro, sócio, administrador ou dirigente que seja servidor ou agente público do Município de Confresa com atuação na Secretaria Municipal de Saúde, ou cônjuge, companheiro ou parente até o terceiro grau de agente público que atue no credenciamento, na contratação, na regulação ou na fiscalização;</w:t>
      </w:r>
    </w:p>
    <w:p>
      <w:pPr>
        <w:spacing w:after="60" w:line="264"/>
        <w:ind w:left="720" w:hanging="360"/>
        <w:jc w:val="both"/>
      </w:pPr>
      <w:r>
        <w:rPr>
          <w:rFonts w:ascii="Arial" w:cs="Arial" w:eastAsia="Arial" w:hAnsi="Arial"/>
          <w:sz w:val="21"/>
          <w:szCs w:val="21"/>
        </w:rPr>
        <w:t xml:space="preserve">f) </w:t>
      </w:r>
      <w:r>
        <w:rPr>
          <w:rFonts w:ascii="Arial" w:cs="Arial" w:eastAsia="Arial" w:hAnsi="Arial"/>
          <w:sz w:val="21"/>
          <w:szCs w:val="21"/>
        </w:rPr>
        <w:t xml:space="preserve">consórcios de empresas, considerando que o credenciamento por procedimento individual já permite a participação de pessoas jurídicas de qualquer porte, sem exigência de lote (art. 15 da Lei nº 14.133/2021).</w:t>
      </w:r>
    </w:p>
    <w:p>
      <w:pPr>
        <w:spacing w:after="90" w:line="276"/>
        <w:ind w:left="0"/>
        <w:jc w:val="both"/>
      </w:pPr>
      <w:r>
        <w:rPr>
          <w:rFonts w:ascii="Arial" w:cs="Arial" w:eastAsia="Arial" w:hAnsi="Arial"/>
          <w:b w:val="false"/>
          <w:bCs w:val="false"/>
          <w:sz w:val="21"/>
          <w:szCs w:val="21"/>
        </w:rPr>
        <w:t xml:space="preserve">4.3. </w:t>
      </w:r>
      <w:r>
        <w:rPr>
          <w:rFonts w:ascii="Arial" w:cs="Arial" w:eastAsia="Arial" w:hAnsi="Arial"/>
          <w:sz w:val="21"/>
          <w:szCs w:val="21"/>
        </w:rPr>
        <w:t xml:space="preserve">Às microempresas e empresas de pequeno porte aplica-se o tratamento da Lei Complementar nº 123/2006 quanto à comprovação de regularidade fiscal e trabalhista (arts. 42 e 43), não havendo preferência de preço por inexistir disputa.</w:t>
      </w:r>
    </w:p>
    <w:p>
      <w:pPr>
        <w:keepNext/>
        <w:spacing w:after="100" w:before="220"/>
        <w:jc w:val="left"/>
      </w:pPr>
      <w:r>
        <w:rPr>
          <w:rFonts w:ascii="Arial" w:cs="Arial" w:eastAsia="Arial" w:hAnsi="Arial"/>
          <w:b/>
          <w:bCs/>
          <w:sz w:val="22"/>
          <w:szCs w:val="22"/>
        </w:rPr>
        <w:t xml:space="preserve">5. DO REQUERIMENTO DE CREDENCIAMENTO</w:t>
      </w:r>
    </w:p>
    <w:p>
      <w:pPr>
        <w:spacing w:after="90" w:line="276"/>
        <w:ind w:left="0"/>
        <w:jc w:val="both"/>
      </w:pPr>
      <w:r>
        <w:rPr>
          <w:rFonts w:ascii="Arial" w:cs="Arial" w:eastAsia="Arial" w:hAnsi="Arial"/>
          <w:b w:val="false"/>
          <w:bCs w:val="false"/>
          <w:sz w:val="21"/>
          <w:szCs w:val="21"/>
        </w:rPr>
        <w:t xml:space="preserve">5.1. </w:t>
      </w:r>
      <w:r>
        <w:rPr>
          <w:rFonts w:ascii="Arial" w:cs="Arial" w:eastAsia="Arial" w:hAnsi="Arial"/>
          <w:sz w:val="21"/>
          <w:szCs w:val="21"/>
        </w:rPr>
        <w:t xml:space="preserve">O Edital permanecerá aberto para recebimento de requerimentos </w:t>
      </w:r>
      <w:r>
        <w:rPr>
          <w:rFonts w:ascii="Arial" w:cs="Arial" w:eastAsia="Arial" w:hAnsi="Arial"/>
          <w:b/>
          <w:bCs/>
          <w:sz w:val="21"/>
          <w:szCs w:val="21"/>
        </w:rPr>
        <w:t xml:space="preserve">de 06/11/2026 a 05/11/2027</w:t>
      </w:r>
      <w:r>
        <w:rPr>
          <w:rFonts w:ascii="Arial" w:cs="Arial" w:eastAsia="Arial" w:hAnsi="Arial"/>
          <w:sz w:val="21"/>
          <w:szCs w:val="21"/>
        </w:rPr>
        <w:t xml:space="preserve">. O interessado poderá apresentar requerimento a qualquer tempo nesse período, na forma prevista no quadro-resumo, e os requerimentos serão analisados na ordem de protocolo.</w:t>
      </w:r>
    </w:p>
    <w:p>
      <w:pPr>
        <w:spacing w:after="90" w:line="276"/>
        <w:ind w:left="0"/>
        <w:jc w:val="both"/>
      </w:pPr>
      <w:r>
        <w:rPr>
          <w:rFonts w:ascii="Arial" w:cs="Arial" w:eastAsia="Arial" w:hAnsi="Arial"/>
          <w:b w:val="false"/>
          <w:bCs w:val="false"/>
          <w:sz w:val="21"/>
          <w:szCs w:val="21"/>
        </w:rPr>
        <w:t xml:space="preserve">5.2. </w:t>
      </w:r>
      <w:r>
        <w:rPr>
          <w:rFonts w:ascii="Arial" w:cs="Arial" w:eastAsia="Arial" w:hAnsi="Arial"/>
          <w:sz w:val="21"/>
          <w:szCs w:val="21"/>
        </w:rPr>
        <w:t xml:space="preserve">O requerimento seguirá o modelo do </w:t>
      </w:r>
      <w:r>
        <w:rPr>
          <w:rFonts w:ascii="Arial" w:cs="Arial" w:eastAsia="Arial" w:hAnsi="Arial"/>
          <w:b/>
          <w:bCs/>
          <w:sz w:val="21"/>
          <w:szCs w:val="21"/>
        </w:rPr>
        <w:t xml:space="preserve">Anexo IV</w:t>
      </w:r>
      <w:r>
        <w:rPr>
          <w:rFonts w:ascii="Arial" w:cs="Arial" w:eastAsia="Arial" w:hAnsi="Arial"/>
          <w:sz w:val="21"/>
          <w:szCs w:val="21"/>
        </w:rPr>
        <w:t xml:space="preserve"> e indicará, para cada código pretendido: o procedimento; a capacidade operacional mensal declarada; e os profissionais responsáveis, com registro no conselho e RQE, quando exigível.</w:t>
      </w:r>
    </w:p>
    <w:p>
      <w:pPr>
        <w:spacing w:after="90" w:line="276"/>
        <w:ind w:left="0"/>
        <w:jc w:val="both"/>
      </w:pPr>
      <w:r>
        <w:rPr>
          <w:rFonts w:ascii="Arial" w:cs="Arial" w:eastAsia="Arial" w:hAnsi="Arial"/>
          <w:b w:val="false"/>
          <w:bCs w:val="false"/>
          <w:sz w:val="21"/>
          <w:szCs w:val="21"/>
        </w:rPr>
        <w:t xml:space="preserve">5.3. </w:t>
      </w:r>
      <w:r>
        <w:rPr>
          <w:rFonts w:ascii="Arial" w:cs="Arial" w:eastAsia="Arial" w:hAnsi="Arial"/>
          <w:sz w:val="21"/>
          <w:szCs w:val="21"/>
        </w:rPr>
        <w:t xml:space="preserve">O requerimento será acompanhado dos documentos de habilitação do item 6 e das declarações do </w:t>
      </w:r>
      <w:r>
        <w:rPr>
          <w:rFonts w:ascii="Arial" w:cs="Arial" w:eastAsia="Arial" w:hAnsi="Arial"/>
          <w:b/>
          <w:bCs/>
          <w:sz w:val="21"/>
          <w:szCs w:val="21"/>
        </w:rPr>
        <w:t xml:space="preserve">Anexo V</w:t>
      </w:r>
      <w:r>
        <w:rPr>
          <w:rFonts w:ascii="Arial" w:cs="Arial" w:eastAsia="Arial" w:hAnsi="Arial"/>
          <w:sz w:val="21"/>
          <w:szCs w:val="21"/>
        </w:rPr>
        <w:t xml:space="preserve">, em cópia legível ou documento digital com assinatura válida.</w:t>
      </w:r>
    </w:p>
    <w:p>
      <w:pPr>
        <w:spacing w:after="90" w:line="276"/>
        <w:ind w:left="0"/>
        <w:jc w:val="both"/>
      </w:pPr>
      <w:r>
        <w:rPr>
          <w:rFonts w:ascii="Arial" w:cs="Arial" w:eastAsia="Arial" w:hAnsi="Arial"/>
          <w:b w:val="false"/>
          <w:bCs w:val="false"/>
          <w:sz w:val="21"/>
          <w:szCs w:val="21"/>
        </w:rPr>
        <w:t xml:space="preserve">5.4. </w:t>
      </w:r>
      <w:r>
        <w:rPr>
          <w:rFonts w:ascii="Arial" w:cs="Arial" w:eastAsia="Arial" w:hAnsi="Arial"/>
          <w:sz w:val="21"/>
          <w:szCs w:val="21"/>
        </w:rPr>
        <w:t xml:space="preserve">O credenciado poderá, a qualquer tempo durante a vigência, requerer a inclusão de novos códigos, mediante novo requerimento e comprovação dos requisitos correspondentes.</w:t>
      </w:r>
    </w:p>
    <w:p>
      <w:pPr>
        <w:keepNext/>
        <w:spacing w:after="100" w:before="220"/>
        <w:jc w:val="left"/>
      </w:pPr>
      <w:r>
        <w:rPr>
          <w:rFonts w:ascii="Arial" w:cs="Arial" w:eastAsia="Arial" w:hAnsi="Arial"/>
          <w:b/>
          <w:bCs/>
          <w:sz w:val="22"/>
          <w:szCs w:val="22"/>
        </w:rPr>
        <w:t xml:space="preserve">6. DA HABILITAÇÃO</w:t>
      </w:r>
    </w:p>
    <w:p>
      <w:pPr>
        <w:spacing w:after="90" w:line="276"/>
        <w:ind w:left="0"/>
        <w:jc w:val="both"/>
      </w:pPr>
      <w:r>
        <w:rPr>
          <w:rFonts w:ascii="Arial" w:cs="Arial" w:eastAsia="Arial" w:hAnsi="Arial"/>
          <w:b w:val="false"/>
          <w:bCs w:val="false"/>
          <w:sz w:val="21"/>
          <w:szCs w:val="21"/>
        </w:rPr>
        <w:t xml:space="preserve">6.1. </w:t>
      </w:r>
      <w:r>
        <w:rPr>
          <w:rFonts w:ascii="Arial" w:cs="Arial" w:eastAsia="Arial" w:hAnsi="Arial"/>
          <w:sz w:val="21"/>
          <w:szCs w:val="21"/>
        </w:rPr>
        <w:t xml:space="preserve">As exigências serão aplicadas de forma proporcional ao procedimento pretendido e ao local efetivo de execução. A habilitação para um procedimento não implica habilitação para outros códigos.</w:t>
      </w:r>
    </w:p>
    <w:p>
      <w:pPr>
        <w:spacing w:after="90" w:line="276"/>
        <w:ind w:left="0"/>
        <w:jc w:val="both"/>
      </w:pPr>
      <w:r>
        <w:rPr>
          <w:rFonts w:ascii="Arial" w:cs="Arial" w:eastAsia="Arial" w:hAnsi="Arial"/>
          <w:b w:val="false"/>
          <w:bCs w:val="false"/>
          <w:sz w:val="21"/>
          <w:szCs w:val="21"/>
        </w:rPr>
        <w:t xml:space="preserve">6.2. </w:t>
      </w:r>
      <w:r>
        <w:rPr>
          <w:rFonts w:ascii="Arial" w:cs="Arial" w:eastAsia="Arial" w:hAnsi="Arial"/>
          <w:b/>
          <w:bCs/>
          <w:sz w:val="21"/>
          <w:szCs w:val="21"/>
        </w:rPr>
        <w:t xml:space="preserve">Habilitação jurídica:</w:t>
      </w:r>
    </w:p>
    <w:p>
      <w:pPr>
        <w:spacing w:after="60" w:line="264"/>
        <w:ind w:left="720" w:hanging="360"/>
        <w:jc w:val="both"/>
      </w:pPr>
      <w:r>
        <w:rPr>
          <w:rFonts w:ascii="Arial" w:cs="Arial" w:eastAsia="Arial" w:hAnsi="Arial"/>
          <w:sz w:val="21"/>
          <w:szCs w:val="21"/>
        </w:rPr>
        <w:t xml:space="preserve">a) </w:t>
      </w:r>
      <w:r>
        <w:rPr>
          <w:rFonts w:ascii="Arial" w:cs="Arial" w:eastAsia="Arial" w:hAnsi="Arial"/>
          <w:sz w:val="21"/>
          <w:szCs w:val="21"/>
        </w:rPr>
        <w:t xml:space="preserve">ato constitutivo, estatuto ou contrato social vigente e alterações, ou consolidação;</w:t>
      </w:r>
    </w:p>
    <w:p>
      <w:pPr>
        <w:spacing w:after="60" w:line="264"/>
        <w:ind w:left="720" w:hanging="360"/>
        <w:jc w:val="both"/>
      </w:pPr>
      <w:r>
        <w:rPr>
          <w:rFonts w:ascii="Arial" w:cs="Arial" w:eastAsia="Arial" w:hAnsi="Arial"/>
          <w:sz w:val="21"/>
          <w:szCs w:val="21"/>
        </w:rPr>
        <w:t xml:space="preserve">b) </w:t>
      </w:r>
      <w:r>
        <w:rPr>
          <w:rFonts w:ascii="Arial" w:cs="Arial" w:eastAsia="Arial" w:hAnsi="Arial"/>
          <w:sz w:val="21"/>
          <w:szCs w:val="21"/>
        </w:rPr>
        <w:t xml:space="preserve">inscrição no CNPJ ativa, com atividade compatível com os procedimentos pretendidos;</w:t>
      </w:r>
    </w:p>
    <w:p>
      <w:pPr>
        <w:spacing w:after="60" w:line="264"/>
        <w:ind w:left="720" w:hanging="360"/>
        <w:jc w:val="both"/>
      </w:pPr>
      <w:r>
        <w:rPr>
          <w:rFonts w:ascii="Arial" w:cs="Arial" w:eastAsia="Arial" w:hAnsi="Arial"/>
          <w:sz w:val="21"/>
          <w:szCs w:val="21"/>
        </w:rPr>
        <w:t xml:space="preserve">c) </w:t>
      </w:r>
      <w:r>
        <w:rPr>
          <w:rFonts w:ascii="Arial" w:cs="Arial" w:eastAsia="Arial" w:hAnsi="Arial"/>
          <w:sz w:val="21"/>
          <w:szCs w:val="21"/>
        </w:rPr>
        <w:t xml:space="preserve">documento de identificação e comprovação dos poderes do representante legal;</w:t>
      </w:r>
    </w:p>
    <w:p>
      <w:pPr>
        <w:spacing w:after="60" w:line="264"/>
        <w:ind w:left="720" w:hanging="360"/>
        <w:jc w:val="both"/>
      </w:pPr>
      <w:r>
        <w:rPr>
          <w:rFonts w:ascii="Arial" w:cs="Arial" w:eastAsia="Arial" w:hAnsi="Arial"/>
          <w:sz w:val="21"/>
          <w:szCs w:val="21"/>
        </w:rPr>
        <w:t xml:space="preserve">d) </w:t>
      </w:r>
      <w:r>
        <w:rPr>
          <w:rFonts w:ascii="Arial" w:cs="Arial" w:eastAsia="Arial" w:hAnsi="Arial"/>
          <w:sz w:val="21"/>
          <w:szCs w:val="21"/>
        </w:rPr>
        <w:t xml:space="preserve">demais documentos exigíveis em razão da natureza jurídica do interessado, inclusive, para entidades sem fins lucrativos, documento que comprove essa condição, quando pretenderem a preferência do item 9.4.</w:t>
      </w:r>
    </w:p>
    <w:p>
      <w:pPr>
        <w:spacing w:after="90" w:line="276"/>
        <w:ind w:left="0"/>
        <w:jc w:val="both"/>
      </w:pPr>
      <w:r>
        <w:rPr>
          <w:rFonts w:ascii="Arial" w:cs="Arial" w:eastAsia="Arial" w:hAnsi="Arial"/>
          <w:b w:val="false"/>
          <w:bCs w:val="false"/>
          <w:sz w:val="21"/>
          <w:szCs w:val="21"/>
        </w:rPr>
        <w:t xml:space="preserve">6.3. </w:t>
      </w:r>
      <w:r>
        <w:rPr>
          <w:rFonts w:ascii="Arial" w:cs="Arial" w:eastAsia="Arial" w:hAnsi="Arial"/>
          <w:b/>
          <w:bCs/>
          <w:sz w:val="21"/>
          <w:szCs w:val="21"/>
        </w:rPr>
        <w:t xml:space="preserve">Regularidade fiscal, social e trabalhista</w:t>
      </w:r>
      <w:r>
        <w:rPr>
          <w:rFonts w:ascii="Arial" w:cs="Arial" w:eastAsia="Arial" w:hAnsi="Arial"/>
          <w:sz w:val="21"/>
          <w:szCs w:val="21"/>
        </w:rPr>
        <w:t xml:space="preserve"> (art. 68 da Lei nº 14.133/2021):</w:t>
      </w:r>
    </w:p>
    <w:p>
      <w:pPr>
        <w:spacing w:after="60" w:line="264"/>
        <w:ind w:left="720" w:hanging="360"/>
        <w:jc w:val="both"/>
      </w:pPr>
      <w:r>
        <w:rPr>
          <w:rFonts w:ascii="Arial" w:cs="Arial" w:eastAsia="Arial" w:hAnsi="Arial"/>
          <w:sz w:val="21"/>
          <w:szCs w:val="21"/>
        </w:rPr>
        <w:t xml:space="preserve">a) </w:t>
      </w:r>
      <w:r>
        <w:rPr>
          <w:rFonts w:ascii="Arial" w:cs="Arial" w:eastAsia="Arial" w:hAnsi="Arial"/>
          <w:sz w:val="21"/>
          <w:szCs w:val="21"/>
        </w:rPr>
        <w:t xml:space="preserve">prova de regularidade perante as Fazendas federal (incluindo contribuições previdenciárias), estadual e municipal da sede do interessado;</w:t>
      </w:r>
    </w:p>
    <w:p>
      <w:pPr>
        <w:spacing w:after="60" w:line="264"/>
        <w:ind w:left="720" w:hanging="360"/>
        <w:jc w:val="both"/>
      </w:pPr>
      <w:r>
        <w:rPr>
          <w:rFonts w:ascii="Arial" w:cs="Arial" w:eastAsia="Arial" w:hAnsi="Arial"/>
          <w:sz w:val="21"/>
          <w:szCs w:val="21"/>
        </w:rPr>
        <w:t xml:space="preserve">b) </w:t>
      </w:r>
      <w:r>
        <w:rPr>
          <w:rFonts w:ascii="Arial" w:cs="Arial" w:eastAsia="Arial" w:hAnsi="Arial"/>
          <w:sz w:val="21"/>
          <w:szCs w:val="21"/>
        </w:rPr>
        <w:t xml:space="preserve">prova de regularidade perante o FGTS;</w:t>
      </w:r>
    </w:p>
    <w:p>
      <w:pPr>
        <w:spacing w:after="60" w:line="264"/>
        <w:ind w:left="720" w:hanging="360"/>
        <w:jc w:val="both"/>
      </w:pPr>
      <w:r>
        <w:rPr>
          <w:rFonts w:ascii="Arial" w:cs="Arial" w:eastAsia="Arial" w:hAnsi="Arial"/>
          <w:sz w:val="21"/>
          <w:szCs w:val="21"/>
        </w:rPr>
        <w:t xml:space="preserve">c) </w:t>
      </w:r>
      <w:r>
        <w:rPr>
          <w:rFonts w:ascii="Arial" w:cs="Arial" w:eastAsia="Arial" w:hAnsi="Arial"/>
          <w:sz w:val="21"/>
          <w:szCs w:val="21"/>
        </w:rPr>
        <w:t xml:space="preserve">certidão negativa de débitos trabalhistas;</w:t>
      </w:r>
    </w:p>
    <w:p>
      <w:pPr>
        <w:spacing w:after="60" w:line="264"/>
        <w:ind w:left="720" w:hanging="360"/>
        <w:jc w:val="both"/>
      </w:pPr>
      <w:r>
        <w:rPr>
          <w:rFonts w:ascii="Arial" w:cs="Arial" w:eastAsia="Arial" w:hAnsi="Arial"/>
          <w:sz w:val="21"/>
          <w:szCs w:val="21"/>
        </w:rPr>
        <w:t xml:space="preserve">d) </w:t>
      </w:r>
      <w:r>
        <w:rPr>
          <w:rFonts w:ascii="Arial" w:cs="Arial" w:eastAsia="Arial" w:hAnsi="Arial"/>
          <w:sz w:val="21"/>
          <w:szCs w:val="21"/>
        </w:rPr>
        <w:t xml:space="preserve">declaração de cumprimento do art. 7º, XXXIII, da Constituição Federal (Anexo V).</w:t>
      </w:r>
    </w:p>
    <w:p>
      <w:pPr>
        <w:spacing w:after="90" w:line="276"/>
        <w:ind w:left="0"/>
        <w:jc w:val="both"/>
      </w:pPr>
      <w:r>
        <w:rPr>
          <w:rFonts w:ascii="Arial" w:cs="Arial" w:eastAsia="Arial" w:hAnsi="Arial"/>
          <w:b w:val="false"/>
          <w:bCs w:val="false"/>
          <w:sz w:val="21"/>
          <w:szCs w:val="21"/>
        </w:rPr>
        <w:t xml:space="preserve">6.4. </w:t>
      </w:r>
      <w:r>
        <w:rPr>
          <w:rFonts w:ascii="Arial" w:cs="Arial" w:eastAsia="Arial" w:hAnsi="Arial"/>
          <w:b/>
          <w:bCs/>
          <w:sz w:val="21"/>
          <w:szCs w:val="21"/>
        </w:rPr>
        <w:t xml:space="preserve">Qualificação econômico-financeira:</w:t>
      </w:r>
      <w:r>
        <w:rPr>
          <w:rFonts w:ascii="Arial" w:cs="Arial" w:eastAsia="Arial" w:hAnsi="Arial"/>
          <w:sz w:val="21"/>
          <w:szCs w:val="21"/>
        </w:rPr>
        <w:t xml:space="preserve"> certidão negativa de falência expedida pelo distribuidor da sede do interessado.</w:t>
      </w:r>
    </w:p>
    <w:p>
      <w:pPr>
        <w:spacing w:after="90" w:line="276"/>
        <w:ind w:left="0"/>
        <w:jc w:val="both"/>
      </w:pPr>
      <w:r>
        <w:rPr>
          <w:rFonts w:ascii="Arial" w:cs="Arial" w:eastAsia="Arial" w:hAnsi="Arial"/>
          <w:b w:val="false"/>
          <w:bCs w:val="false"/>
          <w:sz w:val="21"/>
          <w:szCs w:val="21"/>
        </w:rPr>
        <w:t xml:space="preserve">6.5. </w:t>
      </w:r>
      <w:r>
        <w:rPr>
          <w:rFonts w:ascii="Arial" w:cs="Arial" w:eastAsia="Arial" w:hAnsi="Arial"/>
          <w:b/>
          <w:bCs/>
          <w:sz w:val="21"/>
          <w:szCs w:val="21"/>
        </w:rPr>
        <w:t xml:space="preserve">Qualificação técnico-operacional:</w:t>
      </w:r>
    </w:p>
    <w:p>
      <w:pPr>
        <w:spacing w:after="60" w:line="264"/>
        <w:ind w:left="720" w:hanging="360"/>
        <w:jc w:val="both"/>
      </w:pPr>
      <w:r>
        <w:rPr>
          <w:rFonts w:ascii="Arial" w:cs="Arial" w:eastAsia="Arial" w:hAnsi="Arial"/>
          <w:sz w:val="21"/>
          <w:szCs w:val="21"/>
        </w:rPr>
        <w:t xml:space="preserve">a) </w:t>
      </w:r>
      <w:r>
        <w:rPr>
          <w:rFonts w:ascii="Arial" w:cs="Arial" w:eastAsia="Arial" w:hAnsi="Arial"/>
          <w:sz w:val="21"/>
          <w:szCs w:val="21"/>
        </w:rPr>
        <w:t xml:space="preserve">atestado(s) emitido(s) por pessoa jurídica de direito público ou privado que demonstre(m) a execução satisfatória de serviços compatíveis com o procedimento pretendido, vedada a exigência de quantitativo mínimo;</w:t>
      </w:r>
    </w:p>
    <w:p>
      <w:pPr>
        <w:spacing w:after="60" w:line="264"/>
        <w:ind w:left="720" w:hanging="360"/>
        <w:jc w:val="both"/>
      </w:pPr>
      <w:r>
        <w:rPr>
          <w:rFonts w:ascii="Arial" w:cs="Arial" w:eastAsia="Arial" w:hAnsi="Arial"/>
          <w:sz w:val="21"/>
          <w:szCs w:val="21"/>
        </w:rPr>
        <w:t xml:space="preserve">b) </w:t>
      </w:r>
      <w:r>
        <w:rPr>
          <w:rFonts w:ascii="Arial" w:cs="Arial" w:eastAsia="Arial" w:hAnsi="Arial"/>
          <w:sz w:val="21"/>
          <w:szCs w:val="21"/>
        </w:rPr>
        <w:t xml:space="preserve">registro da pessoa jurídica e do responsável técnico no conselho profissional competente, quando exigível;</w:t>
      </w:r>
    </w:p>
    <w:p>
      <w:pPr>
        <w:spacing w:after="60" w:line="264"/>
        <w:ind w:left="720" w:hanging="360"/>
        <w:jc w:val="both"/>
      </w:pPr>
      <w:r>
        <w:rPr>
          <w:rFonts w:ascii="Arial" w:cs="Arial" w:eastAsia="Arial" w:hAnsi="Arial"/>
          <w:sz w:val="21"/>
          <w:szCs w:val="21"/>
        </w:rPr>
        <w:t xml:space="preserve">c) </w:t>
      </w:r>
      <w:r>
        <w:rPr>
          <w:rFonts w:ascii="Arial" w:cs="Arial" w:eastAsia="Arial" w:hAnsi="Arial"/>
          <w:sz w:val="21"/>
          <w:szCs w:val="21"/>
        </w:rPr>
        <w:t xml:space="preserve">CNES ativo e compatível, quando o interessado executar o procedimento em estabelecimento próprio ou quando o processamento da produção exigir vinculação cadastral específica;</w:t>
      </w:r>
    </w:p>
    <w:p>
      <w:pPr>
        <w:spacing w:after="60" w:line="264"/>
        <w:ind w:left="720" w:hanging="360"/>
        <w:jc w:val="both"/>
      </w:pPr>
      <w:r>
        <w:rPr>
          <w:rFonts w:ascii="Arial" w:cs="Arial" w:eastAsia="Arial" w:hAnsi="Arial"/>
          <w:sz w:val="21"/>
          <w:szCs w:val="21"/>
        </w:rPr>
        <w:t xml:space="preserve">d) </w:t>
      </w:r>
      <w:r>
        <w:rPr>
          <w:rFonts w:ascii="Arial" w:cs="Arial" w:eastAsia="Arial" w:hAnsi="Arial"/>
          <w:sz w:val="21"/>
          <w:szCs w:val="21"/>
        </w:rPr>
        <w:t xml:space="preserve">licença ou alvará sanitário do estabelecimento executor, quando este for de responsabilidade do credenciado;</w:t>
      </w:r>
    </w:p>
    <w:p>
      <w:pPr>
        <w:spacing w:after="60" w:line="264"/>
        <w:ind w:left="720" w:hanging="360"/>
        <w:jc w:val="both"/>
      </w:pPr>
      <w:r>
        <w:rPr>
          <w:rFonts w:ascii="Arial" w:cs="Arial" w:eastAsia="Arial" w:hAnsi="Arial"/>
          <w:sz w:val="21"/>
          <w:szCs w:val="21"/>
        </w:rPr>
        <w:t xml:space="preserve">e) </w:t>
      </w:r>
      <w:r>
        <w:rPr>
          <w:rFonts w:ascii="Arial" w:cs="Arial" w:eastAsia="Arial" w:hAnsi="Arial"/>
          <w:sz w:val="21"/>
          <w:szCs w:val="21"/>
        </w:rPr>
        <w:t xml:space="preserve">para tomografia e ultrassonografia, comprovação dos requisitos de proteção radiológica e da RDC Anvisa nº 611/2022, quando aplicáveis ao equipamento e ao estabelecimento do credenciado;</w:t>
      </w:r>
    </w:p>
    <w:p>
      <w:pPr>
        <w:spacing w:after="60" w:line="264"/>
        <w:ind w:left="720" w:hanging="360"/>
        <w:jc w:val="both"/>
      </w:pPr>
      <w:r>
        <w:rPr>
          <w:rFonts w:ascii="Arial" w:cs="Arial" w:eastAsia="Arial" w:hAnsi="Arial"/>
          <w:sz w:val="21"/>
          <w:szCs w:val="21"/>
        </w:rPr>
        <w:t xml:space="preserve">f) </w:t>
      </w:r>
      <w:r>
        <w:rPr>
          <w:rFonts w:ascii="Arial" w:cs="Arial" w:eastAsia="Arial" w:hAnsi="Arial"/>
          <w:sz w:val="21"/>
          <w:szCs w:val="21"/>
        </w:rPr>
        <w:t xml:space="preserve">comprovação das habilitações específicas exigidas pelo SIGTAP ou por norma do procedimento, quando aplicável.</w:t>
      </w:r>
    </w:p>
    <w:p>
      <w:pPr>
        <w:spacing w:after="90" w:line="276"/>
        <w:ind w:left="0"/>
        <w:jc w:val="both"/>
      </w:pPr>
      <w:r>
        <w:rPr>
          <w:rFonts w:ascii="Arial" w:cs="Arial" w:eastAsia="Arial" w:hAnsi="Arial"/>
          <w:b w:val="false"/>
          <w:bCs w:val="false"/>
          <w:sz w:val="21"/>
          <w:szCs w:val="21"/>
        </w:rPr>
        <w:t xml:space="preserve">6.6. </w:t>
      </w:r>
      <w:r>
        <w:rPr>
          <w:rFonts w:ascii="Arial" w:cs="Arial" w:eastAsia="Arial" w:hAnsi="Arial"/>
          <w:b/>
          <w:bCs/>
          <w:sz w:val="21"/>
          <w:szCs w:val="21"/>
        </w:rPr>
        <w:t xml:space="preserve">Qualificação técnico-profissional:</w:t>
      </w:r>
    </w:p>
    <w:p>
      <w:pPr>
        <w:spacing w:after="60" w:line="264"/>
        <w:ind w:left="720" w:hanging="360"/>
        <w:jc w:val="both"/>
      </w:pPr>
      <w:r>
        <w:rPr>
          <w:rFonts w:ascii="Arial" w:cs="Arial" w:eastAsia="Arial" w:hAnsi="Arial"/>
          <w:sz w:val="21"/>
          <w:szCs w:val="21"/>
        </w:rPr>
        <w:t xml:space="preserve">a) </w:t>
      </w:r>
      <w:r>
        <w:rPr>
          <w:rFonts w:ascii="Arial" w:cs="Arial" w:eastAsia="Arial" w:hAnsi="Arial"/>
          <w:sz w:val="21"/>
          <w:szCs w:val="21"/>
        </w:rPr>
        <w:t xml:space="preserve">relação dos profissionais que executarão cada procedimento, com registro ativo no conselho competente, inclusive CRM-MT quando aplicável;</w:t>
      </w:r>
    </w:p>
    <w:p>
      <w:pPr>
        <w:spacing w:after="60" w:line="264"/>
        <w:ind w:left="720" w:hanging="360"/>
        <w:jc w:val="both"/>
      </w:pPr>
      <w:r>
        <w:rPr>
          <w:rFonts w:ascii="Arial" w:cs="Arial" w:eastAsia="Arial" w:hAnsi="Arial"/>
          <w:sz w:val="21"/>
          <w:szCs w:val="21"/>
        </w:rPr>
        <w:t xml:space="preserve">b) </w:t>
      </w:r>
      <w:r>
        <w:rPr>
          <w:rFonts w:ascii="Arial" w:cs="Arial" w:eastAsia="Arial" w:hAnsi="Arial"/>
          <w:sz w:val="21"/>
          <w:szCs w:val="21"/>
        </w:rPr>
        <w:t xml:space="preserve">Registro de Qualificação de Especialista (RQE) compatível com o procedimento, quando exigível;</w:t>
      </w:r>
    </w:p>
    <w:p>
      <w:pPr>
        <w:spacing w:after="60" w:line="264"/>
        <w:ind w:left="720" w:hanging="360"/>
        <w:jc w:val="both"/>
      </w:pPr>
      <w:r>
        <w:rPr>
          <w:rFonts w:ascii="Arial" w:cs="Arial" w:eastAsia="Arial" w:hAnsi="Arial"/>
          <w:sz w:val="21"/>
          <w:szCs w:val="21"/>
        </w:rPr>
        <w:t xml:space="preserve">c) </w:t>
      </w:r>
      <w:r>
        <w:rPr>
          <w:rFonts w:ascii="Arial" w:cs="Arial" w:eastAsia="Arial" w:hAnsi="Arial"/>
          <w:sz w:val="21"/>
          <w:szCs w:val="21"/>
        </w:rPr>
        <w:t xml:space="preserve">comprovação de vínculo com o interessado ou termo de compromisso de disponibilidade do profissional, sem exigência de forma única de vínculo;</w:t>
      </w:r>
    </w:p>
    <w:p>
      <w:pPr>
        <w:spacing w:after="60" w:line="264"/>
        <w:ind w:left="720" w:hanging="360"/>
        <w:jc w:val="both"/>
      </w:pPr>
      <w:r>
        <w:rPr>
          <w:rFonts w:ascii="Arial" w:cs="Arial" w:eastAsia="Arial" w:hAnsi="Arial"/>
          <w:sz w:val="21"/>
          <w:szCs w:val="21"/>
        </w:rPr>
        <w:t xml:space="preserve">d) </w:t>
      </w:r>
      <w:r>
        <w:rPr>
          <w:rFonts w:ascii="Arial" w:cs="Arial" w:eastAsia="Arial" w:hAnsi="Arial"/>
          <w:sz w:val="21"/>
          <w:szCs w:val="21"/>
        </w:rPr>
        <w:t xml:space="preserve">escala ou declaração de disponibilidade dos profissionais, para verificação de compatibilidade de horários com eventual vínculo no serviço público;</w:t>
      </w:r>
    </w:p>
    <w:p>
      <w:pPr>
        <w:spacing w:after="60" w:line="264"/>
        <w:ind w:left="720" w:hanging="360"/>
        <w:jc w:val="both"/>
      </w:pPr>
      <w:r>
        <w:rPr>
          <w:rFonts w:ascii="Arial" w:cs="Arial" w:eastAsia="Arial" w:hAnsi="Arial"/>
          <w:sz w:val="21"/>
          <w:szCs w:val="21"/>
        </w:rPr>
        <w:t xml:space="preserve">e) </w:t>
      </w:r>
      <w:r>
        <w:rPr>
          <w:rFonts w:ascii="Arial" w:cs="Arial" w:eastAsia="Arial" w:hAnsi="Arial"/>
          <w:sz w:val="21"/>
          <w:szCs w:val="21"/>
        </w:rPr>
        <w:t xml:space="preserve">dados de CBO, CNES e carga horária necessários ao processamento da produção no SUS.</w:t>
      </w:r>
    </w:p>
    <w:p>
      <w:pPr>
        <w:spacing w:after="90" w:line="276"/>
        <w:ind w:left="0"/>
        <w:jc w:val="both"/>
      </w:pPr>
      <w:r>
        <w:rPr>
          <w:rFonts w:ascii="Arial" w:cs="Arial" w:eastAsia="Arial" w:hAnsi="Arial"/>
          <w:b w:val="false"/>
          <w:bCs w:val="false"/>
          <w:sz w:val="21"/>
          <w:szCs w:val="21"/>
        </w:rPr>
        <w:t xml:space="preserve">6.7. </w:t>
      </w:r>
      <w:r>
        <w:rPr>
          <w:rFonts w:ascii="Arial" w:cs="Arial" w:eastAsia="Arial" w:hAnsi="Arial"/>
          <w:sz w:val="21"/>
          <w:szCs w:val="21"/>
        </w:rPr>
        <w:t xml:space="preserve">Quando a execução ocorrer nas dependências do Hospital Municipal de Confresa, não será exigida do credenciado estrutura hospitalar que, pela matriz do Anexo III, seja fornecida pelo Hospital.</w:t>
      </w:r>
    </w:p>
    <w:p>
      <w:pPr>
        <w:spacing w:after="90" w:line="276"/>
        <w:ind w:left="0"/>
        <w:jc w:val="both"/>
      </w:pPr>
      <w:r>
        <w:rPr>
          <w:rFonts w:ascii="Arial" w:cs="Arial" w:eastAsia="Arial" w:hAnsi="Arial"/>
          <w:b w:val="false"/>
          <w:bCs w:val="false"/>
          <w:sz w:val="21"/>
          <w:szCs w:val="21"/>
        </w:rPr>
        <w:t xml:space="preserve">6.8. </w:t>
      </w:r>
      <w:r>
        <w:rPr>
          <w:rFonts w:ascii="Arial" w:cs="Arial" w:eastAsia="Arial" w:hAnsi="Arial"/>
          <w:sz w:val="21"/>
          <w:szCs w:val="21"/>
        </w:rPr>
        <w:t xml:space="preserve">Antes da decisão sobre o requerimento, serão consultados, em nome do interessado e de seus sócios, o CEIS, o CNEP, o Cadastro de Inidôneos do TCU e o cadastro do TCE-MT, bem como verificados diretamente no CNES e no CRM o cadastro dos profissionais indicados.</w:t>
      </w:r>
    </w:p>
    <w:p>
      <w:pPr>
        <w:spacing w:after="90" w:line="276"/>
        <w:ind w:left="0"/>
        <w:jc w:val="both"/>
      </w:pPr>
      <w:r>
        <w:rPr>
          <w:rFonts w:ascii="Arial" w:cs="Arial" w:eastAsia="Arial" w:hAnsi="Arial"/>
          <w:b w:val="false"/>
          <w:bCs w:val="false"/>
          <w:sz w:val="21"/>
          <w:szCs w:val="21"/>
        </w:rPr>
        <w:t xml:space="preserve">6.9. </w:t>
      </w:r>
      <w:r>
        <w:rPr>
          <w:rFonts w:ascii="Arial" w:cs="Arial" w:eastAsia="Arial" w:hAnsi="Arial"/>
          <w:sz w:val="21"/>
          <w:szCs w:val="21"/>
        </w:rPr>
        <w:t xml:space="preserve">Os documentos de habilitação deverão ser mantidos válidos durante toda a vigência do credenciamento e dos contratos.</w:t>
      </w:r>
    </w:p>
    <w:p>
      <w:pPr>
        <w:keepNext/>
        <w:spacing w:after="100" w:before="220"/>
        <w:jc w:val="left"/>
      </w:pPr>
      <w:r>
        <w:rPr>
          <w:rFonts w:ascii="Arial" w:cs="Arial" w:eastAsia="Arial" w:hAnsi="Arial"/>
          <w:b/>
          <w:bCs/>
          <w:sz w:val="22"/>
          <w:szCs w:val="22"/>
        </w:rPr>
        <w:t xml:space="preserve">7. DA ANÁLISE, DO RESULTADO E DOS RECURSOS</w:t>
      </w:r>
    </w:p>
    <w:p>
      <w:pPr>
        <w:spacing w:after="90" w:line="276"/>
        <w:ind w:left="0"/>
        <w:jc w:val="both"/>
      </w:pPr>
      <w:r>
        <w:rPr>
          <w:rFonts w:ascii="Arial" w:cs="Arial" w:eastAsia="Arial" w:hAnsi="Arial"/>
          <w:b w:val="false"/>
          <w:bCs w:val="false"/>
          <w:sz w:val="21"/>
          <w:szCs w:val="21"/>
        </w:rPr>
        <w:t xml:space="preserve">7.1. </w:t>
      </w:r>
      <w:r>
        <w:rPr>
          <w:rFonts w:ascii="Arial" w:cs="Arial" w:eastAsia="Arial" w:hAnsi="Arial"/>
          <w:sz w:val="21"/>
          <w:szCs w:val="21"/>
        </w:rPr>
        <w:t xml:space="preserve">O requerimento será analisado pelo agente de contratação ou pela comissão de credenciamento designada, com apoio técnico da Secretaria Municipal de Saúde, em até </w:t>
      </w:r>
      <w:r>
        <w:rPr>
          <w:rFonts w:ascii="Arial" w:cs="Arial" w:eastAsia="Arial" w:hAnsi="Arial"/>
          <w:b/>
          <w:bCs/>
          <w:sz w:val="21"/>
          <w:szCs w:val="21"/>
        </w:rPr>
        <w:t xml:space="preserve">10 (dez) dias úteis</w:t>
      </w:r>
      <w:r>
        <w:rPr>
          <w:rFonts w:ascii="Arial" w:cs="Arial" w:eastAsia="Arial" w:hAnsi="Arial"/>
          <w:sz w:val="21"/>
          <w:szCs w:val="21"/>
        </w:rPr>
        <w:t xml:space="preserve"> contados do protocolo, utilizando formulário padrão de análise, igual para todos os interessados.</w:t>
      </w:r>
    </w:p>
    <w:p>
      <w:pPr>
        <w:spacing w:after="90" w:line="276"/>
        <w:ind w:left="0"/>
        <w:jc w:val="both"/>
      </w:pPr>
      <w:r>
        <w:rPr>
          <w:rFonts w:ascii="Arial" w:cs="Arial" w:eastAsia="Arial" w:hAnsi="Arial"/>
          <w:b w:val="false"/>
          <w:bCs w:val="false"/>
          <w:sz w:val="21"/>
          <w:szCs w:val="21"/>
        </w:rPr>
        <w:t xml:space="preserve">7.2. </w:t>
      </w:r>
      <w:r>
        <w:rPr>
          <w:rFonts w:ascii="Arial" w:cs="Arial" w:eastAsia="Arial" w:hAnsi="Arial"/>
          <w:sz w:val="21"/>
          <w:szCs w:val="21"/>
        </w:rPr>
        <w:t xml:space="preserve">Constatada falha sanável, o interessado será diligenciado para saná-la em até </w:t>
      </w:r>
      <w:r>
        <w:rPr>
          <w:rFonts w:ascii="Arial" w:cs="Arial" w:eastAsia="Arial" w:hAnsi="Arial"/>
          <w:b/>
          <w:bCs/>
          <w:sz w:val="21"/>
          <w:szCs w:val="21"/>
        </w:rPr>
        <w:t xml:space="preserve">5 (cinco) dias úteis</w:t>
      </w:r>
      <w:r>
        <w:rPr>
          <w:rFonts w:ascii="Arial" w:cs="Arial" w:eastAsia="Arial" w:hAnsi="Arial"/>
          <w:sz w:val="21"/>
          <w:szCs w:val="21"/>
        </w:rPr>
        <w:t xml:space="preserve">, ficando suspenso o prazo de análise.</w:t>
      </w:r>
    </w:p>
    <w:p>
      <w:pPr>
        <w:spacing w:after="90" w:line="276"/>
        <w:ind w:left="0"/>
        <w:jc w:val="both"/>
      </w:pPr>
      <w:r>
        <w:rPr>
          <w:rFonts w:ascii="Arial" w:cs="Arial" w:eastAsia="Arial" w:hAnsi="Arial"/>
          <w:b w:val="false"/>
          <w:bCs w:val="false"/>
          <w:sz w:val="21"/>
          <w:szCs w:val="21"/>
        </w:rPr>
        <w:t xml:space="preserve">7.3. </w:t>
      </w:r>
      <w:r>
        <w:rPr>
          <w:rFonts w:ascii="Arial" w:cs="Arial" w:eastAsia="Arial" w:hAnsi="Arial"/>
          <w:sz w:val="21"/>
          <w:szCs w:val="21"/>
        </w:rPr>
        <w:t xml:space="preserve">A decisão de deferimento, total ou parcial, ou de indeferimento será motivada, indicará os códigos deferidos e será publicada no sítio oficial do Município, com comunicação ao interessado.</w:t>
      </w:r>
    </w:p>
    <w:p>
      <w:pPr>
        <w:spacing w:after="90" w:line="276"/>
        <w:ind w:left="0"/>
        <w:jc w:val="both"/>
      </w:pPr>
      <w:r>
        <w:rPr>
          <w:rFonts w:ascii="Arial" w:cs="Arial" w:eastAsia="Arial" w:hAnsi="Arial"/>
          <w:b w:val="false"/>
          <w:bCs w:val="false"/>
          <w:sz w:val="21"/>
          <w:szCs w:val="21"/>
        </w:rPr>
        <w:t xml:space="preserve">7.4. </w:t>
      </w:r>
      <w:r>
        <w:rPr>
          <w:rFonts w:ascii="Arial" w:cs="Arial" w:eastAsia="Arial" w:hAnsi="Arial"/>
          <w:sz w:val="21"/>
          <w:szCs w:val="21"/>
        </w:rPr>
        <w:t xml:space="preserve">Da decisão caberá recurso, no prazo de </w:t>
      </w:r>
      <w:r>
        <w:rPr>
          <w:rFonts w:ascii="Arial" w:cs="Arial" w:eastAsia="Arial" w:hAnsi="Arial"/>
          <w:b/>
          <w:bCs/>
          <w:sz w:val="21"/>
          <w:szCs w:val="21"/>
        </w:rPr>
        <w:t xml:space="preserve">3 (três) dias úteis</w:t>
      </w:r>
      <w:r>
        <w:rPr>
          <w:rFonts w:ascii="Arial" w:cs="Arial" w:eastAsia="Arial" w:hAnsi="Arial"/>
          <w:sz w:val="21"/>
          <w:szCs w:val="21"/>
        </w:rPr>
        <w:t xml:space="preserve"> contados da intimação ou publicação, dirigido à autoridade que a proferiu, a qual poderá reconsiderá-la em 3 (três) dias úteis ou encaminhá-lo à autoridade superior, que decidirá em até 10 (dez) dias úteis (art. 165 da Lei nº 14.133/2021).</w:t>
      </w:r>
    </w:p>
    <w:p>
      <w:pPr>
        <w:spacing w:after="90" w:line="276"/>
        <w:ind w:left="0"/>
        <w:jc w:val="both"/>
      </w:pPr>
      <w:r>
        <w:rPr>
          <w:rFonts w:ascii="Arial" w:cs="Arial" w:eastAsia="Arial" w:hAnsi="Arial"/>
          <w:b w:val="false"/>
          <w:bCs w:val="false"/>
          <w:sz w:val="21"/>
          <w:szCs w:val="21"/>
        </w:rPr>
        <w:t xml:space="preserve">7.5. </w:t>
      </w:r>
      <w:r>
        <w:rPr>
          <w:rFonts w:ascii="Arial" w:cs="Arial" w:eastAsia="Arial" w:hAnsi="Arial"/>
          <w:sz w:val="21"/>
          <w:szCs w:val="21"/>
        </w:rPr>
        <w:t xml:space="preserve">O indeferimento não impede novo requerimento, a qualquer tempo durante a vigência do Edital, com a correção das falhas apontadas.</w:t>
      </w:r>
    </w:p>
    <w:p>
      <w:pPr>
        <w:spacing w:after="90" w:line="276"/>
        <w:ind w:left="0"/>
        <w:jc w:val="both"/>
      </w:pPr>
      <w:r>
        <w:rPr>
          <w:rFonts w:ascii="Arial" w:cs="Arial" w:eastAsia="Arial" w:hAnsi="Arial"/>
          <w:b w:val="false"/>
          <w:bCs w:val="false"/>
          <w:sz w:val="21"/>
          <w:szCs w:val="21"/>
        </w:rPr>
        <w:t xml:space="preserve">7.6. </w:t>
      </w:r>
      <w:r>
        <w:rPr>
          <w:rFonts w:ascii="Arial" w:cs="Arial" w:eastAsia="Arial" w:hAnsi="Arial"/>
          <w:sz w:val="21"/>
          <w:szCs w:val="21"/>
        </w:rPr>
        <w:t xml:space="preserve">Deferido o requerimento, será emitido Termo de Credenciamento, que registra a aptidão do interessado para os códigos deferidos e não substitui o contrato. A relação atualizada de credenciados será publicada no sítio oficial.</w:t>
      </w:r>
    </w:p>
    <w:p>
      <w:pPr>
        <w:keepNext/>
        <w:spacing w:after="100" w:before="220"/>
        <w:jc w:val="left"/>
      </w:pPr>
      <w:r>
        <w:rPr>
          <w:rFonts w:ascii="Arial" w:cs="Arial" w:eastAsia="Arial" w:hAnsi="Arial"/>
          <w:b/>
          <w:bCs/>
          <w:sz w:val="22"/>
          <w:szCs w:val="22"/>
        </w:rPr>
        <w:t xml:space="preserve">8. DA CONTRATAÇÃO</w:t>
      </w:r>
    </w:p>
    <w:p>
      <w:pPr>
        <w:spacing w:after="90" w:line="276"/>
        <w:ind w:left="0"/>
        <w:jc w:val="both"/>
      </w:pPr>
      <w:r>
        <w:rPr>
          <w:rFonts w:ascii="Arial" w:cs="Arial" w:eastAsia="Arial" w:hAnsi="Arial"/>
          <w:b w:val="false"/>
          <w:bCs w:val="false"/>
          <w:sz w:val="21"/>
          <w:szCs w:val="21"/>
        </w:rPr>
        <w:t xml:space="preserve">8.1. </w:t>
      </w:r>
      <w:r>
        <w:rPr>
          <w:rFonts w:ascii="Arial" w:cs="Arial" w:eastAsia="Arial" w:hAnsi="Arial"/>
          <w:sz w:val="21"/>
          <w:szCs w:val="21"/>
        </w:rPr>
        <w:t xml:space="preserve">A execução dependerá de contrato administrativo escrito, precedido de processo de contratação direta por inexigibilidade (art. 74, IV), instruído na forma do art. 72 da Lei nº 14.133/2021, conforme a minuta do </w:t>
      </w:r>
      <w:r>
        <w:rPr>
          <w:rFonts w:ascii="Arial" w:cs="Arial" w:eastAsia="Arial" w:hAnsi="Arial"/>
          <w:b/>
          <w:bCs/>
          <w:sz w:val="21"/>
          <w:szCs w:val="21"/>
        </w:rPr>
        <w:t xml:space="preserve">Anexo VI</w:t>
      </w:r>
      <w:r>
        <w:rPr>
          <w:rFonts w:ascii="Arial" w:cs="Arial" w:eastAsia="Arial" w:hAnsi="Arial"/>
          <w:sz w:val="21"/>
          <w:szCs w:val="21"/>
        </w:rPr>
        <w:t xml:space="preserve">.</w:t>
      </w:r>
    </w:p>
    <w:p>
      <w:pPr>
        <w:spacing w:after="90" w:line="276"/>
        <w:ind w:left="0"/>
        <w:jc w:val="both"/>
      </w:pPr>
      <w:r>
        <w:rPr>
          <w:rFonts w:ascii="Arial" w:cs="Arial" w:eastAsia="Arial" w:hAnsi="Arial"/>
          <w:b w:val="false"/>
          <w:bCs w:val="false"/>
          <w:sz w:val="21"/>
          <w:szCs w:val="21"/>
        </w:rPr>
        <w:t xml:space="preserve">8.2. </w:t>
      </w:r>
      <w:r>
        <w:rPr>
          <w:rFonts w:ascii="Arial" w:cs="Arial" w:eastAsia="Arial" w:hAnsi="Arial"/>
          <w:sz w:val="21"/>
          <w:szCs w:val="21"/>
        </w:rPr>
        <w:t xml:space="preserve">Sempre que viável jurídica, operacional e orçamentariamente, serão contratados todos os credenciados aptos. Não sendo possível, a convocação para contratar seguirá a ordem da lista do procedimento (item 9), vedada escolha discricionária.</w:t>
      </w:r>
    </w:p>
    <w:p>
      <w:pPr>
        <w:spacing w:after="90" w:line="276"/>
        <w:ind w:left="0"/>
        <w:jc w:val="both"/>
      </w:pPr>
      <w:r>
        <w:rPr>
          <w:rFonts w:ascii="Arial" w:cs="Arial" w:eastAsia="Arial" w:hAnsi="Arial"/>
          <w:b w:val="false"/>
          <w:bCs w:val="false"/>
          <w:sz w:val="21"/>
          <w:szCs w:val="21"/>
        </w:rPr>
        <w:t xml:space="preserve">8.3. </w:t>
      </w:r>
      <w:r>
        <w:rPr>
          <w:rFonts w:ascii="Arial" w:cs="Arial" w:eastAsia="Arial" w:hAnsi="Arial"/>
          <w:sz w:val="21"/>
          <w:szCs w:val="21"/>
        </w:rPr>
        <w:t xml:space="preserve">O credenciado será convocado para assinar o contrato em até </w:t>
      </w:r>
      <w:r>
        <w:rPr>
          <w:rFonts w:ascii="Arial" w:cs="Arial" w:eastAsia="Arial" w:hAnsi="Arial"/>
          <w:b/>
          <w:bCs/>
          <w:sz w:val="21"/>
          <w:szCs w:val="21"/>
        </w:rPr>
        <w:t xml:space="preserve">5 (cinco) dias úteis</w:t>
      </w:r>
      <w:r>
        <w:rPr>
          <w:rFonts w:ascii="Arial" w:cs="Arial" w:eastAsia="Arial" w:hAnsi="Arial"/>
          <w:sz w:val="21"/>
          <w:szCs w:val="21"/>
        </w:rPr>
        <w:t xml:space="preserve">, prorrogáveis uma vez, por igual período, mediante justificativa aceita. A recusa injustificada poderá sujeitá-lo às sanções do art. 156 da Lei nº 14.133/2021.</w:t>
      </w:r>
    </w:p>
    <w:p>
      <w:pPr>
        <w:spacing w:after="90" w:line="276"/>
        <w:ind w:left="0"/>
        <w:jc w:val="both"/>
      </w:pPr>
      <w:r>
        <w:rPr>
          <w:rFonts w:ascii="Arial" w:cs="Arial" w:eastAsia="Arial" w:hAnsi="Arial"/>
          <w:b w:val="false"/>
          <w:bCs w:val="false"/>
          <w:sz w:val="21"/>
          <w:szCs w:val="21"/>
        </w:rPr>
        <w:t xml:space="preserve">8.4. </w:t>
      </w:r>
      <w:r>
        <w:rPr>
          <w:rFonts w:ascii="Arial" w:cs="Arial" w:eastAsia="Arial" w:hAnsi="Arial"/>
          <w:sz w:val="21"/>
          <w:szCs w:val="21"/>
        </w:rPr>
        <w:t xml:space="preserve">Cada contrato conterá apenas os códigos para os quais o credenciado esteja habilitado, com valores unitários do Anexo II e teto estimado compatível com o saldo da programação, sendo vedado reproduzir o valor global de R$ 9.398.427,27 como teto individual.</w:t>
      </w:r>
    </w:p>
    <w:p>
      <w:pPr>
        <w:spacing w:after="90" w:line="276"/>
        <w:ind w:left="0"/>
        <w:jc w:val="both"/>
      </w:pPr>
      <w:r>
        <w:rPr>
          <w:rFonts w:ascii="Arial" w:cs="Arial" w:eastAsia="Arial" w:hAnsi="Arial"/>
          <w:b w:val="false"/>
          <w:bCs w:val="false"/>
          <w:sz w:val="21"/>
          <w:szCs w:val="21"/>
        </w:rPr>
        <w:t xml:space="preserve">8.5. </w:t>
      </w:r>
      <w:r>
        <w:rPr>
          <w:rFonts w:ascii="Arial" w:cs="Arial" w:eastAsia="Arial" w:hAnsi="Arial"/>
          <w:sz w:val="21"/>
          <w:szCs w:val="21"/>
        </w:rPr>
        <w:t xml:space="preserve">É vedada a execução ou o faturamento de qualquer procedimento com base apenas no Termo de Credenciamento ou na Ordem de Serviço estadual.</w:t>
      </w:r>
    </w:p>
    <w:p>
      <w:pPr>
        <w:keepNext/>
        <w:spacing w:after="100" w:before="220"/>
        <w:jc w:val="left"/>
      </w:pPr>
      <w:r>
        <w:rPr>
          <w:rFonts w:ascii="Arial" w:cs="Arial" w:eastAsia="Arial" w:hAnsi="Arial"/>
          <w:b/>
          <w:bCs/>
          <w:sz w:val="22"/>
          <w:szCs w:val="22"/>
        </w:rPr>
        <w:t xml:space="preserve">9. DA DISTRIBUIÇÃO DA DEMANDA</w:t>
      </w:r>
    </w:p>
    <w:p>
      <w:pPr>
        <w:spacing w:after="90" w:line="276"/>
        <w:ind w:left="0"/>
        <w:jc w:val="both"/>
      </w:pPr>
      <w:r>
        <w:rPr>
          <w:rFonts w:ascii="Arial" w:cs="Arial" w:eastAsia="Arial" w:hAnsi="Arial"/>
          <w:b w:val="false"/>
          <w:bCs w:val="false"/>
          <w:sz w:val="21"/>
          <w:szCs w:val="21"/>
        </w:rPr>
        <w:t xml:space="preserve">9.1. </w:t>
      </w:r>
      <w:r>
        <w:rPr>
          <w:rFonts w:ascii="Arial" w:cs="Arial" w:eastAsia="Arial" w:hAnsi="Arial"/>
          <w:sz w:val="21"/>
          <w:szCs w:val="21"/>
        </w:rPr>
        <w:t xml:space="preserve">Será mantida lista independente para cada código, integrada exclusivamente pelos credenciados contratados para aquele código. O rodízio é independente por código.</w:t>
      </w:r>
    </w:p>
    <w:p>
      <w:pPr>
        <w:spacing w:after="90" w:line="276"/>
        <w:ind w:left="0"/>
        <w:jc w:val="both"/>
      </w:pPr>
      <w:r>
        <w:rPr>
          <w:rFonts w:ascii="Arial" w:cs="Arial" w:eastAsia="Arial" w:hAnsi="Arial"/>
          <w:b w:val="false"/>
          <w:bCs w:val="false"/>
          <w:sz w:val="21"/>
          <w:szCs w:val="21"/>
        </w:rPr>
        <w:t xml:space="preserve">9.2. </w:t>
      </w:r>
      <w:r>
        <w:rPr>
          <w:rFonts w:ascii="Arial" w:cs="Arial" w:eastAsia="Arial" w:hAnsi="Arial"/>
          <w:sz w:val="21"/>
          <w:szCs w:val="21"/>
        </w:rPr>
        <w:t xml:space="preserve">Havendo mais de um contratado para o mesmo código, a ordem inicial será definida por </w:t>
      </w:r>
      <w:r>
        <w:rPr>
          <w:rFonts w:ascii="Arial" w:cs="Arial" w:eastAsia="Arial" w:hAnsi="Arial"/>
          <w:b/>
          <w:bCs/>
          <w:sz w:val="21"/>
          <w:szCs w:val="21"/>
        </w:rPr>
        <w:t xml:space="preserve">sorteio público</w:t>
      </w:r>
      <w:r>
        <w:rPr>
          <w:rFonts w:ascii="Arial" w:cs="Arial" w:eastAsia="Arial" w:hAnsi="Arial"/>
          <w:sz w:val="21"/>
          <w:szCs w:val="21"/>
        </w:rPr>
        <w:t xml:space="preserve">, presencial ou eletrônico, divulgado no sítio oficial com antecedência mínima de </w:t>
      </w:r>
      <w:r>
        <w:rPr>
          <w:rFonts w:ascii="Arial" w:cs="Arial" w:eastAsia="Arial" w:hAnsi="Arial"/>
          <w:b/>
          <w:bCs/>
          <w:sz w:val="21"/>
          <w:szCs w:val="21"/>
        </w:rPr>
        <w:t xml:space="preserve">2 (dois) dias úteis</w:t>
      </w:r>
      <w:r>
        <w:rPr>
          <w:rFonts w:ascii="Arial" w:cs="Arial" w:eastAsia="Arial" w:hAnsi="Arial"/>
          <w:sz w:val="21"/>
          <w:szCs w:val="21"/>
        </w:rPr>
        <w:t xml:space="preserve">, com lavratura de ata contendo o código, os participantes, o resultado, a data e os responsáveis. Existindo um único contratado, este ocupará a primeira posição sem sorteio.</w:t>
      </w:r>
    </w:p>
    <w:p>
      <w:pPr>
        <w:spacing w:after="90" w:line="276"/>
        <w:ind w:left="0"/>
        <w:jc w:val="both"/>
      </w:pPr>
      <w:r>
        <w:rPr>
          <w:rFonts w:ascii="Arial" w:cs="Arial" w:eastAsia="Arial" w:hAnsi="Arial"/>
          <w:b w:val="false"/>
          <w:bCs w:val="false"/>
          <w:sz w:val="21"/>
          <w:szCs w:val="21"/>
        </w:rPr>
        <w:t xml:space="preserve">9.3. </w:t>
      </w:r>
      <w:r>
        <w:rPr>
          <w:rFonts w:ascii="Arial" w:cs="Arial" w:eastAsia="Arial" w:hAnsi="Arial"/>
          <w:sz w:val="21"/>
          <w:szCs w:val="21"/>
        </w:rPr>
        <w:t xml:space="preserve">O novo credenciado que concluir a contratação ingressará ao final da lista vigente, sem novo sorteio e sem alteração das posições anteriores.</w:t>
      </w:r>
    </w:p>
    <w:p>
      <w:pPr>
        <w:spacing w:after="90" w:line="276"/>
        <w:ind w:left="0"/>
        <w:jc w:val="both"/>
      </w:pPr>
      <w:r>
        <w:rPr>
          <w:rFonts w:ascii="Arial" w:cs="Arial" w:eastAsia="Arial" w:hAnsi="Arial"/>
          <w:b w:val="false"/>
          <w:bCs w:val="false"/>
          <w:sz w:val="21"/>
          <w:szCs w:val="21"/>
        </w:rPr>
        <w:t xml:space="preserve">9.4. </w:t>
      </w:r>
      <w:r>
        <w:rPr>
          <w:rFonts w:ascii="Arial" w:cs="Arial" w:eastAsia="Arial" w:hAnsi="Arial"/>
          <w:b/>
          <w:bCs/>
          <w:sz w:val="21"/>
          <w:szCs w:val="21"/>
        </w:rPr>
        <w:t xml:space="preserve">Preferência legal.</w:t>
      </w:r>
      <w:r>
        <w:rPr>
          <w:rFonts w:ascii="Arial" w:cs="Arial" w:eastAsia="Arial" w:hAnsi="Arial"/>
          <w:sz w:val="21"/>
          <w:szCs w:val="21"/>
        </w:rPr>
        <w:t xml:space="preserve"> Nos termos do art. 199, § 1º, da Constituição Federal e do art. 25 da Lei nº 8.080/1990, em cada lista, as entidades filantrópicas e sem fins lucrativos credenciadas, com essa condição comprovada, serão convocadas antes das demais, em rodízio entre si. A demanda que aquelas entidades não absorverem, por inexistência, recusa, indisponibilidade ou insuficiência da capacidade declarada, passará às demais credenciadas, também em rodízio (Parecer Jurídico nº 401/2026-PGM, item 10).</w:t>
      </w:r>
    </w:p>
    <w:p>
      <w:pPr>
        <w:spacing w:after="90" w:line="276"/>
        <w:ind w:left="0"/>
        <w:jc w:val="both"/>
      </w:pPr>
      <w:r>
        <w:rPr>
          <w:rFonts w:ascii="Arial" w:cs="Arial" w:eastAsia="Arial" w:hAnsi="Arial"/>
          <w:b w:val="false"/>
          <w:bCs w:val="false"/>
          <w:sz w:val="21"/>
          <w:szCs w:val="21"/>
        </w:rPr>
        <w:t xml:space="preserve">9.5. </w:t>
      </w:r>
      <w:r>
        <w:rPr>
          <w:rFonts w:ascii="Arial" w:cs="Arial" w:eastAsia="Arial" w:hAnsi="Arial"/>
          <w:sz w:val="21"/>
          <w:szCs w:val="21"/>
        </w:rPr>
        <w:t xml:space="preserve">A Regulação definirá o usuário a ser atendido, observando a fila oficial, a classificação de risco e a prioridade clínica. A definição do prestador observará exclusivamente a lista do código.</w:t>
      </w:r>
    </w:p>
    <w:p>
      <w:pPr>
        <w:spacing w:after="90" w:line="276"/>
        <w:ind w:left="0"/>
        <w:jc w:val="both"/>
      </w:pPr>
      <w:r>
        <w:rPr>
          <w:rFonts w:ascii="Arial" w:cs="Arial" w:eastAsia="Arial" w:hAnsi="Arial"/>
          <w:b w:val="false"/>
          <w:bCs w:val="false"/>
          <w:sz w:val="21"/>
          <w:szCs w:val="21"/>
        </w:rPr>
        <w:t xml:space="preserve">9.6. </w:t>
      </w:r>
      <w:r>
        <w:rPr>
          <w:rFonts w:ascii="Arial" w:cs="Arial" w:eastAsia="Arial" w:hAnsi="Arial"/>
          <w:sz w:val="21"/>
          <w:szCs w:val="21"/>
        </w:rPr>
        <w:t xml:space="preserve">Para consultas, exames e procedimentos individualizáveis, cada autorização corresponderá a uma unidade de distribuição. Para cirurgias organizadas por agenda ou mutirão, a distribuição poderá ocorrer por agenda, cujo quantitativo será definido e registrado pela Regulação/Hospital </w:t>
      </w:r>
      <w:r>
        <w:rPr>
          <w:rFonts w:ascii="Arial" w:cs="Arial" w:eastAsia="Arial" w:hAnsi="Arial"/>
          <w:b/>
          <w:bCs/>
          <w:sz w:val="21"/>
          <w:szCs w:val="21"/>
        </w:rPr>
        <w:t xml:space="preserve">antes</w:t>
      </w:r>
      <w:r>
        <w:rPr>
          <w:rFonts w:ascii="Arial" w:cs="Arial" w:eastAsia="Arial" w:hAnsi="Arial"/>
          <w:sz w:val="21"/>
          <w:szCs w:val="21"/>
        </w:rPr>
        <w:t xml:space="preserve"> da consulta à lista de prestadores, vedado o fracionamento ou a ampliação artificial de agendas.</w:t>
      </w:r>
    </w:p>
    <w:p>
      <w:pPr>
        <w:spacing w:after="90" w:line="276"/>
        <w:ind w:left="0"/>
        <w:jc w:val="both"/>
      </w:pPr>
      <w:r>
        <w:rPr>
          <w:rFonts w:ascii="Arial" w:cs="Arial" w:eastAsia="Arial" w:hAnsi="Arial"/>
          <w:b w:val="false"/>
          <w:bCs w:val="false"/>
          <w:sz w:val="21"/>
          <w:szCs w:val="21"/>
        </w:rPr>
        <w:t xml:space="preserve">9.7. </w:t>
      </w:r>
      <w:r>
        <w:rPr>
          <w:rFonts w:ascii="Arial" w:cs="Arial" w:eastAsia="Arial" w:hAnsi="Arial"/>
          <w:sz w:val="21"/>
          <w:szCs w:val="21"/>
        </w:rPr>
        <w:t xml:space="preserve">Identificada a demanda, será convocado o primeiro da lista, pelo e-mail informado no requerimento, com indicação de código, quantitativo ou agenda, local, data prevista, componentes atribuídos e documentos necessários. O convocado deverá responder em até </w:t>
      </w:r>
      <w:r>
        <w:rPr>
          <w:rFonts w:ascii="Arial" w:cs="Arial" w:eastAsia="Arial" w:hAnsi="Arial"/>
          <w:b/>
          <w:bCs/>
          <w:sz w:val="21"/>
          <w:szCs w:val="21"/>
        </w:rPr>
        <w:t xml:space="preserve">2 (dois) dias úteis</w:t>
      </w:r>
      <w:r>
        <w:rPr>
          <w:rFonts w:ascii="Arial" w:cs="Arial" w:eastAsia="Arial" w:hAnsi="Arial"/>
          <w:sz w:val="21"/>
          <w:szCs w:val="21"/>
        </w:rPr>
        <w:t xml:space="preserve">; a ausência de resposta no prazo equivale a recusa.</w:t>
      </w:r>
    </w:p>
    <w:p>
      <w:pPr>
        <w:spacing w:after="90" w:line="276"/>
        <w:ind w:left="0"/>
        <w:jc w:val="both"/>
      </w:pPr>
      <w:r>
        <w:rPr>
          <w:rFonts w:ascii="Arial" w:cs="Arial" w:eastAsia="Arial" w:hAnsi="Arial"/>
          <w:b w:val="false"/>
          <w:bCs w:val="false"/>
          <w:sz w:val="21"/>
          <w:szCs w:val="21"/>
        </w:rPr>
        <w:t xml:space="preserve">9.8. </w:t>
      </w:r>
      <w:r>
        <w:rPr>
          <w:rFonts w:ascii="Arial" w:cs="Arial" w:eastAsia="Arial" w:hAnsi="Arial"/>
          <w:sz w:val="21"/>
          <w:szCs w:val="21"/>
        </w:rPr>
        <w:t xml:space="preserve">Executada a unidade ou agenda atribuída, ou havendo recusa ou indisponibilidade, o prestador será reposicionado ao final da lista e convocado o seguinte. A recusa injustificada reiterada poderá caracterizar descumprimento contratual, observado o devido processo.</w:t>
      </w:r>
    </w:p>
    <w:p>
      <w:pPr>
        <w:spacing w:after="90" w:line="276"/>
        <w:ind w:left="0"/>
        <w:jc w:val="both"/>
      </w:pPr>
      <w:r>
        <w:rPr>
          <w:rFonts w:ascii="Arial" w:cs="Arial" w:eastAsia="Arial" w:hAnsi="Arial"/>
          <w:b w:val="false"/>
          <w:bCs w:val="false"/>
          <w:sz w:val="21"/>
          <w:szCs w:val="21"/>
        </w:rPr>
        <w:t xml:space="preserve">9.9. </w:t>
      </w:r>
      <w:r>
        <w:rPr>
          <w:rFonts w:ascii="Arial" w:cs="Arial" w:eastAsia="Arial" w:hAnsi="Arial"/>
          <w:sz w:val="21"/>
          <w:szCs w:val="21"/>
        </w:rPr>
        <w:t xml:space="preserve">O credenciado poderá solicitar suspensão temporária de novas demandas por até 60 (sessenta) dias. Encerrado o período, retornará ao final da lista.</w:t>
      </w:r>
    </w:p>
    <w:p>
      <w:pPr>
        <w:spacing w:after="90" w:line="276"/>
        <w:ind w:left="0"/>
        <w:jc w:val="both"/>
      </w:pPr>
      <w:r>
        <w:rPr>
          <w:rFonts w:ascii="Arial" w:cs="Arial" w:eastAsia="Arial" w:hAnsi="Arial"/>
          <w:b w:val="false"/>
          <w:bCs w:val="false"/>
          <w:sz w:val="21"/>
          <w:szCs w:val="21"/>
        </w:rPr>
        <w:t xml:space="preserve">9.10. </w:t>
      </w:r>
      <w:r>
        <w:rPr>
          <w:rFonts w:ascii="Arial" w:cs="Arial" w:eastAsia="Arial" w:hAnsi="Arial"/>
          <w:sz w:val="21"/>
          <w:szCs w:val="21"/>
        </w:rPr>
        <w:t xml:space="preserve">O prestador não será obrigado a receber quantitativo superior à capacidade operacional declarada e aceita. Quando o primeiro da lista não tiver capacidade para toda a agenda, receberá quantitativo até essa capacidade, e o saldo será tratado como nova distribuição ao seguinte.</w:t>
      </w:r>
    </w:p>
    <w:p>
      <w:pPr>
        <w:spacing w:after="90" w:line="276"/>
        <w:ind w:left="0"/>
        <w:jc w:val="both"/>
      </w:pPr>
      <w:r>
        <w:rPr>
          <w:rFonts w:ascii="Arial" w:cs="Arial" w:eastAsia="Arial" w:hAnsi="Arial"/>
          <w:b w:val="false"/>
          <w:bCs w:val="false"/>
          <w:sz w:val="21"/>
          <w:szCs w:val="21"/>
        </w:rPr>
        <w:t xml:space="preserve">9.11. </w:t>
      </w:r>
      <w:r>
        <w:rPr>
          <w:rFonts w:ascii="Arial" w:cs="Arial" w:eastAsia="Arial" w:hAnsi="Arial"/>
          <w:sz w:val="21"/>
          <w:szCs w:val="21"/>
        </w:rPr>
        <w:t xml:space="preserve">A Secretaria Municipal de Saúde manterá controle por código, com histórico não editável, contendo as informações mínimas do Apêndice III do Termo de Referência, e publicará mensalmente, no Portal da Transparência, a relação de credenciados, a ordem do rodízio e a quantidade executada por prestador, sem dados de pacientes.</w:t>
      </w:r>
    </w:p>
    <w:p>
      <w:pPr>
        <w:keepNext/>
        <w:spacing w:after="100" w:before="220"/>
        <w:jc w:val="left"/>
      </w:pPr>
      <w:r>
        <w:rPr>
          <w:rFonts w:ascii="Arial" w:cs="Arial" w:eastAsia="Arial" w:hAnsi="Arial"/>
          <w:b/>
          <w:bCs/>
          <w:sz w:val="22"/>
          <w:szCs w:val="22"/>
        </w:rPr>
        <w:t xml:space="preserve">10. DO LOCAL E DAS CONDIÇÕES DE EXECUÇÃO</w:t>
      </w:r>
    </w:p>
    <w:p>
      <w:pPr>
        <w:spacing w:after="90" w:line="276"/>
        <w:ind w:left="0"/>
        <w:jc w:val="both"/>
      </w:pPr>
      <w:r>
        <w:rPr>
          <w:rFonts w:ascii="Arial" w:cs="Arial" w:eastAsia="Arial" w:hAnsi="Arial"/>
          <w:b w:val="false"/>
          <w:bCs w:val="false"/>
          <w:sz w:val="21"/>
          <w:szCs w:val="21"/>
        </w:rPr>
        <w:t xml:space="preserve">10.1. </w:t>
      </w:r>
      <w:r>
        <w:rPr>
          <w:rFonts w:ascii="Arial" w:cs="Arial" w:eastAsia="Arial" w:hAnsi="Arial"/>
          <w:sz w:val="21"/>
          <w:szCs w:val="21"/>
        </w:rPr>
        <w:t xml:space="preserve">Os procedimentos cirúrgicos, as consultas e as sedações serão executados no </w:t>
      </w:r>
      <w:r>
        <w:rPr>
          <w:rFonts w:ascii="Arial" w:cs="Arial" w:eastAsia="Arial" w:hAnsi="Arial"/>
          <w:b/>
          <w:bCs/>
          <w:sz w:val="21"/>
          <w:szCs w:val="21"/>
        </w:rPr>
        <w:t xml:space="preserve">Hospital Municipal de Confresa – CNES 2793636</w:t>
      </w:r>
      <w:r>
        <w:rPr>
          <w:rFonts w:ascii="Arial" w:cs="Arial" w:eastAsia="Arial" w:hAnsi="Arial"/>
          <w:sz w:val="21"/>
          <w:szCs w:val="21"/>
        </w:rPr>
        <w:t xml:space="preserve">, estabelecimento executor registrado na Memória de Cálculo da programação, utilizando a estrutura e os componentes atribuídos ao Hospital pela matriz do </w:t>
      </w:r>
      <w:r>
        <w:rPr>
          <w:rFonts w:ascii="Arial" w:cs="Arial" w:eastAsia="Arial" w:hAnsi="Arial"/>
          <w:b/>
          <w:bCs/>
          <w:sz w:val="21"/>
          <w:szCs w:val="21"/>
        </w:rPr>
        <w:t xml:space="preserve">Anexo III</w:t>
      </w:r>
      <w:r>
        <w:rPr>
          <w:rFonts w:ascii="Arial" w:cs="Arial" w:eastAsia="Arial" w:hAnsi="Arial"/>
          <w:sz w:val="21"/>
          <w:szCs w:val="21"/>
        </w:rPr>
        <w:t xml:space="preserve">.</w:t>
      </w:r>
    </w:p>
    <w:p>
      <w:pPr>
        <w:spacing w:after="90" w:line="276"/>
        <w:ind w:left="0"/>
        <w:jc w:val="both"/>
      </w:pPr>
      <w:r>
        <w:rPr>
          <w:rFonts w:ascii="Arial" w:cs="Arial" w:eastAsia="Arial" w:hAnsi="Arial"/>
          <w:b w:val="false"/>
          <w:bCs w:val="false"/>
          <w:sz w:val="21"/>
          <w:szCs w:val="21"/>
        </w:rPr>
        <w:t xml:space="preserve">10.2. </w:t>
      </w:r>
      <w:r>
        <w:rPr>
          <w:rFonts w:ascii="Arial" w:cs="Arial" w:eastAsia="Arial" w:hAnsi="Arial"/>
          <w:sz w:val="21"/>
          <w:szCs w:val="21"/>
        </w:rPr>
        <w:t xml:space="preserve">Nos exames de tomografia computadorizada e ultrassonografia, a credenciada fornecerá os profissionais, os equipamentos, a operação, os insumos e o laudo, conforme a matriz do Anexo III.</w:t>
      </w:r>
    </w:p>
    <w:p>
      <w:pPr>
        <w:spacing w:after="90" w:line="276"/>
        <w:ind w:left="0"/>
        <w:jc w:val="both"/>
      </w:pPr>
      <w:r>
        <w:rPr>
          <w:rFonts w:ascii="Arial" w:cs="Arial" w:eastAsia="Arial" w:hAnsi="Arial"/>
          <w:b w:val="false"/>
          <w:bCs w:val="false"/>
          <w:sz w:val="21"/>
          <w:szCs w:val="21"/>
        </w:rPr>
        <w:t xml:space="preserve">10.3. </w:t>
      </w:r>
      <w:r>
        <w:rPr>
          <w:rFonts w:ascii="Arial" w:cs="Arial" w:eastAsia="Arial" w:hAnsi="Arial"/>
          <w:sz w:val="21"/>
          <w:szCs w:val="21"/>
        </w:rPr>
        <w:t xml:space="preserve">A execução em estabelecimento diverso do CNES 2793636 somente poderá ocorrer após regularização formal perante a SES/MT, o CNES e os sistemas oficiais, e antes da primeira convocação do respectivo código (item 7.3 do Termo de Referência).</w:t>
      </w:r>
    </w:p>
    <w:p>
      <w:pPr>
        <w:spacing w:after="90" w:line="276"/>
        <w:ind w:left="0"/>
        <w:jc w:val="both"/>
      </w:pPr>
      <w:r>
        <w:rPr>
          <w:rFonts w:ascii="Arial" w:cs="Arial" w:eastAsia="Arial" w:hAnsi="Arial"/>
          <w:b w:val="false"/>
          <w:bCs w:val="false"/>
          <w:sz w:val="21"/>
          <w:szCs w:val="21"/>
        </w:rPr>
        <w:t xml:space="preserve">10.4. </w:t>
      </w:r>
      <w:r>
        <w:rPr>
          <w:rFonts w:ascii="Arial" w:cs="Arial" w:eastAsia="Arial" w:hAnsi="Arial"/>
          <w:sz w:val="21"/>
          <w:szCs w:val="21"/>
        </w:rPr>
        <w:t xml:space="preserve">As autorizações observarão o IndicaSUS, o SISREG III, o REGULA MT ou sistema substituto, e a produção será processada nos sistemas oficiais (SIA/SIHD).</w:t>
      </w:r>
    </w:p>
    <w:p>
      <w:pPr>
        <w:spacing w:after="90" w:line="276"/>
        <w:ind w:left="0"/>
        <w:jc w:val="both"/>
      </w:pPr>
      <w:r>
        <w:rPr>
          <w:rFonts w:ascii="Arial" w:cs="Arial" w:eastAsia="Arial" w:hAnsi="Arial"/>
          <w:b w:val="false"/>
          <w:bCs w:val="false"/>
          <w:sz w:val="21"/>
          <w:szCs w:val="21"/>
        </w:rPr>
        <w:t xml:space="preserve">10.5. </w:t>
      </w:r>
      <w:r>
        <w:rPr>
          <w:rFonts w:ascii="Arial" w:cs="Arial" w:eastAsia="Arial" w:hAnsi="Arial"/>
          <w:sz w:val="21"/>
          <w:szCs w:val="21"/>
        </w:rPr>
        <w:t xml:space="preserve">O fluxo assistencial, as responsabilidades por retaguarda, intercorrências e transferências e os demais componentes observarão o Anexo III e o item 8 do Termo de Referência.</w:t>
      </w:r>
    </w:p>
    <w:p>
      <w:pPr>
        <w:keepNext/>
        <w:spacing w:after="100" w:before="220"/>
        <w:jc w:val="left"/>
      </w:pPr>
      <w:r>
        <w:rPr>
          <w:rFonts w:ascii="Arial" w:cs="Arial" w:eastAsia="Arial" w:hAnsi="Arial"/>
          <w:b/>
          <w:bCs/>
          <w:sz w:val="22"/>
          <w:szCs w:val="22"/>
        </w:rPr>
        <w:t xml:space="preserve">11. DA REMUNERAÇÃO</w:t>
      </w:r>
    </w:p>
    <w:p>
      <w:pPr>
        <w:spacing w:after="90" w:line="276"/>
        <w:ind w:left="0"/>
        <w:jc w:val="both"/>
      </w:pPr>
      <w:r>
        <w:rPr>
          <w:rFonts w:ascii="Arial" w:cs="Arial" w:eastAsia="Arial" w:hAnsi="Arial"/>
          <w:b w:val="false"/>
          <w:bCs w:val="false"/>
          <w:sz w:val="21"/>
          <w:szCs w:val="21"/>
        </w:rPr>
        <w:t xml:space="preserve">11.1. </w:t>
      </w:r>
      <w:r>
        <w:rPr>
          <w:rFonts w:ascii="Arial" w:cs="Arial" w:eastAsia="Arial" w:hAnsi="Arial"/>
          <w:sz w:val="21"/>
          <w:szCs w:val="21"/>
        </w:rPr>
        <w:t xml:space="preserve">O valor pago à credenciada por procedimento é </w:t>
      </w:r>
      <w:r>
        <w:rPr>
          <w:rFonts w:ascii="Arial" w:cs="Arial" w:eastAsia="Arial" w:hAnsi="Arial"/>
          <w:b/>
          <w:bCs/>
          <w:sz w:val="21"/>
          <w:szCs w:val="21"/>
        </w:rPr>
        <w:t xml:space="preserve">fixo e uniforme</w:t>
      </w:r>
      <w:r>
        <w:rPr>
          <w:rFonts w:ascii="Arial" w:cs="Arial" w:eastAsia="Arial" w:hAnsi="Arial"/>
          <w:sz w:val="21"/>
          <w:szCs w:val="21"/>
        </w:rPr>
        <w:t xml:space="preserve"> para todos os credenciados e consta da coluna "Valor credenciada" do </w:t>
      </w:r>
      <w:r>
        <w:rPr>
          <w:rFonts w:ascii="Arial" w:cs="Arial" w:eastAsia="Arial" w:hAnsi="Arial"/>
          <w:b/>
          <w:bCs/>
          <w:sz w:val="21"/>
          <w:szCs w:val="21"/>
        </w:rPr>
        <w:t xml:space="preserve">Anexo II</w:t>
      </w:r>
      <w:r>
        <w:rPr>
          <w:rFonts w:ascii="Arial" w:cs="Arial" w:eastAsia="Arial" w:hAnsi="Arial"/>
          <w:sz w:val="21"/>
          <w:szCs w:val="21"/>
        </w:rPr>
        <w:t xml:space="preserve"> (art. 3º, § 1º, I, do Decreto Municipal nº 123/2026).</w:t>
      </w:r>
    </w:p>
    <w:p>
      <w:pPr>
        <w:spacing w:after="90" w:line="276"/>
        <w:ind w:left="0"/>
        <w:jc w:val="both"/>
      </w:pPr>
      <w:r>
        <w:rPr>
          <w:rFonts w:ascii="Arial" w:cs="Arial" w:eastAsia="Arial" w:hAnsi="Arial"/>
          <w:b w:val="false"/>
          <w:bCs w:val="false"/>
          <w:sz w:val="21"/>
          <w:szCs w:val="21"/>
        </w:rPr>
        <w:t xml:space="preserve">11.2. </w:t>
      </w:r>
      <w:r>
        <w:rPr>
          <w:rFonts w:ascii="Arial" w:cs="Arial" w:eastAsia="Arial" w:hAnsi="Arial"/>
          <w:sz w:val="21"/>
          <w:szCs w:val="21"/>
        </w:rPr>
        <w:t xml:space="preserve">Nos subgrupos </w:t>
      </w:r>
      <w:r>
        <w:rPr>
          <w:rFonts w:ascii="Arial" w:cs="Arial" w:eastAsia="Arial" w:hAnsi="Arial"/>
          <w:b/>
          <w:bCs/>
          <w:sz w:val="21"/>
          <w:szCs w:val="21"/>
        </w:rPr>
        <w:t xml:space="preserve">0301</w:t>
      </w:r>
      <w:r>
        <w:rPr>
          <w:rFonts w:ascii="Arial" w:cs="Arial" w:eastAsia="Arial" w:hAnsi="Arial"/>
          <w:sz w:val="21"/>
          <w:szCs w:val="21"/>
        </w:rPr>
        <w:t xml:space="preserve"> (consultas), </w:t>
      </w:r>
      <w:r>
        <w:rPr>
          <w:rFonts w:ascii="Arial" w:cs="Arial" w:eastAsia="Arial" w:hAnsi="Arial"/>
          <w:b/>
          <w:bCs/>
          <w:sz w:val="21"/>
          <w:szCs w:val="21"/>
        </w:rPr>
        <w:t xml:space="preserve">0206</w:t>
      </w:r>
      <w:r>
        <w:rPr>
          <w:rFonts w:ascii="Arial" w:cs="Arial" w:eastAsia="Arial" w:hAnsi="Arial"/>
          <w:sz w:val="21"/>
          <w:szCs w:val="21"/>
        </w:rPr>
        <w:t xml:space="preserve"> (tomografia), </w:t>
      </w:r>
      <w:r>
        <w:rPr>
          <w:rFonts w:ascii="Arial" w:cs="Arial" w:eastAsia="Arial" w:hAnsi="Arial"/>
          <w:b/>
          <w:bCs/>
          <w:sz w:val="21"/>
          <w:szCs w:val="21"/>
        </w:rPr>
        <w:t xml:space="preserve">0205</w:t>
      </w:r>
      <w:r>
        <w:rPr>
          <w:rFonts w:ascii="Arial" w:cs="Arial" w:eastAsia="Arial" w:hAnsi="Arial"/>
          <w:sz w:val="21"/>
          <w:szCs w:val="21"/>
        </w:rPr>
        <w:t xml:space="preserve"> (ultrassonografia) e </w:t>
      </w:r>
      <w:r>
        <w:rPr>
          <w:rFonts w:ascii="Arial" w:cs="Arial" w:eastAsia="Arial" w:hAnsi="Arial"/>
          <w:b/>
          <w:bCs/>
          <w:sz w:val="21"/>
          <w:szCs w:val="21"/>
        </w:rPr>
        <w:t xml:space="preserve">0417</w:t>
      </w:r>
      <w:r>
        <w:rPr>
          <w:rFonts w:ascii="Arial" w:cs="Arial" w:eastAsia="Arial" w:hAnsi="Arial"/>
          <w:sz w:val="21"/>
          <w:szCs w:val="21"/>
        </w:rPr>
        <w:t xml:space="preserve"> (sedação), a credenciada receberá </w:t>
      </w:r>
      <w:r>
        <w:rPr>
          <w:rFonts w:ascii="Arial" w:cs="Arial" w:eastAsia="Arial" w:hAnsi="Arial"/>
          <w:b/>
          <w:bCs/>
          <w:sz w:val="21"/>
          <w:szCs w:val="21"/>
        </w:rPr>
        <w:t xml:space="preserve">100%</w:t>
      </w:r>
      <w:r>
        <w:rPr>
          <w:rFonts w:ascii="Arial" w:cs="Arial" w:eastAsia="Arial" w:hAnsi="Arial"/>
          <w:sz w:val="21"/>
          <w:szCs w:val="21"/>
        </w:rPr>
        <w:t xml:space="preserve"> do valor unitário da Tabela SUS Mato Grosso, por assumir todos os componentes do procedimento.</w:t>
      </w:r>
    </w:p>
    <w:p>
      <w:pPr>
        <w:spacing w:after="90" w:line="276"/>
        <w:ind w:left="0"/>
        <w:jc w:val="both"/>
      </w:pPr>
      <w:r>
        <w:rPr>
          <w:rFonts w:ascii="Arial" w:cs="Arial" w:eastAsia="Arial" w:hAnsi="Arial"/>
          <w:b w:val="false"/>
          <w:bCs w:val="false"/>
          <w:sz w:val="21"/>
          <w:szCs w:val="21"/>
        </w:rPr>
        <w:t xml:space="preserve">11.3. </w:t>
      </w:r>
      <w:r>
        <w:rPr>
          <w:rFonts w:ascii="Arial" w:cs="Arial" w:eastAsia="Arial" w:hAnsi="Arial"/>
          <w:sz w:val="21"/>
          <w:szCs w:val="21"/>
        </w:rPr>
        <w:t xml:space="preserve">Nos subgrupos cirúrgicos </w:t>
      </w:r>
      <w:r>
        <w:rPr>
          <w:rFonts w:ascii="Arial" w:cs="Arial" w:eastAsia="Arial" w:hAnsi="Arial"/>
          <w:b/>
          <w:bCs/>
          <w:sz w:val="21"/>
          <w:szCs w:val="21"/>
        </w:rPr>
        <w:t xml:space="preserve">0403, 0405, 0406, 0407, 0408 e 0409</w:t>
      </w:r>
      <w:r>
        <w:rPr>
          <w:rFonts w:ascii="Arial" w:cs="Arial" w:eastAsia="Arial" w:hAnsi="Arial"/>
          <w:sz w:val="21"/>
          <w:szCs w:val="21"/>
        </w:rPr>
        <w:t xml:space="preserve">, a credenciada receberá </w:t>
      </w:r>
      <w:r>
        <w:rPr>
          <w:rFonts w:ascii="Arial" w:cs="Arial" w:eastAsia="Arial" w:hAnsi="Arial"/>
          <w:b/>
          <w:bCs/>
          <w:sz w:val="21"/>
          <w:szCs w:val="21"/>
        </w:rPr>
        <w:t xml:space="preserve">80%</w:t>
      </w:r>
      <w:r>
        <w:rPr>
          <w:rFonts w:ascii="Arial" w:cs="Arial" w:eastAsia="Arial" w:hAnsi="Arial"/>
          <w:sz w:val="21"/>
          <w:szCs w:val="21"/>
        </w:rPr>
        <w:t xml:space="preserve"> do valor unitário da Tabela SUS Mato Grosso, correspondente aos componentes que assume pela matriz do Anexo III. Os </w:t>
      </w:r>
      <w:r>
        <w:rPr>
          <w:rFonts w:ascii="Arial" w:cs="Arial" w:eastAsia="Arial" w:hAnsi="Arial"/>
          <w:b/>
          <w:bCs/>
          <w:sz w:val="21"/>
          <w:szCs w:val="21"/>
        </w:rPr>
        <w:t xml:space="preserve">20%</w:t>
      </w:r>
      <w:r>
        <w:rPr>
          <w:rFonts w:ascii="Arial" w:cs="Arial" w:eastAsia="Arial" w:hAnsi="Arial"/>
          <w:sz w:val="21"/>
          <w:szCs w:val="21"/>
        </w:rPr>
        <w:t xml:space="preserve"> remanescentes permanecerão com o Fundo Municipal de Saúde para custeio dos componentes fornecidos pelo Hospital Municipal.</w:t>
      </w:r>
    </w:p>
    <w:p>
      <w:pPr>
        <w:spacing w:after="90" w:line="276"/>
        <w:ind w:left="0"/>
        <w:jc w:val="both"/>
      </w:pPr>
      <w:r>
        <w:rPr>
          <w:rFonts w:ascii="Arial" w:cs="Arial" w:eastAsia="Arial" w:hAnsi="Arial"/>
          <w:b w:val="false"/>
          <w:bCs w:val="false"/>
          <w:sz w:val="21"/>
          <w:szCs w:val="21"/>
        </w:rPr>
        <w:t xml:space="preserve">11.4. </w:t>
      </w:r>
      <w:r>
        <w:rPr>
          <w:rFonts w:ascii="Arial" w:cs="Arial" w:eastAsia="Arial" w:hAnsi="Arial"/>
          <w:sz w:val="21"/>
          <w:szCs w:val="21"/>
        </w:rPr>
        <w:t xml:space="preserve">O valor por unidade foi calculado pela fórmula: valor da credenciada = ARRED(valor unitário da Tabela SUS-MT × percentual; 2), conforme a Memória de Cálculo que instrui a Justificativa Técnica da Secretaria Municipal de Saúde e a Nota Técnica de Justificativa de Preços constantes dos autos.</w:t>
      </w:r>
    </w:p>
    <w:p>
      <w:pPr>
        <w:spacing w:after="90" w:line="276"/>
        <w:ind w:left="0"/>
        <w:jc w:val="both"/>
      </w:pPr>
      <w:r>
        <w:rPr>
          <w:rFonts w:ascii="Arial" w:cs="Arial" w:eastAsia="Arial" w:hAnsi="Arial"/>
          <w:b w:val="false"/>
          <w:bCs w:val="false"/>
          <w:sz w:val="21"/>
          <w:szCs w:val="21"/>
        </w:rPr>
        <w:t xml:space="preserve">11.5. </w:t>
      </w:r>
      <w:r>
        <w:rPr>
          <w:rFonts w:ascii="Arial" w:cs="Arial" w:eastAsia="Arial" w:hAnsi="Arial"/>
          <w:sz w:val="21"/>
          <w:szCs w:val="21"/>
        </w:rPr>
        <w:t xml:space="preserve">Nos procedimentos que utilizam órteses, próteses e materiais especiais (OPME), o fornecimento é de responsabilidade da credenciada e está incluído no valor do Anexo II, tendo por base a Tabela SUS Mato Grosso (Decreto Estadual nº 2.005/2026), vedado qualquer pagamento adicional (art. 3º, § 1º, V, do Decreto Municipal nº 123/2026).</w:t>
      </w:r>
    </w:p>
    <w:p>
      <w:pPr>
        <w:spacing w:after="90" w:line="276"/>
        <w:ind w:left="0"/>
        <w:jc w:val="both"/>
      </w:pPr>
      <w:r>
        <w:rPr>
          <w:rFonts w:ascii="Arial" w:cs="Arial" w:eastAsia="Arial" w:hAnsi="Arial"/>
          <w:b w:val="false"/>
          <w:bCs w:val="false"/>
          <w:sz w:val="21"/>
          <w:szCs w:val="21"/>
        </w:rPr>
        <w:t xml:space="preserve">11.6. </w:t>
      </w:r>
      <w:r>
        <w:rPr>
          <w:rFonts w:ascii="Arial" w:cs="Arial" w:eastAsia="Arial" w:hAnsi="Arial"/>
          <w:sz w:val="21"/>
          <w:szCs w:val="21"/>
        </w:rPr>
        <w:t xml:space="preserve">O valor do Anexo II remunera integralmente os componentes atribuídos à credenciada, incluídos honorários, encargos sociais e trabalhistas, tributos, deslocamento, hospedagem e alimentação dos profissionais, e quaisquer outros custos.</w:t>
      </w:r>
    </w:p>
    <w:p>
      <w:pPr>
        <w:spacing w:after="90" w:line="276"/>
        <w:ind w:left="0"/>
        <w:jc w:val="both"/>
      </w:pPr>
      <w:r>
        <w:rPr>
          <w:rFonts w:ascii="Arial" w:cs="Arial" w:eastAsia="Arial" w:hAnsi="Arial"/>
          <w:b w:val="false"/>
          <w:bCs w:val="false"/>
          <w:sz w:val="21"/>
          <w:szCs w:val="21"/>
        </w:rPr>
        <w:t xml:space="preserve">11.7. </w:t>
      </w:r>
      <w:r>
        <w:rPr>
          <w:rFonts w:ascii="Arial" w:cs="Arial" w:eastAsia="Arial" w:hAnsi="Arial"/>
          <w:sz w:val="21"/>
          <w:szCs w:val="21"/>
        </w:rPr>
        <w:t xml:space="preserve">Não haverá pagamento separado de sedação ou anestesia quando já incluída no valor do procedimento principal, nem pagamento por procedimento executado pela rede própria do Município.</w:t>
      </w:r>
    </w:p>
    <w:p>
      <w:pPr>
        <w:spacing w:after="90" w:line="276"/>
        <w:ind w:left="0"/>
        <w:jc w:val="both"/>
      </w:pPr>
      <w:r>
        <w:rPr>
          <w:rFonts w:ascii="Arial" w:cs="Arial" w:eastAsia="Arial" w:hAnsi="Arial"/>
          <w:b w:val="false"/>
          <w:bCs w:val="false"/>
          <w:sz w:val="21"/>
          <w:szCs w:val="21"/>
        </w:rPr>
        <w:t xml:space="preserve">11.8. </w:t>
      </w:r>
      <w:r>
        <w:rPr>
          <w:rFonts w:ascii="Arial" w:cs="Arial" w:eastAsia="Arial" w:hAnsi="Arial"/>
          <w:sz w:val="21"/>
          <w:szCs w:val="21"/>
        </w:rPr>
        <w:t xml:space="preserve">É vedada a cobrança ao usuário de qualquer valor, taxa, diferença, complemento ou honorário relativo ao procedimento, bem como o pagamento de sobretaxa ou complemento sobre os valores da Tabela SUS Mato Grosso (Resolução de Consulta TCE-MT nº 16/2013).</w:t>
      </w:r>
    </w:p>
    <w:p>
      <w:pPr>
        <w:spacing w:after="90" w:line="276"/>
        <w:ind w:left="0"/>
        <w:jc w:val="both"/>
      </w:pPr>
      <w:r>
        <w:rPr>
          <w:rFonts w:ascii="Arial" w:cs="Arial" w:eastAsia="Arial" w:hAnsi="Arial"/>
          <w:b w:val="false"/>
          <w:bCs w:val="false"/>
          <w:sz w:val="21"/>
          <w:szCs w:val="21"/>
        </w:rPr>
        <w:t xml:space="preserve">11.9. </w:t>
      </w:r>
      <w:r>
        <w:rPr>
          <w:rFonts w:ascii="Arial" w:cs="Arial" w:eastAsia="Arial" w:hAnsi="Arial"/>
          <w:sz w:val="21"/>
          <w:szCs w:val="21"/>
        </w:rPr>
        <w:t xml:space="preserve">A alteração da Tabela SUS Mato Grosso somente repercutirá nos contratos após ato oficial competente, verificação de disponibilidade orçamentária e formalização administrativa. Fica assegurado o reequilíbrio econômico-financeiro nas hipóteses legais, mediante requerimento instruído. A SES/MT não suportará reajustes, e eventual diferença juridicamente devida será custeada pelo Município (Termo de Compromisso nº 172/2026/SPCA).</w:t>
      </w:r>
    </w:p>
    <w:p>
      <w:pPr>
        <w:keepNext/>
        <w:spacing w:after="100" w:before="220"/>
        <w:jc w:val="left"/>
      </w:pPr>
      <w:r>
        <w:rPr>
          <w:rFonts w:ascii="Arial" w:cs="Arial" w:eastAsia="Arial" w:hAnsi="Arial"/>
          <w:b/>
          <w:bCs/>
          <w:sz w:val="22"/>
          <w:szCs w:val="22"/>
        </w:rPr>
        <w:t xml:space="preserve">12. DA MEDIÇÃO, DO FATURAMENTO E DO PAGAMENTO</w:t>
      </w:r>
    </w:p>
    <w:p>
      <w:pPr>
        <w:spacing w:after="90" w:line="276"/>
        <w:ind w:left="0"/>
        <w:jc w:val="both"/>
      </w:pPr>
      <w:r>
        <w:rPr>
          <w:rFonts w:ascii="Arial" w:cs="Arial" w:eastAsia="Arial" w:hAnsi="Arial"/>
          <w:b w:val="false"/>
          <w:bCs w:val="false"/>
          <w:sz w:val="21"/>
          <w:szCs w:val="21"/>
        </w:rPr>
        <w:t xml:space="preserve">12.1. </w:t>
      </w:r>
      <w:r>
        <w:rPr>
          <w:rFonts w:ascii="Arial" w:cs="Arial" w:eastAsia="Arial" w:hAnsi="Arial"/>
          <w:sz w:val="21"/>
          <w:szCs w:val="21"/>
        </w:rPr>
        <w:t xml:space="preserve">A medição será mensal e incluirá exclusivamente a produção autorizada, executada, registrada, comprovada e atestada, nunca superior à autorização, ao saldo do código ou ao teto do contrato.</w:t>
      </w:r>
    </w:p>
    <w:p>
      <w:pPr>
        <w:spacing w:after="90" w:line="276"/>
        <w:ind w:left="0"/>
        <w:jc w:val="both"/>
      </w:pPr>
      <w:r>
        <w:rPr>
          <w:rFonts w:ascii="Arial" w:cs="Arial" w:eastAsia="Arial" w:hAnsi="Arial"/>
          <w:b w:val="false"/>
          <w:bCs w:val="false"/>
          <w:sz w:val="21"/>
          <w:szCs w:val="21"/>
        </w:rPr>
        <w:t xml:space="preserve">12.2. </w:t>
      </w:r>
      <w:r>
        <w:rPr>
          <w:rFonts w:ascii="Arial" w:cs="Arial" w:eastAsia="Arial" w:hAnsi="Arial"/>
          <w:sz w:val="21"/>
          <w:szCs w:val="21"/>
        </w:rPr>
        <w:t xml:space="preserve">A nota fiscal será acompanhada de relatório discriminado por procedimento, com autorização correspondente, data de execução e identificação do profissional, utilizando dados do usuário apenas na extensão necessária. Nos procedimentos com OPME, serão apresentados os registros de rastreabilidade (etiqueta, lote/série e documentação sanitária).</w:t>
      </w:r>
    </w:p>
    <w:p>
      <w:pPr>
        <w:spacing w:after="90" w:line="276"/>
        <w:ind w:left="0"/>
        <w:jc w:val="both"/>
      </w:pPr>
      <w:r>
        <w:rPr>
          <w:rFonts w:ascii="Arial" w:cs="Arial" w:eastAsia="Arial" w:hAnsi="Arial"/>
          <w:b w:val="false"/>
          <w:bCs w:val="false"/>
          <w:sz w:val="21"/>
          <w:szCs w:val="21"/>
        </w:rPr>
        <w:t xml:space="preserve">12.3. </w:t>
      </w:r>
      <w:r>
        <w:rPr>
          <w:rFonts w:ascii="Arial" w:cs="Arial" w:eastAsia="Arial" w:hAnsi="Arial"/>
          <w:sz w:val="21"/>
          <w:szCs w:val="21"/>
        </w:rPr>
        <w:t xml:space="preserve">Divergências poderão gerar diligência, correção documental ou glosa motivada, assegurado o contraditório. Serviço não executado, não autorizado, não comprovado ou processado em desacordo com o código ou registro aplicável não será devido.</w:t>
      </w:r>
    </w:p>
    <w:p>
      <w:pPr>
        <w:spacing w:after="90" w:line="276"/>
        <w:ind w:left="0"/>
        <w:jc w:val="both"/>
      </w:pPr>
      <w:r>
        <w:rPr>
          <w:rFonts w:ascii="Arial" w:cs="Arial" w:eastAsia="Arial" w:hAnsi="Arial"/>
          <w:b w:val="false"/>
          <w:bCs w:val="false"/>
          <w:sz w:val="21"/>
          <w:szCs w:val="21"/>
        </w:rPr>
        <w:t xml:space="preserve">12.4. </w:t>
      </w:r>
      <w:r>
        <w:rPr>
          <w:rFonts w:ascii="Arial" w:cs="Arial" w:eastAsia="Arial" w:hAnsi="Arial"/>
          <w:sz w:val="21"/>
          <w:szCs w:val="21"/>
        </w:rPr>
        <w:t xml:space="preserve">A liquidação ocorrerá em até </w:t>
      </w:r>
      <w:r>
        <w:rPr>
          <w:rFonts w:ascii="Arial" w:cs="Arial" w:eastAsia="Arial" w:hAnsi="Arial"/>
          <w:b/>
          <w:bCs/>
          <w:sz w:val="21"/>
          <w:szCs w:val="21"/>
        </w:rPr>
        <w:t xml:space="preserve">10 (dez) dias úteis</w:t>
      </w:r>
      <w:r>
        <w:rPr>
          <w:rFonts w:ascii="Arial" w:cs="Arial" w:eastAsia="Arial" w:hAnsi="Arial"/>
          <w:sz w:val="21"/>
          <w:szCs w:val="21"/>
        </w:rPr>
        <w:t xml:space="preserve"> do recebimento da nota fiscal com documentação completa e do atesto, e o pagamento em até </w:t>
      </w:r>
      <w:r>
        <w:rPr>
          <w:rFonts w:ascii="Arial" w:cs="Arial" w:eastAsia="Arial" w:hAnsi="Arial"/>
          <w:b/>
          <w:bCs/>
          <w:sz w:val="21"/>
          <w:szCs w:val="21"/>
        </w:rPr>
        <w:t xml:space="preserve">10 (dez) dias úteis</w:t>
      </w:r>
      <w:r>
        <w:rPr>
          <w:rFonts w:ascii="Arial" w:cs="Arial" w:eastAsia="Arial" w:hAnsi="Arial"/>
          <w:sz w:val="21"/>
          <w:szCs w:val="21"/>
        </w:rPr>
        <w:t xml:space="preserve"> após a liquidação, suspendendo-se os prazos enquanto houver pendência imputável à contratada.</w:t>
      </w:r>
    </w:p>
    <w:p>
      <w:pPr>
        <w:spacing w:after="90" w:line="276"/>
        <w:ind w:left="0"/>
        <w:jc w:val="both"/>
      </w:pPr>
      <w:r>
        <w:rPr>
          <w:rFonts w:ascii="Arial" w:cs="Arial" w:eastAsia="Arial" w:hAnsi="Arial"/>
          <w:b w:val="false"/>
          <w:bCs w:val="false"/>
          <w:sz w:val="21"/>
          <w:szCs w:val="21"/>
        </w:rPr>
        <w:t xml:space="preserve">12.5. </w:t>
      </w:r>
      <w:r>
        <w:rPr>
          <w:rFonts w:ascii="Arial" w:cs="Arial" w:eastAsia="Arial" w:hAnsi="Arial"/>
          <w:sz w:val="21"/>
          <w:szCs w:val="21"/>
        </w:rPr>
        <w:t xml:space="preserve">O pagamento não ficará condicionado à data do repasse da SES/MT. O controle físico-financeiro registrará separadamente a parcela paga à credenciada e a parcela retida pelo Fundo Municipal de Saúde.</w:t>
      </w:r>
    </w:p>
    <w:p>
      <w:pPr>
        <w:keepNext/>
        <w:spacing w:after="100" w:before="220"/>
        <w:jc w:val="left"/>
      </w:pPr>
      <w:r>
        <w:rPr>
          <w:rFonts w:ascii="Arial" w:cs="Arial" w:eastAsia="Arial" w:hAnsi="Arial"/>
          <w:b/>
          <w:bCs/>
          <w:sz w:val="22"/>
          <w:szCs w:val="22"/>
        </w:rPr>
        <w:t xml:space="preserve">13. DOS RECURSOS ORÇAMENTÁRIOS</w:t>
      </w:r>
    </w:p>
    <w:p>
      <w:pPr>
        <w:spacing w:after="90" w:line="276"/>
        <w:ind w:left="0"/>
        <w:jc w:val="both"/>
      </w:pPr>
      <w:r>
        <w:rPr>
          <w:rFonts w:ascii="Arial" w:cs="Arial" w:eastAsia="Arial" w:hAnsi="Arial"/>
          <w:b w:val="false"/>
          <w:bCs w:val="false"/>
          <w:sz w:val="21"/>
          <w:szCs w:val="21"/>
        </w:rPr>
        <w:t xml:space="preserve">13.1. </w:t>
      </w:r>
      <w:r>
        <w:rPr>
          <w:rFonts w:ascii="Arial" w:cs="Arial" w:eastAsia="Arial" w:hAnsi="Arial"/>
          <w:sz w:val="21"/>
          <w:szCs w:val="21"/>
        </w:rPr>
        <w:t xml:space="preserve">As despesas correrão à conta da seguinte dotação, a ser certificada pela Contabilidade em cada contratação:</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2700"/>
        <w:gridCol w:w="6654"/>
      </w:tblGrid>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Órgão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06 – Secretaria Municipal de Saúde</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Unidade</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001 – Fundo Municipal de Saúde</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Função / Subfunção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10 – Saúde / 302 – Assistência Hospitalar e Ambulatorial</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Programa / Ação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0055 – Hospital Municipal / 20061 – Manutenção e Encargos com Hospital Municipal</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Código reduzido</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201</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Fonte</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1.621.0000603 – Serviços Públicos de Saúde – Bloco Atenção Especializada</w:t>
            </w:r>
          </w:p>
        </w:tc>
      </w:tr>
      <w:tr>
        <w:trPr>
          <w:cantSplit/>
        </w:trPr>
        <w:tc>
          <w:tcPr>
            <w:tcW w:type="dxa" w:w="2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Elemento de despesa</w:t>
            </w:r>
          </w:p>
        </w:tc>
        <w:tc>
          <w:tcPr>
            <w:tcW w:type="dxa" w:w="66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3.3.90.39 – Outros Serviços de Terceiros – Pessoa Jurídica</w:t>
            </w:r>
          </w:p>
        </w:tc>
      </w:tr>
    </w:tbl>
    <w:p>
      <w:pPr>
        <w:spacing w:after="60" w:before="0" w:line="276"/>
        <w:jc w:val="both"/>
      </w:pPr>
    </w:p>
    <w:p>
      <w:pPr>
        <w:spacing w:after="90" w:line="276"/>
        <w:ind w:left="0"/>
        <w:jc w:val="both"/>
      </w:pPr>
      <w:r>
        <w:rPr>
          <w:rFonts w:ascii="Arial" w:cs="Arial" w:eastAsia="Arial" w:hAnsi="Arial"/>
          <w:b w:val="false"/>
          <w:bCs w:val="false"/>
          <w:sz w:val="21"/>
          <w:szCs w:val="21"/>
        </w:rPr>
        <w:t xml:space="preserve">13.2. </w:t>
      </w:r>
      <w:r>
        <w:rPr>
          <w:rFonts w:ascii="Arial" w:cs="Arial" w:eastAsia="Arial" w:hAnsi="Arial"/>
          <w:sz w:val="21"/>
          <w:szCs w:val="21"/>
        </w:rPr>
        <w:t xml:space="preserve">Cada contratação individual dependerá de reserva e empenho compatíveis com os códigos contratados e com o saldo remanescente da programação.</w:t>
      </w:r>
    </w:p>
    <w:p>
      <w:pPr>
        <w:keepNext/>
        <w:spacing w:after="100" w:before="220"/>
        <w:jc w:val="left"/>
      </w:pPr>
      <w:r>
        <w:rPr>
          <w:rFonts w:ascii="Arial" w:cs="Arial" w:eastAsia="Arial" w:hAnsi="Arial"/>
          <w:b/>
          <w:bCs/>
          <w:sz w:val="22"/>
          <w:szCs w:val="22"/>
        </w:rPr>
        <w:t xml:space="preserve">14. DA VIGÊNCIA</w:t>
      </w:r>
    </w:p>
    <w:p>
      <w:pPr>
        <w:spacing w:after="90" w:line="276"/>
        <w:ind w:left="0"/>
        <w:jc w:val="both"/>
      </w:pPr>
      <w:r>
        <w:rPr>
          <w:rFonts w:ascii="Arial" w:cs="Arial" w:eastAsia="Arial" w:hAnsi="Arial"/>
          <w:b w:val="false"/>
          <w:bCs w:val="false"/>
          <w:sz w:val="21"/>
          <w:szCs w:val="21"/>
        </w:rPr>
        <w:t xml:space="preserve">14.1. </w:t>
      </w:r>
      <w:r>
        <w:rPr>
          <w:rFonts w:ascii="Arial" w:cs="Arial" w:eastAsia="Arial" w:hAnsi="Arial"/>
          <w:sz w:val="21"/>
          <w:szCs w:val="21"/>
        </w:rPr>
        <w:t xml:space="preserve">O Edital permanecerá vigente e aberto ao recebimento de requerimentos </w:t>
      </w:r>
      <w:r>
        <w:rPr>
          <w:rFonts w:ascii="Arial" w:cs="Arial" w:eastAsia="Arial" w:hAnsi="Arial"/>
          <w:b/>
          <w:bCs/>
          <w:sz w:val="21"/>
          <w:szCs w:val="21"/>
        </w:rPr>
        <w:t xml:space="preserve">de 06/11/2026 a 05/11/2027</w:t>
      </w:r>
      <w:r>
        <w:rPr>
          <w:rFonts w:ascii="Arial" w:cs="Arial" w:eastAsia="Arial" w:hAnsi="Arial"/>
          <w:sz w:val="21"/>
          <w:szCs w:val="21"/>
        </w:rPr>
        <w:t xml:space="preserve">, condicionado à validade da 2ª Proposta nº 172/2026 perante a SES/MT (Portaria nº 0404/2026/GBSES e Termo de Compromisso nº 172/2026/SPCA, cláusula 7.1), à manutenção do interesse público e à disponibilidade físico-financeira.</w:t>
      </w:r>
    </w:p>
    <w:p>
      <w:pPr>
        <w:spacing w:after="90" w:line="276"/>
        <w:ind w:left="0"/>
        <w:jc w:val="both"/>
      </w:pPr>
      <w:r>
        <w:rPr>
          <w:rFonts w:ascii="Arial" w:cs="Arial" w:eastAsia="Arial" w:hAnsi="Arial"/>
          <w:b w:val="false"/>
          <w:bCs w:val="false"/>
          <w:sz w:val="21"/>
          <w:szCs w:val="21"/>
        </w:rPr>
        <w:t xml:space="preserve">14.1.1. </w:t>
      </w:r>
      <w:r>
        <w:rPr>
          <w:rFonts w:ascii="Arial" w:cs="Arial" w:eastAsia="Arial" w:hAnsi="Arial"/>
          <w:sz w:val="21"/>
          <w:szCs w:val="21"/>
        </w:rPr>
        <w:t xml:space="preserve">Encerrada a validade da proposta estadual ou esgotada a programação, o chamamento poderá ser encerrado antecipadamente, mediante aviso publicado nos mesmos meios deste Edital, sem direito a indenização.</w:t>
      </w:r>
    </w:p>
    <w:p>
      <w:pPr>
        <w:spacing w:after="90" w:line="276"/>
        <w:ind w:left="0"/>
        <w:jc w:val="both"/>
      </w:pPr>
      <w:r>
        <w:rPr>
          <w:rFonts w:ascii="Arial" w:cs="Arial" w:eastAsia="Arial" w:hAnsi="Arial"/>
          <w:b w:val="false"/>
          <w:bCs w:val="false"/>
          <w:sz w:val="21"/>
          <w:szCs w:val="21"/>
        </w:rPr>
        <w:t xml:space="preserve">14.2. </w:t>
      </w:r>
      <w:r>
        <w:rPr>
          <w:rFonts w:ascii="Arial" w:cs="Arial" w:eastAsia="Arial" w:hAnsi="Arial"/>
          <w:sz w:val="21"/>
          <w:szCs w:val="21"/>
        </w:rPr>
        <w:t xml:space="preserve">Os contratos terão vigência de até 12 (doze) meses a partir da assinatura, limitada à execução da programação e ao saldo contratual. Eventual prorrogação dependerá de fundamento legal, manutenção da necessidade, disponibilidade orçamentária e justificativa específica.</w:t>
      </w:r>
    </w:p>
    <w:p>
      <w:pPr>
        <w:keepNext/>
        <w:spacing w:after="100" w:before="220"/>
        <w:jc w:val="left"/>
      </w:pPr>
      <w:r>
        <w:rPr>
          <w:rFonts w:ascii="Arial" w:cs="Arial" w:eastAsia="Arial" w:hAnsi="Arial"/>
          <w:b/>
          <w:bCs/>
          <w:sz w:val="22"/>
          <w:szCs w:val="22"/>
        </w:rPr>
        <w:t xml:space="preserve">15. DAS OBRIGAÇÕES</w:t>
      </w:r>
    </w:p>
    <w:p>
      <w:pPr>
        <w:spacing w:after="90" w:line="276"/>
        <w:ind w:left="0"/>
        <w:jc w:val="both"/>
      </w:pPr>
      <w:r>
        <w:rPr>
          <w:rFonts w:ascii="Arial" w:cs="Arial" w:eastAsia="Arial" w:hAnsi="Arial"/>
          <w:b w:val="false"/>
          <w:bCs w:val="false"/>
          <w:sz w:val="21"/>
          <w:szCs w:val="21"/>
        </w:rPr>
        <w:t xml:space="preserve">15.1. </w:t>
      </w:r>
      <w:r>
        <w:rPr>
          <w:rFonts w:ascii="Arial" w:cs="Arial" w:eastAsia="Arial" w:hAnsi="Arial"/>
          <w:sz w:val="21"/>
          <w:szCs w:val="21"/>
        </w:rPr>
        <w:t xml:space="preserve">As obrigações da credenciada e do Município são as dos itens 11, 12 e 13 do Termo de Referência, da matriz do Anexo III e da minuta de contrato do Anexo VI.</w:t>
      </w:r>
    </w:p>
    <w:p>
      <w:pPr>
        <w:keepNext/>
        <w:spacing w:after="100" w:before="220"/>
        <w:jc w:val="left"/>
      </w:pPr>
      <w:r>
        <w:rPr>
          <w:rFonts w:ascii="Arial" w:cs="Arial" w:eastAsia="Arial" w:hAnsi="Arial"/>
          <w:b/>
          <w:bCs/>
          <w:sz w:val="22"/>
          <w:szCs w:val="22"/>
        </w:rPr>
        <w:t xml:space="preserve">16. DA GESTÃO E DA FISCALIZAÇÃO</w:t>
      </w:r>
    </w:p>
    <w:p>
      <w:pPr>
        <w:spacing w:after="90" w:line="276"/>
        <w:ind w:left="0"/>
        <w:jc w:val="both"/>
      </w:pPr>
      <w:r>
        <w:rPr>
          <w:rFonts w:ascii="Arial" w:cs="Arial" w:eastAsia="Arial" w:hAnsi="Arial"/>
          <w:b w:val="false"/>
          <w:bCs w:val="false"/>
          <w:sz w:val="21"/>
          <w:szCs w:val="21"/>
        </w:rPr>
        <w:t xml:space="preserve">16.1. </w:t>
      </w:r>
      <w:r>
        <w:rPr>
          <w:rFonts w:ascii="Arial" w:cs="Arial" w:eastAsia="Arial" w:hAnsi="Arial"/>
          <w:sz w:val="21"/>
          <w:szCs w:val="21"/>
        </w:rPr>
        <w:t xml:space="preserve">A execução será acompanhada por gestor e fiscais designados por portaria antes do início da execução de cada contrato (art. 117 da Lei nº 14.133/2021), com funções de fiscal técnico e fiscal administrativo separadas e observada a segregação de funções: quem autoriza a AIH/APAC não atestará a mesma produção para pagamento.</w:t>
      </w:r>
    </w:p>
    <w:p>
      <w:pPr>
        <w:spacing w:after="90" w:line="276"/>
        <w:ind w:left="0"/>
        <w:jc w:val="both"/>
      </w:pPr>
      <w:r>
        <w:rPr>
          <w:rFonts w:ascii="Arial" w:cs="Arial" w:eastAsia="Arial" w:hAnsi="Arial"/>
          <w:b w:val="false"/>
          <w:bCs w:val="false"/>
          <w:sz w:val="21"/>
          <w:szCs w:val="21"/>
        </w:rPr>
        <w:t xml:space="preserve">16.2. </w:t>
      </w:r>
      <w:r>
        <w:rPr>
          <w:rFonts w:ascii="Arial" w:cs="Arial" w:eastAsia="Arial" w:hAnsi="Arial"/>
          <w:sz w:val="21"/>
          <w:szCs w:val="21"/>
        </w:rPr>
        <w:t xml:space="preserve">No ato de designação, os agentes firmarão termo de ciência das atribuições e declaração de ausência de vínculo, parentesco ou sociedade com os credenciados.</w:t>
      </w:r>
    </w:p>
    <w:p>
      <w:pPr>
        <w:keepNext/>
        <w:spacing w:after="100" w:before="220"/>
        <w:jc w:val="left"/>
      </w:pPr>
      <w:r>
        <w:rPr>
          <w:rFonts w:ascii="Arial" w:cs="Arial" w:eastAsia="Arial" w:hAnsi="Arial"/>
          <w:b/>
          <w:bCs/>
          <w:sz w:val="22"/>
          <w:szCs w:val="22"/>
        </w:rPr>
        <w:t xml:space="preserve">17. DAS SANÇÕES</w:t>
      </w:r>
    </w:p>
    <w:p>
      <w:pPr>
        <w:spacing w:after="90" w:line="276"/>
        <w:ind w:left="0"/>
        <w:jc w:val="both"/>
      </w:pPr>
      <w:r>
        <w:rPr>
          <w:rFonts w:ascii="Arial" w:cs="Arial" w:eastAsia="Arial" w:hAnsi="Arial"/>
          <w:b w:val="false"/>
          <w:bCs w:val="false"/>
          <w:sz w:val="21"/>
          <w:szCs w:val="21"/>
        </w:rPr>
        <w:t xml:space="preserve">17.1. </w:t>
      </w:r>
      <w:r>
        <w:rPr>
          <w:rFonts w:ascii="Arial" w:cs="Arial" w:eastAsia="Arial" w:hAnsi="Arial"/>
          <w:sz w:val="21"/>
          <w:szCs w:val="21"/>
        </w:rPr>
        <w:t xml:space="preserve">As infrações serão apuradas nos termos dos arts. 155 a 163 da Lei nº 14.133/2021, assegurados o contraditório e a ampla defesa. A glosa por serviço não executado ou não comprovado não constitui sanção e pode coexistir com penalidade.</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4600"/>
        <w:gridCol w:w="4754"/>
      </w:tblGrid>
      <w:tr>
        <w:trPr>
          <w:cantSplit/>
          <w:tblHeader/>
        </w:trPr>
        <w:tc>
          <w:tcPr>
            <w:tcW w:type="dxa" w:w="46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8"/>
                <w:szCs w:val="18"/>
              </w:rPr>
              <w:t xml:space="preserve">Conduta</w:t>
            </w:r>
          </w:p>
        </w:tc>
        <w:tc>
          <w:tcPr>
            <w:tcW w:type="dxa" w:w="4754"/>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8"/>
                <w:szCs w:val="18"/>
              </w:rPr>
              <w:t xml:space="preserve">Consequência</w:t>
            </w:r>
          </w:p>
        </w:tc>
      </w:tr>
      <w:tr>
        <w:trPr>
          <w:cantSplit/>
        </w:trPr>
        <w:tc>
          <w:tcPr>
            <w:tcW w:type="dxa" w:w="4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Atraso injustificado em obrigação com prazo definido</w:t>
            </w:r>
          </w:p>
        </w:tc>
        <w:tc>
          <w:tcPr>
            <w:tcW w:type="dxa" w:w="4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Multa moratória de 0,33% por dia sobre a ordem/parcela afetada, limitada a 30 dias e a 9,9%</w:t>
            </w:r>
          </w:p>
        </w:tc>
      </w:tr>
      <w:tr>
        <w:trPr>
          <w:cantSplit/>
        </w:trPr>
        <w:tc>
          <w:tcPr>
            <w:tcW w:type="dxa" w:w="4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Infração leve, sem dano assistencial ou financeiro relevante</w:t>
            </w:r>
          </w:p>
        </w:tc>
        <w:tc>
          <w:tcPr>
            <w:tcW w:type="dxa" w:w="4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Advertência e/ou multa compensatória de 0,5% a 2% do valor do contrato</w:t>
            </w:r>
          </w:p>
        </w:tc>
      </w:tr>
      <w:tr>
        <w:trPr>
          <w:cantSplit/>
        </w:trPr>
        <w:tc>
          <w:tcPr>
            <w:tcW w:type="dxa" w:w="4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Inexecução parcial relevante, recusa injustificada reiterada ou descumprimento de fluxo de regulação/registro</w:t>
            </w:r>
          </w:p>
        </w:tc>
        <w:tc>
          <w:tcPr>
            <w:tcW w:type="dxa" w:w="4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Multa compensatória de 2% a 10% do valor do contrato</w:t>
            </w:r>
          </w:p>
        </w:tc>
      </w:tr>
      <w:tr>
        <w:trPr>
          <w:cantSplit/>
        </w:trPr>
        <w:tc>
          <w:tcPr>
            <w:tcW w:type="dxa" w:w="4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Inexecução grave com risco assistencial, cobrança ao usuário, subcontratação vedada, fraude documental ou produção fictícia</w:t>
            </w:r>
          </w:p>
        </w:tc>
        <w:tc>
          <w:tcPr>
            <w:tcW w:type="dxa" w:w="4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Multa compensatória de 10% a 30% do valor do contrato, sem prejuízo de impedimento de licitar e contratar ou declaração de inidoneidade</w:t>
            </w:r>
          </w:p>
        </w:tc>
      </w:tr>
      <w:tr>
        <w:trPr>
          <w:cantSplit/>
        </w:trPr>
        <w:tc>
          <w:tcPr>
            <w:tcW w:type="dxa" w:w="4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Inexecução total do contrato</w:t>
            </w:r>
          </w:p>
        </w:tc>
        <w:tc>
          <w:tcPr>
            <w:tcW w:type="dxa" w:w="4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Multa compensatória de até 30% do valor do contrato</w:t>
            </w:r>
          </w:p>
        </w:tc>
      </w:tr>
    </w:tbl>
    <w:p>
      <w:pPr>
        <w:spacing w:after="60" w:before="0" w:line="276"/>
        <w:jc w:val="both"/>
      </w:pPr>
    </w:p>
    <w:p>
      <w:pPr>
        <w:spacing w:after="90" w:line="276"/>
        <w:ind w:left="0"/>
        <w:jc w:val="both"/>
      </w:pPr>
      <w:r>
        <w:rPr>
          <w:rFonts w:ascii="Arial" w:cs="Arial" w:eastAsia="Arial" w:hAnsi="Arial"/>
          <w:b w:val="false"/>
          <w:bCs w:val="false"/>
          <w:sz w:val="21"/>
          <w:szCs w:val="21"/>
        </w:rPr>
        <w:t xml:space="preserve">17.2. </w:t>
      </w:r>
      <w:r>
        <w:rPr>
          <w:rFonts w:ascii="Arial" w:cs="Arial" w:eastAsia="Arial" w:hAnsi="Arial"/>
          <w:sz w:val="21"/>
          <w:szCs w:val="21"/>
        </w:rPr>
        <w:t xml:space="preserve">Na dosimetria serão considerados a natureza e a gravidade da infração, as peculiaridades do caso, as circunstâncias agravantes ou atenuantes, os danos e os demais critérios do art. 156, § 1º, da Lei nº 14.133/2021.</w:t>
      </w:r>
    </w:p>
    <w:p>
      <w:pPr>
        <w:keepNext/>
        <w:spacing w:after="100" w:before="220"/>
        <w:jc w:val="left"/>
      </w:pPr>
      <w:r>
        <w:rPr>
          <w:rFonts w:ascii="Arial" w:cs="Arial" w:eastAsia="Arial" w:hAnsi="Arial"/>
          <w:b/>
          <w:bCs/>
          <w:sz w:val="22"/>
          <w:szCs w:val="22"/>
        </w:rPr>
        <w:t xml:space="preserve">18. DO DESCREDENCIAMENTO</w:t>
      </w:r>
    </w:p>
    <w:p>
      <w:pPr>
        <w:spacing w:after="90" w:line="276"/>
        <w:ind w:left="0"/>
        <w:jc w:val="both"/>
      </w:pPr>
      <w:r>
        <w:rPr>
          <w:rFonts w:ascii="Arial" w:cs="Arial" w:eastAsia="Arial" w:hAnsi="Arial"/>
          <w:b w:val="false"/>
          <w:bCs w:val="false"/>
          <w:sz w:val="21"/>
          <w:szCs w:val="21"/>
        </w:rPr>
        <w:t xml:space="preserve">18.1. </w:t>
      </w:r>
      <w:r>
        <w:rPr>
          <w:rFonts w:ascii="Arial" w:cs="Arial" w:eastAsia="Arial" w:hAnsi="Arial"/>
          <w:sz w:val="21"/>
          <w:szCs w:val="21"/>
        </w:rPr>
        <w:t xml:space="preserve">O credenciado poderá solicitar descredenciamento, total ou de códigos específicos, com antecedência mínima de </w:t>
      </w:r>
      <w:r>
        <w:rPr>
          <w:rFonts w:ascii="Arial" w:cs="Arial" w:eastAsia="Arial" w:hAnsi="Arial"/>
          <w:b/>
          <w:bCs/>
          <w:sz w:val="21"/>
          <w:szCs w:val="21"/>
        </w:rPr>
        <w:t xml:space="preserve">30 (trinta) dias corridos</w:t>
      </w:r>
      <w:r>
        <w:rPr>
          <w:rFonts w:ascii="Arial" w:cs="Arial" w:eastAsia="Arial" w:hAnsi="Arial"/>
          <w:sz w:val="21"/>
          <w:szCs w:val="21"/>
        </w:rPr>
        <w:t xml:space="preserve">, sem se eximir dos contratos, agendas e atendimentos já assumidos.</w:t>
      </w:r>
    </w:p>
    <w:p>
      <w:pPr>
        <w:spacing w:after="90" w:line="276"/>
        <w:ind w:left="0"/>
        <w:jc w:val="both"/>
      </w:pPr>
      <w:r>
        <w:rPr>
          <w:rFonts w:ascii="Arial" w:cs="Arial" w:eastAsia="Arial" w:hAnsi="Arial"/>
          <w:b w:val="false"/>
          <w:bCs w:val="false"/>
          <w:sz w:val="21"/>
          <w:szCs w:val="21"/>
        </w:rPr>
        <w:t xml:space="preserve">18.2. </w:t>
      </w:r>
      <w:r>
        <w:rPr>
          <w:rFonts w:ascii="Arial" w:cs="Arial" w:eastAsia="Arial" w:hAnsi="Arial"/>
          <w:sz w:val="21"/>
          <w:szCs w:val="21"/>
        </w:rPr>
        <w:t xml:space="preserve">A Administração poderá suspender novas demandas e instaurar processo de descredenciamento por perda das condições de habilitação, inexecução, fraude, cobrança ao usuário, risco assistencial, subcontratação vedada ou descumprimento deste Edital, assegurado o devido processo.</w:t>
      </w:r>
    </w:p>
    <w:p>
      <w:pPr>
        <w:spacing w:after="90" w:line="276"/>
        <w:ind w:left="0"/>
        <w:jc w:val="both"/>
      </w:pPr>
      <w:r>
        <w:rPr>
          <w:rFonts w:ascii="Arial" w:cs="Arial" w:eastAsia="Arial" w:hAnsi="Arial"/>
          <w:b w:val="false"/>
          <w:bCs w:val="false"/>
          <w:sz w:val="21"/>
          <w:szCs w:val="21"/>
        </w:rPr>
        <w:t xml:space="preserve">18.3. </w:t>
      </w:r>
      <w:r>
        <w:rPr>
          <w:rFonts w:ascii="Arial" w:cs="Arial" w:eastAsia="Arial" w:hAnsi="Arial"/>
          <w:sz w:val="21"/>
          <w:szCs w:val="21"/>
        </w:rPr>
        <w:t xml:space="preserve">É vedada a subcontratação, cessão ou transferência a outra pessoa jurídica do núcleo assistencial credenciado. A atuação de profissionais próprios ou licitamente vinculados à credenciada, habilitados e sob sua responsabilidade, não caracteriza subcontratação.</w:t>
      </w:r>
    </w:p>
    <w:p>
      <w:pPr>
        <w:keepNext/>
        <w:spacing w:after="100" w:before="220"/>
        <w:jc w:val="left"/>
      </w:pPr>
      <w:r>
        <w:rPr>
          <w:rFonts w:ascii="Arial" w:cs="Arial" w:eastAsia="Arial" w:hAnsi="Arial"/>
          <w:b/>
          <w:bCs/>
          <w:sz w:val="22"/>
          <w:szCs w:val="22"/>
        </w:rPr>
        <w:t xml:space="preserve">19. DA IMPUGNAÇÃO E DOS ESCLARECIMENTOS</w:t>
      </w:r>
    </w:p>
    <w:p>
      <w:pPr>
        <w:spacing w:after="90" w:line="276"/>
        <w:ind w:left="0"/>
        <w:jc w:val="both"/>
      </w:pPr>
      <w:r>
        <w:rPr>
          <w:rFonts w:ascii="Arial" w:cs="Arial" w:eastAsia="Arial" w:hAnsi="Arial"/>
          <w:b w:val="false"/>
          <w:bCs w:val="false"/>
          <w:sz w:val="21"/>
          <w:szCs w:val="21"/>
        </w:rPr>
        <w:t xml:space="preserve">19.1. </w:t>
      </w:r>
      <w:r>
        <w:rPr>
          <w:rFonts w:ascii="Arial" w:cs="Arial" w:eastAsia="Arial" w:hAnsi="Arial"/>
          <w:sz w:val="21"/>
          <w:szCs w:val="21"/>
        </w:rPr>
        <w:t xml:space="preserve">Qualquer pessoa poderá impugnar este Edital ou pedir esclarecimentos até </w:t>
      </w:r>
      <w:r>
        <w:rPr>
          <w:rFonts w:ascii="Arial" w:cs="Arial" w:eastAsia="Arial" w:hAnsi="Arial"/>
          <w:b/>
          <w:bCs/>
          <w:sz w:val="21"/>
          <w:szCs w:val="21"/>
        </w:rPr>
        <w:t xml:space="preserve">03/11/2026</w:t>
      </w:r>
      <w:r>
        <w:rPr>
          <w:rFonts w:ascii="Arial" w:cs="Arial" w:eastAsia="Arial" w:hAnsi="Arial"/>
          <w:sz w:val="21"/>
          <w:szCs w:val="21"/>
        </w:rPr>
        <w:t xml:space="preserve">, 3 (três) dias úteis antes do início do recebimento dos requerimentos, pelo e-mail licitacao.cfsa@gmail.com ou por protocolo no Departamento de Licitações (art. 164 da Lei nº 14.133/2021). A resposta será divulgada no sítio oficial em até 3 (três) dias úteis, limitada ao último dia útil anterior a 06/11/2026.</w:t>
      </w:r>
    </w:p>
    <w:p>
      <w:pPr>
        <w:spacing w:after="90" w:line="276"/>
        <w:ind w:left="0"/>
        <w:jc w:val="both"/>
      </w:pPr>
      <w:r>
        <w:rPr>
          <w:rFonts w:ascii="Arial" w:cs="Arial" w:eastAsia="Arial" w:hAnsi="Arial"/>
          <w:b w:val="false"/>
          <w:bCs w:val="false"/>
          <w:sz w:val="21"/>
          <w:szCs w:val="21"/>
        </w:rPr>
        <w:t xml:space="preserve">19.2. </w:t>
      </w:r>
      <w:r>
        <w:rPr>
          <w:rFonts w:ascii="Arial" w:cs="Arial" w:eastAsia="Arial" w:hAnsi="Arial"/>
          <w:sz w:val="21"/>
          <w:szCs w:val="21"/>
        </w:rPr>
        <w:t xml:space="preserve">Alterações do Edital serão publicadas pelos mesmos meios da publicação original.</w:t>
      </w:r>
    </w:p>
    <w:p>
      <w:pPr>
        <w:keepNext/>
        <w:spacing w:after="100" w:before="220"/>
        <w:jc w:val="left"/>
      </w:pPr>
      <w:r>
        <w:rPr>
          <w:rFonts w:ascii="Arial" w:cs="Arial" w:eastAsia="Arial" w:hAnsi="Arial"/>
          <w:b/>
          <w:bCs/>
          <w:sz w:val="22"/>
          <w:szCs w:val="22"/>
        </w:rPr>
        <w:t xml:space="preserve">20. DA PROTEÇÃO DE DADOS E DA INTEGRIDADE</w:t>
      </w:r>
    </w:p>
    <w:p>
      <w:pPr>
        <w:spacing w:after="90" w:line="276"/>
        <w:ind w:left="0"/>
        <w:jc w:val="both"/>
      </w:pPr>
      <w:r>
        <w:rPr>
          <w:rFonts w:ascii="Arial" w:cs="Arial" w:eastAsia="Arial" w:hAnsi="Arial"/>
          <w:b w:val="false"/>
          <w:bCs w:val="false"/>
          <w:sz w:val="21"/>
          <w:szCs w:val="21"/>
        </w:rPr>
        <w:t xml:space="preserve">20.1. </w:t>
      </w:r>
      <w:r>
        <w:rPr>
          <w:rFonts w:ascii="Arial" w:cs="Arial" w:eastAsia="Arial" w:hAnsi="Arial"/>
          <w:sz w:val="21"/>
          <w:szCs w:val="21"/>
        </w:rPr>
        <w:t xml:space="preserve">A credenciada tratará dados pessoais e de saúde exclusivamente para as finalidades assistenciais, regulatórias, de faturamento, auditoria e controle, observando a Lei nº 13.709/2018, o sigilo profissional e as medidas de segurança do item 22 do Termo de Referência.</w:t>
      </w:r>
    </w:p>
    <w:p>
      <w:pPr>
        <w:spacing w:after="90" w:line="276"/>
        <w:ind w:left="0"/>
        <w:jc w:val="both"/>
      </w:pPr>
      <w:r>
        <w:rPr>
          <w:rFonts w:ascii="Arial" w:cs="Arial" w:eastAsia="Arial" w:hAnsi="Arial"/>
          <w:b w:val="false"/>
          <w:bCs w:val="false"/>
          <w:sz w:val="21"/>
          <w:szCs w:val="21"/>
        </w:rPr>
        <w:t xml:space="preserve">20.2. </w:t>
      </w:r>
      <w:r>
        <w:rPr>
          <w:rFonts w:ascii="Arial" w:cs="Arial" w:eastAsia="Arial" w:hAnsi="Arial"/>
          <w:sz w:val="21"/>
          <w:szCs w:val="21"/>
        </w:rPr>
        <w:t xml:space="preserve">A credenciada observará a Lei nº 12.846/2013 e não oferecerá, prometerá ou concederá vantagem indevida a agente público ou a terceiro a ele relacionado.</w:t>
      </w:r>
    </w:p>
    <w:p>
      <w:pPr>
        <w:keepNext/>
        <w:spacing w:after="100" w:before="220"/>
        <w:jc w:val="left"/>
      </w:pPr>
      <w:r>
        <w:rPr>
          <w:rFonts w:ascii="Arial" w:cs="Arial" w:eastAsia="Arial" w:hAnsi="Arial"/>
          <w:b/>
          <w:bCs/>
          <w:sz w:val="22"/>
          <w:szCs w:val="22"/>
        </w:rPr>
        <w:t xml:space="preserve">21. DAS DISPOSIÇÕES FINAIS</w:t>
      </w:r>
    </w:p>
    <w:p>
      <w:pPr>
        <w:spacing w:after="90" w:line="276"/>
        <w:ind w:left="0"/>
        <w:jc w:val="both"/>
      </w:pPr>
      <w:r>
        <w:rPr>
          <w:rFonts w:ascii="Arial" w:cs="Arial" w:eastAsia="Arial" w:hAnsi="Arial"/>
          <w:b w:val="false"/>
          <w:bCs w:val="false"/>
          <w:sz w:val="21"/>
          <w:szCs w:val="21"/>
        </w:rPr>
        <w:t xml:space="preserve">21.1. </w:t>
      </w:r>
      <w:r>
        <w:rPr>
          <w:rFonts w:ascii="Arial" w:cs="Arial" w:eastAsia="Arial" w:hAnsi="Arial"/>
          <w:sz w:val="21"/>
          <w:szCs w:val="21"/>
        </w:rPr>
        <w:t xml:space="preserve">Este Edital, seus anexos, alterações, resultados, a relação de credenciados, os atos de contratação direta e os contratos serão divulgados no Portal Nacional de Contratações Públicas (PNCP) e no sítio oficial do Município (arts. 54 e 79, parágrafo único, I, da Lei nº 14.133/2021), preservados os dados pessoais e de saúde.</w:t>
      </w:r>
    </w:p>
    <w:p>
      <w:pPr>
        <w:spacing w:after="90" w:line="276"/>
        <w:ind w:left="0"/>
        <w:jc w:val="both"/>
      </w:pPr>
      <w:r>
        <w:rPr>
          <w:rFonts w:ascii="Arial" w:cs="Arial" w:eastAsia="Arial" w:hAnsi="Arial"/>
          <w:b w:val="false"/>
          <w:bCs w:val="false"/>
          <w:sz w:val="21"/>
          <w:szCs w:val="21"/>
        </w:rPr>
        <w:t xml:space="preserve">21.2. </w:t>
      </w:r>
      <w:r>
        <w:rPr>
          <w:rFonts w:ascii="Arial" w:cs="Arial" w:eastAsia="Arial" w:hAnsi="Arial"/>
          <w:sz w:val="21"/>
          <w:szCs w:val="21"/>
        </w:rPr>
        <w:t xml:space="preserve">O credenciamento poderá ser revogado por razões de interesse público decorrentes de fato superveniente, ou anulado por ilegalidade, mediante ato motivado.</w:t>
      </w:r>
    </w:p>
    <w:p>
      <w:pPr>
        <w:spacing w:after="90" w:line="276"/>
        <w:ind w:left="0"/>
        <w:jc w:val="both"/>
      </w:pPr>
      <w:r>
        <w:rPr>
          <w:rFonts w:ascii="Arial" w:cs="Arial" w:eastAsia="Arial" w:hAnsi="Arial"/>
          <w:b w:val="false"/>
          <w:bCs w:val="false"/>
          <w:sz w:val="21"/>
          <w:szCs w:val="21"/>
        </w:rPr>
        <w:t xml:space="preserve">21.3. </w:t>
      </w:r>
      <w:r>
        <w:rPr>
          <w:rFonts w:ascii="Arial" w:cs="Arial" w:eastAsia="Arial" w:hAnsi="Arial"/>
          <w:sz w:val="21"/>
          <w:szCs w:val="21"/>
        </w:rPr>
        <w:t xml:space="preserve">Os casos omissos serão resolvidos pela autoridade competente, com base na Lei nº 14.133/2021, no Decreto Municipal nº 123/2026 e nas normas do SUS.</w:t>
      </w:r>
    </w:p>
    <w:p>
      <w:pPr>
        <w:spacing w:after="90" w:line="276"/>
        <w:ind w:left="0"/>
        <w:jc w:val="both"/>
      </w:pPr>
      <w:r>
        <w:rPr>
          <w:rFonts w:ascii="Arial" w:cs="Arial" w:eastAsia="Arial" w:hAnsi="Arial"/>
          <w:b w:val="false"/>
          <w:bCs w:val="false"/>
          <w:sz w:val="21"/>
          <w:szCs w:val="21"/>
        </w:rPr>
        <w:t xml:space="preserve">21.4. </w:t>
      </w:r>
      <w:r>
        <w:rPr>
          <w:rFonts w:ascii="Arial" w:cs="Arial" w:eastAsia="Arial" w:hAnsi="Arial"/>
          <w:sz w:val="21"/>
          <w:szCs w:val="21"/>
        </w:rPr>
        <w:t xml:space="preserve">Fica eleito o foro da comarca a que pertence o Município de Confresa – MT para dirimir questões decorrentes deste Edital.</w:t>
      </w:r>
    </w:p>
    <w:p>
      <w:pPr>
        <w:spacing w:after="100" w:before="200" w:line="276"/>
        <w:jc w:val="right"/>
      </w:pPr>
      <w:r>
        <w:rPr>
          <w:rFonts w:ascii="Arial" w:cs="Arial" w:eastAsia="Arial" w:hAnsi="Arial"/>
          <w:sz w:val="21"/>
          <w:szCs w:val="21"/>
        </w:rPr>
        <w:t xml:space="preserve">Confresa – MT, 30 de outubro de 2026.</w:t>
      </w:r>
    </w:p>
    <w:p>
      <w:pPr>
        <w:spacing w:after="0" w:before="500"/>
        <w:jc w:val="center"/>
      </w:pPr>
      <w:r>
        <w:rPr>
          <w:rFonts w:ascii="Arial" w:cs="Arial" w:eastAsia="Arial" w:hAnsi="Arial"/>
          <w:sz w:val="21"/>
          <w:szCs w:val="21"/>
        </w:rPr>
        <w:t xml:space="preserve">_____________________________________________</w:t>
      </w:r>
    </w:p>
    <w:p>
      <w:pPr>
        <w:spacing w:after="0" w:before="0" w:line="276"/>
        <w:jc w:val="center"/>
      </w:pPr>
      <w:r>
        <w:rPr>
          <w:rFonts w:ascii="Arial" w:cs="Arial" w:eastAsia="Arial" w:hAnsi="Arial"/>
          <w:b/>
          <w:bCs/>
          <w:sz w:val="21"/>
          <w:szCs w:val="21"/>
        </w:rPr>
        <w:t xml:space="preserve">VITOR DUARTE QUEIROZ CAMPOS</w:t>
      </w:r>
    </w:p>
    <w:p>
      <w:pPr>
        <w:spacing w:after="0" w:before="0" w:line="276"/>
        <w:jc w:val="center"/>
      </w:pPr>
      <w:r>
        <w:rPr>
          <w:rFonts w:ascii="Arial" w:cs="Arial" w:eastAsia="Arial" w:hAnsi="Arial"/>
          <w:sz w:val="21"/>
          <w:szCs w:val="21"/>
        </w:rPr>
        <w:t xml:space="preserve">Secretário Municipal de Saúde – Gestor do Fundo Municipal de Saúde</w:t>
      </w:r>
    </w:p>
    <w:p>
      <w:pPr>
        <w:spacing w:after="0" w:before="0" w:line="276"/>
        <w:jc w:val="center"/>
      </w:pPr>
      <w:r>
        <w:rPr>
          <w:rFonts w:ascii="Arial" w:cs="Arial" w:eastAsia="Arial" w:hAnsi="Arial"/>
          <w:sz w:val="21"/>
          <w:szCs w:val="21"/>
        </w:rPr>
        <w:t xml:space="preserve">Portaria nº 114/2026</w:t>
      </w:r>
    </w:p>
    <w:p>
      <w:pPr>
        <w:sectPr>
          <w:headerReference w:type="default" r:id="rId6"/>
          <w:footerReference w:type="default" r:id="rId7"/>
          <w:pgSz w:w="11906" w:h="16838" w:orient="portrait"/>
          <w:pgMar w:top="1900" w:right="1134" w:bottom="2050" w:left="1418" w:header="1480" w:footer="1620" w:gutter="0"/>
          <w:pgNumType/>
          <w:docGrid w:linePitch="360"/>
        </w:sectPr>
      </w:pPr>
    </w:p>
    <w:p>
      <w:pPr>
        <w:spacing w:after="80"/>
        <w:jc w:val="center"/>
      </w:pPr>
      <w:r>
        <w:rPr>
          <w:rFonts w:ascii="Arial" w:cs="Arial" w:eastAsia="Arial" w:hAnsi="Arial"/>
          <w:b/>
          <w:bCs/>
          <w:sz w:val="22"/>
          <w:szCs w:val="22"/>
        </w:rPr>
        <w:t xml:space="preserve">ANEXO II – QUADRO DE PROCEDIMENTOS, QUANTITATIVOS E VALORES DE REMUNERAÇÃO</w:t>
      </w:r>
    </w:p>
    <w:p>
      <w:pPr>
        <w:spacing w:after="120" w:before="0" w:line="276"/>
        <w:jc w:val="center"/>
      </w:pPr>
      <w:r>
        <w:rPr>
          <w:rFonts w:ascii="Arial" w:cs="Arial" w:eastAsia="Arial" w:hAnsi="Arial"/>
          <w:sz w:val="18"/>
          <w:szCs w:val="18"/>
        </w:rPr>
        <w:t xml:space="preserve">Fonte: Memória de Cálculo da 2ª Proposta nº 172/2026 (Tabela SUS Mato Grosso – Decreto Estadual nº 2.005/2026) e Memória de Cálculo 100/80/20 da Secretaria Municipal de Saúde</w:t>
      </w:r>
    </w:p>
    <w:p>
      <w:pPr>
        <w:keepNext/>
        <w:spacing w:after="100" w:before="60"/>
        <w:jc w:val="left"/>
      </w:pPr>
      <w:r>
        <w:rPr>
          <w:rFonts w:ascii="Arial" w:cs="Arial" w:eastAsia="Arial" w:hAnsi="Arial"/>
          <w:b/>
          <w:bCs/>
          <w:sz w:val="22"/>
          <w:szCs w:val="22"/>
        </w:rPr>
        <w:t xml:space="preserve">A) Resumo por subgrupo</w:t>
      </w:r>
    </w:p>
    <w:tbl>
      <w:tblPr>
        <w:tblW w:type="dxa" w:w="14838"/>
        <w:tblBorders>
          <w:top w:val="single" w:color="auto" w:sz="4"/>
          <w:left w:val="single" w:color="auto" w:sz="4"/>
          <w:bottom w:val="single" w:color="auto" w:sz="4"/>
          <w:right w:val="single" w:color="auto" w:sz="4"/>
          <w:insideH w:val="single" w:color="auto" w:sz="4"/>
          <w:insideV w:val="single" w:color="auto" w:sz="4"/>
        </w:tblBorders>
      </w:tblPr>
      <w:tblGrid>
        <w:gridCol w:w="896"/>
        <w:gridCol w:w="5182"/>
        <w:gridCol w:w="896"/>
        <w:gridCol w:w="995"/>
        <w:gridCol w:w="1991"/>
        <w:gridCol w:w="896"/>
        <w:gridCol w:w="1991"/>
        <w:gridCol w:w="1991"/>
      </w:tblGrid>
      <w:tr>
        <w:trPr>
          <w:cantSplit/>
          <w:tblHeader/>
        </w:trPr>
        <w:tc>
          <w:tcPr>
            <w:tcW w:type="dxa" w:w="896"/>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Subgrupo</w:t>
            </w:r>
          </w:p>
        </w:tc>
        <w:tc>
          <w:tcPr>
            <w:tcW w:type="dxa" w:w="5182"/>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Descrição</w:t>
            </w:r>
          </w:p>
        </w:tc>
        <w:tc>
          <w:tcPr>
            <w:tcW w:type="dxa" w:w="896"/>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Códigos</w:t>
            </w:r>
          </w:p>
        </w:tc>
        <w:tc>
          <w:tcPr>
            <w:tcW w:type="dxa" w:w="995"/>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Qtd.</w:t>
            </w:r>
          </w:p>
        </w:tc>
        <w:tc>
          <w:tcPr>
            <w:tcW w:type="dxa" w:w="1991"/>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Valor Tabela SUS-MT (R$)</w:t>
            </w:r>
          </w:p>
        </w:tc>
        <w:tc>
          <w:tcPr>
            <w:tcW w:type="dxa" w:w="896"/>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 credenciada</w:t>
            </w:r>
          </w:p>
        </w:tc>
        <w:tc>
          <w:tcPr>
            <w:tcW w:type="dxa" w:w="1991"/>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Estimado credenciada (R$)</w:t>
            </w:r>
          </w:p>
        </w:tc>
        <w:tc>
          <w:tcPr>
            <w:tcW w:type="dxa" w:w="1991"/>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Parcela FMS/Hospital (R$)</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0301</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Consultas / atendimentos / acompanhamentos</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1.000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30.000,00</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30.000,00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0,00</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0206</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Diagnóstico por tomografia</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11</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2.660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584.441,80</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584.441,80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0,00</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0205</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Diagnóstico por ultrassonografia</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7</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1.320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132.594,00</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132.594,00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0,00</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0417</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Anestesiologia</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500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22.725,00</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22.725,00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0,00</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0406</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Cirurgia do aparelho circulatório</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2</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110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253.854,90</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203.084,00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50.770,90</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0405</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Cirurgia do aparelho da visão</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10</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660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1.133.867,74</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907.093,80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226.773,94</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0407</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Cirurgia do aparelho digestivo, órgãos anexos e parede abdominal</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12</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345</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766.690,95</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613.353,30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153.337,65</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0409</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Cirurgia do aparelho geniturinário</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20</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458</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845.397,12</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676.317,44</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169.079,68</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0403</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Cirurgia do sistema nervoso central e periférico</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104.286,00</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83.429,00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20.857,00</w:t>
            </w:r>
          </w:p>
        </w:tc>
      </w:tr>
      <w:tr>
        <w:trPr>
          <w:cantSplit/>
        </w:trPr>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0408</w:t>
            </w:r>
          </w:p>
        </w:tc>
        <w:tc>
          <w:tcPr>
            <w:tcW w:type="dxa" w:w="518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Cirurgia do sistema osteomuscular</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42</w:t>
            </w:r>
          </w:p>
        </w:tc>
        <w:tc>
          <w:tcPr>
            <w:tcW w:type="dxa" w:w="99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1.025</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5.524.569,76</w:t>
            </w:r>
          </w:p>
        </w:tc>
        <w:tc>
          <w:tcPr>
            <w:tcW w:type="dxa" w:w="89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80%</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4.419.655,54</w:t>
            </w:r>
          </w:p>
        </w:tc>
        <w:tc>
          <w:tcPr>
            <w:tcW w:type="dxa" w:w="1991"/>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7"/>
                <w:szCs w:val="17"/>
              </w:rPr>
              <w:t xml:space="preserve">1.104.914,22</w:t>
            </w:r>
          </w:p>
        </w:tc>
      </w:tr>
      <w:tr>
        <w:trPr>
          <w:cantSplit/>
        </w:trPr>
        <w:tc>
          <w:tcPr>
            <w:tcW w:type="dxa" w:w="89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518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7"/>
                <w:szCs w:val="17"/>
              </w:rPr>
              <w:t xml:space="preserve">TOTAL</w:t>
            </w:r>
          </w:p>
        </w:tc>
        <w:tc>
          <w:tcPr>
            <w:tcW w:type="dxa" w:w="89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107</w:t>
            </w:r>
          </w:p>
        </w:tc>
        <w:tc>
          <w:tcPr>
            <w:tcW w:type="dxa" w:w="99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7"/>
                <w:szCs w:val="17"/>
              </w:rPr>
              <w:t xml:space="preserve">8.178</w:t>
            </w:r>
          </w:p>
        </w:tc>
        <w:tc>
          <w:tcPr>
            <w:tcW w:type="dxa" w:w="1991"/>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7"/>
                <w:szCs w:val="17"/>
              </w:rPr>
              <w:t xml:space="preserve">9.398.427,27</w:t>
            </w:r>
          </w:p>
        </w:tc>
        <w:tc>
          <w:tcPr>
            <w:tcW w:type="dxa" w:w="89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991"/>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7"/>
                <w:szCs w:val="17"/>
              </w:rPr>
              <w:t xml:space="preserve">7.672.693,88</w:t>
            </w:r>
          </w:p>
        </w:tc>
        <w:tc>
          <w:tcPr>
            <w:tcW w:type="dxa" w:w="1991"/>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7"/>
                <w:szCs w:val="17"/>
              </w:rPr>
              <w:t xml:space="preserve">1.725.733,39</w:t>
            </w:r>
          </w:p>
        </w:tc>
      </w:tr>
    </w:tbl>
    <w:p>
      <w:pPr>
        <w:spacing w:after="60" w:before="0" w:line="276"/>
        <w:jc w:val="both"/>
      </w:pPr>
    </w:p>
    <w:p>
      <w:pPr>
        <w:keepNext/>
        <w:spacing w:after="100" w:before="120"/>
        <w:jc w:val="left"/>
      </w:pPr>
      <w:r>
        <w:rPr>
          <w:rFonts w:ascii="Arial" w:cs="Arial" w:eastAsia="Arial" w:hAnsi="Arial"/>
          <w:b/>
          <w:bCs/>
          <w:sz w:val="22"/>
          <w:szCs w:val="22"/>
        </w:rPr>
        <w:t xml:space="preserve">B) Detalhamento por procedimento</w:t>
      </w:r>
    </w:p>
    <w:p>
      <w:pPr>
        <w:spacing w:after="100" w:before="0" w:line="276"/>
        <w:jc w:val="both"/>
      </w:pPr>
      <w:r>
        <w:rPr>
          <w:rFonts w:ascii="Arial" w:cs="Arial" w:eastAsia="Arial" w:hAnsi="Arial"/>
          <w:sz w:val="17"/>
          <w:szCs w:val="17"/>
        </w:rPr>
        <w:t xml:space="preserve">A numeração de origem da Memória de Cálculo é preservada, inclusive os saltos, para rastreabilidade. "Valor credenciada" é o valor fixo pago por unidade executada. "Total estimado" é projeção para a quantidade programada e não constitui garantia de demanda.</w:t>
      </w:r>
    </w:p>
    <w:tbl>
      <w:tblPr>
        <w:tblW w:type="dxa" w:w="14838"/>
        <w:tblBorders>
          <w:top w:val="single" w:color="auto" w:sz="4"/>
          <w:left w:val="single" w:color="auto" w:sz="4"/>
          <w:bottom w:val="single" w:color="auto" w:sz="4"/>
          <w:right w:val="single" w:color="auto" w:sz="4"/>
          <w:insideH w:val="single" w:color="auto" w:sz="4"/>
          <w:insideV w:val="single" w:color="auto" w:sz="4"/>
        </w:tblBorders>
      </w:tblPr>
      <w:tblGrid>
        <w:gridCol w:w="615"/>
        <w:gridCol w:w="1263"/>
        <w:gridCol w:w="5605"/>
        <w:gridCol w:w="702"/>
        <w:gridCol w:w="768"/>
        <w:gridCol w:w="1647"/>
        <w:gridCol w:w="615"/>
        <w:gridCol w:w="1647"/>
        <w:gridCol w:w="1976"/>
      </w:tblGrid>
      <w:tr>
        <w:trPr>
          <w:cantSplit/>
          <w:tblHeader/>
        </w:trPr>
        <w:tc>
          <w:tcPr>
            <w:tcW w:type="dxa" w:w="615"/>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Item</w:t>
            </w:r>
          </w:p>
        </w:tc>
        <w:tc>
          <w:tcPr>
            <w:tcW w:type="dxa" w:w="1263"/>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Código SIGTAP</w:t>
            </w:r>
          </w:p>
        </w:tc>
        <w:tc>
          <w:tcPr>
            <w:tcW w:type="dxa" w:w="5605"/>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Procedimento</w:t>
            </w:r>
          </w:p>
        </w:tc>
        <w:tc>
          <w:tcPr>
            <w:tcW w:type="dxa" w:w="702"/>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Reg.</w:t>
            </w:r>
          </w:p>
        </w:tc>
        <w:tc>
          <w:tcPr>
            <w:tcW w:type="dxa" w:w="768"/>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Qtd.</w:t>
            </w:r>
          </w:p>
        </w:tc>
        <w:tc>
          <w:tcPr>
            <w:tcW w:type="dxa" w:w="1647"/>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Valor Tabela SUS-MT (R$)</w:t>
            </w:r>
          </w:p>
        </w:tc>
        <w:tc>
          <w:tcPr>
            <w:tcW w:type="dxa" w:w="615"/>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w:t>
            </w:r>
          </w:p>
        </w:tc>
        <w:tc>
          <w:tcPr>
            <w:tcW w:type="dxa" w:w="1647"/>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Valor credenciada (R$)</w:t>
            </w:r>
          </w:p>
        </w:tc>
        <w:tc>
          <w:tcPr>
            <w:tcW w:type="dxa" w:w="1976"/>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Total estimado credenciada (R$)</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0301010072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CONSULTA ESPECIALIZADA (AVALIAÇÃO PRÉ E PÓS-CIRÚRGICA)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30,00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30,00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30.000,00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0301</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Consultas / atendimentos / acompanhamentos</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1.000</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30.000,00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0206010010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COLUNA CERVICAL COM OU SEM CONTRASTE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46.850,40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0206010028</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COLUNA LOMBO-SACRA COM OU SEM CONTRASTE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325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202,20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202,20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65.715,00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0206010036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COLUNA TORÁCICA COM OU SEM CONTRASTE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265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45.982,80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0206010044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FACE/SEIOS DA FACE/ARTICULAÇÕES TÊMPORO MANDIBULARES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32.965,00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0206010052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DO PESCOÇO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19.085,00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0206010079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DO CRÂNIO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194,88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194,88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19.488,00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0206020023</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SEGMENTOS APENDICULARES (BRAÇO, ANTEBRAÇO, MÃO, COXA, PERNA, PÉ)</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19.085,00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0206020031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TÓRAX</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370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272,82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272,82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100.943,40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0206030010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ABDÔMEN SUPERIOR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277,26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277,26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97.041,00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0206030029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ARTICULAÇÕES DE MEMBRO INFERIOR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173,50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34.700,00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0206030037</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TOMOGRAFIA COMPUTADORIZADA DE PELVE/BACIA/ABDÔMEN INFERIOR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370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277,26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277,26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102.586,20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0206</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Diagnóstico por tomografia</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2.660</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584.441,80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0205010040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ULTRASSONOGRAFIA DOPPLER COLORIDO DE VASOS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118,80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118,80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59.400,00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0205010059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ULTRASSONOGRAFIA DOPPLER DE FLUXO OBSTÉTRICO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128,70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128,70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21.879,00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0205020089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ULTRASSONOGRAFIA DO GLOBO OCULAR OU DE ÓRBITA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18.150,00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0205020119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ULTRASSONOGRAFIA DE PRÓSTATA (VIA TRANSRETAL)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0205020046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ULTRASSONOGRAFIA DE ABDÔMEN TOTAL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113,85</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113,85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11.385,00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120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0205020062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ULTRASSONOGRAFIA DE ARTICULAÇÃO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122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0205020097</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ULTRASSONOGRAFIA MAMÁRIA BILATERAL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7.260,00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0205</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Diagnóstico por ultrassonografia</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1.320</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132.594,00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0417010060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SEDAÇÃO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45,45</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45,45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22.725,00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0417</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Anestesiologia</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500</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22.725,00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0406020566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VARIZES (BILATERAL)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2.500,44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2.000,35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120.021,00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0406020574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VARIZES (UNILATERAL)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2.076,57</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1.661,26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83.063,00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0406</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Cirurgia do aparelho circulatório</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110</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203.084,00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0405030169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ENDOLASER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12.853,10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10.282,48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102.824,80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0405030177</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VITRECTOMIA POSTERIOR COM INFUSÃO DE PERFLUOCARBONO/ÓLEO DE SILICONE/ENDOLASER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14.180,90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11.344,72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113.447,20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0405020015</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CORREÇÃO CIRÚRGICA DE ESTRABISMO (ACIMA DE DOIS MÚSCULOS)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4.985,28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3.988,22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47.858,64</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0405020023</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CORREÇÃO CIRÚRGICA DO ESTRABISMO (ATÉ DOIS MÚSCULOS)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3.503,46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2.802,77</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22.422,16</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0405050020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CAPSULOTOMIA À YAG LASER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APAC</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225,54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180,43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36.086,00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0405050364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CIRURGIA DE PTERIGIO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628,65</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502,92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60.350,40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0405050372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FACOEMULSIFICAÇÃO COM IMPLANTE DE LENTE INTRA-OCULAR DOBRÁVEL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APAC</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2.314,80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1.851,84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370.368,00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0405050100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FACECTOMIA SEM IMPLANTE DE LENTE INTRA-OCULAR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967,20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773,76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38.688,00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0405030142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VITRECTOMIA POSTERIOR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8.001,87</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6.401,50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64.015,00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121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0405050097</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FACECTOMIA COM IMPLANTE DE LENTE INTRA-OCULAR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1.594,80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1.275,84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51.033,60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0405</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Cirurgia do aparelho da visão</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660</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907.093,80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0407030026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COLECISTECTOMIA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2.989,02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2.391,22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143.473,20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0407020276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FISTULECTOMIA/FISTULOTOMIA ANAL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1.091,70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873,36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4.366,80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0407020284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HEMORROIDECTOMIA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947,82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758,26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11.373,90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0407030034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COLECISTECTOMIA VIDEOLAPAROSCÓPICA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2.977,35</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2.381,88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190.550,40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0407040064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HERNIOPLASTIA EPIGÁSTRICA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2.405,19</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1.924,15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38.483,00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0407040080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HERNIOPLASTIA INCISIONAL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1.619,76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1.295,81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25.916,20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0407040099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HERNIOPLASTIA INGUINAL (BILATERAL)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1.830,18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1.464,14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21.962,10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0407040102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HERNIOPLASTIA INGUINAL/CRURAL (UNILATERAL)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1.913,91</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1.531,13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76.556,50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0407040129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HERNIOPLASTIA UMBILICAL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1.304,97</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1.043,98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52.199,00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0407040161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LAPAROTOMIA EXPLORADORA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1.911,57</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1.529,26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15.292,60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0407030123</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ESPLENECTOMIA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2.927,94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2.342,35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11.711,75</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0407040110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HERNIOPLASTIA RECIDIVANTE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1.788,99</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1.431,19</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21.467,85</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0407</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Cirurgia do aparelho digestivo, órgãos anexos e parede abdominal</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345</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613.353,30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0409060135</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HISTERECTOMIA TOTAL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3.631,72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2.905,38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217.903,50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0409070050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COLPOPERINEOPLASTIA ANTERIOR E POSTERIOR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1.889,72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1.511,78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12.094,24</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0409060216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OOFORECTOMIA/OOFOROPLASTIA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2.039,44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1.631,55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16.315,50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0409050083</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POSTECTOMIA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876,48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701,18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59.600,30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0409060119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HISTERECTOMIA COM ANEXECTOMIA (UNI/BILATERAL)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4.414,56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3.531,65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35.316,50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0409060186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LAQUEADURA TUBÁRIA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1.941,92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1.553,54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77.677,00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0409060100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HISTERECTOMIA (POR VIA VAGINAL)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2.635,32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2.108,26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18.974,34</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0409060232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SALPINGECTOMIA UNI/BILATERAL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1.862,36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1.489,89</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2.979,78</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0409040215</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HIDROCELE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1.027,88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822,30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45.226,50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0409040240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VASECTOMIA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1.755,48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1.404,38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112.350,40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0409060046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CURETAGEM SEMIÓTICA COM OU SEM DILATAÇÃO DO CÓLO DO ÚTERO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669,68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535,74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2.142,96</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0409070157</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EXÉRESE DE GLÂNDULA DE BARTHOLIN/SKENE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898,72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718,98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5.751,84</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0409060038</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EXCISÃO TIPO 3 DO CÓLO UTERINO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1.774,64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1.419,71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2.839,42</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0409070149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EXÉRESE DE CISTO VAGINAL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1.490,16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1.192,13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2.384,26</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0409070270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INCONTINÊNCIA URINÁRIA POR VIA VAGINAL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1.491,56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1.193,25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9.546,00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0409040169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ORQUIECTOMIA UNILATERAL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1.400,52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1.120,42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11.204,20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0409040126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ORQUIDOPEXIA BILATERAL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1.541,28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1.233,02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6.165,10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0409040134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ORQUIDOPEXIA UNILATERAL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1.440,28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1.152,22</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5.761,10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0409040231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VARICOCELE VITRECTOMIA POSTERIOR COM INFUSÃO DE PERFLUOCARBONO 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1.030,24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824,19</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8.241,90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99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0409010430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CISTOCELE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1.490,16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1.192,13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23.842,60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0409</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Cirurgia do aparelho geniturinário</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458</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676.317,44</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0403020123</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SÍNDROME COMPRESSIVA EM TÚNEL ÓSTEO-FIBROSO AO NÍVEL DO CARPO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1.042,86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834,29</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83.429,00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0403</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Cirurgia do sistema nervoso central e periférico</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100</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83.429,00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0408060379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RETIRADA DE PLACA E/OU PARAFUSOS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900,64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720,51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50.435,70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0408060158</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MANIPULAÇÃO ARTICULAR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BPA</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488,04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390,43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31.234,40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26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0408060352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RETIRADA DE FIO OU PINO INTRA-ÓSSEO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606,64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485,31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24.265,50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0408060140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FASCIECTOMIA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891,80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713,44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3.567,20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0408020105</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FASCIOTOMIA DE MEMBROS SUPERIORES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802,04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641,63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3.208,15</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0408060166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OSTECTOMIA DE OSSOS DA MÃO E/OU DO PÉ</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1.034,44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827,55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4.137,75</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49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0408060182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OSTEOTOMIA DE OSSOS DA MÃO E/OU DO PÉ</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1.309,00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1.047,20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5.236,00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0408060190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OSTEOTOMIA DE OSSOS LONGOS EXCETO DA MÃO E DO PÉ</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2.582,72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2.066,18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10.330,90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0408050136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RECONSTRUÇÃO DE TENDÃO PATELAR/TENDÃO QUADRICIPITAL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6.408,72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5.126,98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10.253,96</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0408050152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RECONSTRUÇÃO LIGAMENTAR EXTRA-ARTICULAR DO JOELHO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2.315,56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1.852,45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92.622,50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0408050160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RECONSTRUÇÃO LIGAMENTAR INTRA-ARTICULAR DO JOELHO (CRUZADO ANTERIOR)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31.202,76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24.962,21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1.248.110,50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0408050179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RECONSTRUÇÃO LIGAMENTAR INTRA-ARTICULAR DO JOELHO (CRUZADO POSTERIOR COM OU SEM ANTERIOR)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6.408,72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5.126,98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256.349,00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0408010142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REPARO DE ROTURA DO MANGUITO ROTADOR (INCLUI PROCEDIMENTOS DESCOMPRESSIVOS)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1.694,04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1.355,23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81.313,80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0408060212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RESSECÇÃO DE CISTO SINOVIAL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365,96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292,77</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2.927,70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0408060310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RESSECÇÃO SIMPLES DE TUMOR ÓSSEO/DE PARTES MOLES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1.472,12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1.177,70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11.777,00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0408060441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TENÓLISE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917,60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734,08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18.352,00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59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0408060450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TENOMIORRAFIA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823,64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658,91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16.472,75</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62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0408060468</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TENOMIOTOMIA/DESINSERÇÃO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835,76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668,61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16.715,25</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64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0408060476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TENOPLASTIA OU ENXERTO DE TENDÃO ÚNICO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2.720,80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2.176,64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108.832,00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65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0408060484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TENORRAFIA ÚNICA EM TÚNEL ÓSTEO-FIBROSO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1.685,20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1.348,16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33.704,00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66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0408010231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DA SÍNDROME DO IMPACTO SUB-ACROMIAL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1.183,00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946,40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28.392,00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67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0408020326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DEDO EM GATILHO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964,60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771,68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3.086,72</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68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0408010150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FRATURA DA CLAVÍCULA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1.514,80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1.211,84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12.118,40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0408020334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FRATURA/LESÃO FISÁRIA DA EXTREMIDADE PROXIMAL DO ÚMERO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1.995,92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1.596,74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23.951,10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0408050659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HÁLUX VALGUS COM OSTEOTOMIA DO PRIMEIRO OSSO METATARSIANO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1.423,24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1.138,59</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5.692,95</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0408060611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INFECÇÃO EM ARTROPLASTIA DAS MÉDIAS/PEQUENAS ARTICULAÇÕES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1.341,64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1.073,31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2.146,62</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0408010185</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LUXAÇÃO/FRATURA-LUXAÇÃO ACRÔMIO-CLAVICULAR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1.510,36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1.208,29</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18.124,35</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76</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0408010215</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LUXAÇÃO/RECIDIVANTE/HABITUAL DE ARTICULAÇÃO ESCÁPULO-UMERAL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1.516,60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1.213,28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2.426,56</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0408050764</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PÉ TORTO CONGÊNITO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1.136,24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908,99</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1.817,98</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78</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0408050799</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PSEUDARTROSE/RETARDO DE CONSOLIDAÇÃO/PERDA ÓSSEA DA DIÁFISE DO FÊMUR</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3.037,68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2.430,14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4.860,28</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79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0408050861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PSEUDARTROSE/RETARDO DE CONSOLIDAÇÃO/PERDA ÓSSEA DA DIÁFISE TIBIAL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3.077,64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2.462,11</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4.924,22</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0408020601</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PSEUDO-RETARDO/CONSOLIDAÇÃO/PERDA ÓSSEA AO NÍVEL DO CARPO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917,16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733,73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1.467,46</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0408010223</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RETARDO DE CONSOLIDAÇÃO DA PSEUDARTROSE DE CLAVÍCULA/ESCÁPULA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1.137,08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909,66</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9.096,60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0408050888</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ROTURA DE MENISCO COM SUTURA MENISCAL UNI/BICOMPATIMENTAL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2.315,56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1.852,45</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111.147,00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87</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0408050896</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TRATAMENTO CIRÚRGICO DE ROTURA DO MENISCO COM MENISCECTOMIA PARCIAL/TOTAL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6.470,88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5.176,70</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310.602,00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109</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0408050063</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ARTROPLASTIA TOTAL PRIMÁRIA DO JOELHO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22.490,72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17.992,58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629.740,30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110</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0408040092</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ARTROPLASTIA TOTAL PRIMÁRIA DO QUADRIL NÃO CIMENTADA/HÍBRIDA</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28</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23.656,92</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18.925,54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529.915,12</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111</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0408040157</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OSTEOTOMIA DA PELVE</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3.345,60</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2.676,48</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66.912,00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112</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0408040165</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RECONSTRUÇÃO OSTEOPLÁSTICA DO QUADRIL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35</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6.408,68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5.126,94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179.442,90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113</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0408060360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RETIRADA DE FIXADOR EXTERNO</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50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606,68</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485,34</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24.267,00</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114</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0408060050</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ARTRODESE DE PEQUENAS ARTICULAÇÕES</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855,16</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684,13</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2.736,52</w:t>
            </w:r>
          </w:p>
        </w:tc>
      </w:tr>
      <w:tr>
        <w:trPr>
          <w:cantSplit/>
        </w:trPr>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115</w:t>
            </w:r>
          </w:p>
        </w:tc>
        <w:tc>
          <w:tcPr>
            <w:tcW w:type="dxa" w:w="1263"/>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0408040068</w:t>
            </w:r>
          </w:p>
        </w:tc>
        <w:tc>
          <w:tcPr>
            <w:tcW w:type="dxa" w:w="560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6"/>
                <w:szCs w:val="16"/>
              </w:rPr>
              <w:t xml:space="preserve">ARTROPLASTIA TOTAL DE CONVERSÃO DO QUADRIL</w:t>
            </w:r>
          </w:p>
        </w:tc>
        <w:tc>
          <w:tcPr>
            <w:tcW w:type="dxa" w:w="702"/>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AIH</w:t>
            </w:r>
          </w:p>
        </w:tc>
        <w:tc>
          <w:tcPr>
            <w:tcW w:type="dxa" w:w="768"/>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26.058,84</w:t>
            </w:r>
          </w:p>
        </w:tc>
        <w:tc>
          <w:tcPr>
            <w:tcW w:type="dxa" w:w="615"/>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6"/>
                <w:szCs w:val="16"/>
              </w:rPr>
              <w:t xml:space="preserve">80%</w:t>
            </w:r>
          </w:p>
        </w:tc>
        <w:tc>
          <w:tcPr>
            <w:tcW w:type="dxa" w:w="1647"/>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20.847,07</w:t>
            </w:r>
          </w:p>
        </w:tc>
        <w:tc>
          <w:tcPr>
            <w:tcW w:type="dxa" w:w="1976"/>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right"/>
            </w:pPr>
            <w:r>
              <w:rPr>
                <w:rFonts w:ascii="Arial" w:cs="Arial" w:eastAsia="Arial" w:hAnsi="Arial"/>
                <w:sz w:val="16"/>
                <w:szCs w:val="16"/>
              </w:rPr>
              <w:t xml:space="preserve">416.941,40</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0408</w:t>
            </w: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Subtotal – Cirurgia do sistema osteomuscular</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1.025</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4.419.655,54</w:t>
            </w:r>
          </w:p>
        </w:tc>
      </w:tr>
      <w:tr>
        <w:trPr>
          <w:cantSplit/>
        </w:trPr>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263"/>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560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left"/>
            </w:pPr>
            <w:r>
              <w:rPr>
                <w:rFonts w:ascii="Arial" w:cs="Arial" w:eastAsia="Arial" w:hAnsi="Arial"/>
                <w:b/>
                <w:bCs/>
                <w:sz w:val="16"/>
                <w:szCs w:val="16"/>
              </w:rPr>
              <w:t xml:space="preserve">TOTAL GERAL</w:t>
            </w:r>
          </w:p>
        </w:tc>
        <w:tc>
          <w:tcPr>
            <w:tcW w:type="dxa" w:w="702"/>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768"/>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8.178</w:t>
            </w: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615"/>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center"/>
            </w:pPr>
          </w:p>
        </w:tc>
        <w:tc>
          <w:tcPr>
            <w:tcW w:type="dxa" w:w="1647"/>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p>
        </w:tc>
        <w:tc>
          <w:tcPr>
            <w:tcW w:type="dxa" w:w="1976"/>
            <w:tcBorders>
              <w:top w:val="single" w:color="808080" w:sz="4"/>
              <w:left w:val="single" w:color="808080" w:sz="4"/>
              <w:bottom w:val="single" w:color="808080" w:sz="4"/>
              <w:right w:val="single" w:color="808080" w:sz="4"/>
            </w:tcBorders>
            <w:shd w:fill="F2F2F2" w:color="auto" w:val="clear"/>
            <w:tcMar>
              <w:top w:type="dxa" w:w="50"/>
              <w:left w:type="dxa" w:w="80"/>
              <w:bottom w:type="dxa" w:w="50"/>
              <w:right w:type="dxa" w:w="80"/>
            </w:tcMar>
            <w:vAlign w:val="center"/>
          </w:tcPr>
          <w:p>
            <w:pPr>
              <w:spacing w:after="0" w:line="240"/>
              <w:jc w:val="right"/>
            </w:pPr>
            <w:r>
              <w:rPr>
                <w:rFonts w:ascii="Arial" w:cs="Arial" w:eastAsia="Arial" w:hAnsi="Arial"/>
                <w:b/>
                <w:bCs/>
                <w:sz w:val="16"/>
                <w:szCs w:val="16"/>
              </w:rPr>
              <w:t xml:space="preserve">7.672.693,88</w:t>
            </w:r>
          </w:p>
        </w:tc>
      </w:tr>
    </w:tbl>
    <w:p>
      <w:pPr>
        <w:spacing w:after="60" w:before="0" w:line="276"/>
        <w:jc w:val="both"/>
      </w:pPr>
    </w:p>
    <w:p>
      <w:pPr>
        <w:spacing w:after="100" w:before="0" w:line="276"/>
        <w:jc w:val="both"/>
      </w:pPr>
      <w:r>
        <w:rPr>
          <w:rFonts w:ascii="Arial" w:cs="Arial" w:eastAsia="Arial" w:hAnsi="Arial"/>
          <w:sz w:val="17"/>
          <w:szCs w:val="17"/>
        </w:rPr>
        <w:t xml:space="preserve">Observações: (1) nos subgrupos 0301, 0205, 0206 e 0417 o percentual é de 100%; nos subgrupos cirúrgicos 0403, 0405, 0406, 0407, 0408 e 0409 é de 80%, permanecendo 20% com o Fundo Municipal de Saúde; (2) nos procedimentos com OPME, o fornecimento é da credenciada e está incluído no valor (item 11.5 do Edital); (3) a coluna "Reg." reproduz o instrumento de registro indicado na proposta aprovada pela SES/MT, e o processamento observará o registro aplicável no SIGTAP.</w:t>
      </w:r>
    </w:p>
    <w:p>
      <w:pPr>
        <w:sectPr>
          <w:headerReference w:type="default" r:id="rId8"/>
          <w:footerReference w:type="default" r:id="rId9"/>
          <w:pgSz w:w="16838" w:h="11906" w:orient="landscape"/>
          <w:pgMar w:top="1850" w:right="1000" w:bottom="2000" w:left="1000" w:header="1430" w:footer="1560" w:gutter="0"/>
          <w:pgNumType/>
          <w:docGrid w:linePitch="360"/>
        </w:sectPr>
      </w:pPr>
    </w:p>
    <w:p>
      <w:pPr>
        <w:spacing w:after="80"/>
        <w:jc w:val="center"/>
      </w:pPr>
      <w:r>
        <w:rPr>
          <w:rFonts w:ascii="Arial" w:cs="Arial" w:eastAsia="Arial" w:hAnsi="Arial"/>
          <w:b/>
          <w:bCs/>
          <w:sz w:val="22"/>
          <w:szCs w:val="22"/>
        </w:rPr>
        <w:t xml:space="preserve">ANEXO III – MATRIZ DE RESPONSABILIDADES</w:t>
      </w:r>
    </w:p>
    <w:p>
      <w:pPr>
        <w:spacing w:after="120" w:before="0" w:line="276"/>
        <w:jc w:val="center"/>
      </w:pPr>
      <w:r>
        <w:rPr>
          <w:rFonts w:ascii="Arial" w:cs="Arial" w:eastAsia="Arial" w:hAnsi="Arial"/>
          <w:sz w:val="18"/>
          <w:szCs w:val="18"/>
        </w:rPr>
        <w:t xml:space="preserve">Matriz definitiva, conforme a Manifestação Técnica da Secretaria Municipal de Saúde e o Parecer Jurídico nº 401/2026-PGM (HMC – Hospital Municipal de Confresa, CNES 2793636)</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450"/>
        <w:gridCol w:w="2400"/>
        <w:gridCol w:w="1100"/>
        <w:gridCol w:w="1250"/>
        <w:gridCol w:w="4154"/>
      </w:tblGrid>
      <w:tr>
        <w:trPr>
          <w:cantSplit/>
          <w:tblHeader/>
        </w:trPr>
        <w:tc>
          <w:tcPr>
            <w:tcW w:type="dxa" w:w="45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Nº</w:t>
            </w:r>
          </w:p>
        </w:tc>
        <w:tc>
          <w:tcPr>
            <w:tcW w:type="dxa" w:w="24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Componente</w:t>
            </w:r>
          </w:p>
        </w:tc>
        <w:tc>
          <w:tcPr>
            <w:tcW w:type="dxa" w:w="11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Município / Hospital</w:t>
            </w:r>
          </w:p>
        </w:tc>
        <w:tc>
          <w:tcPr>
            <w:tcW w:type="dxa" w:w="125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Credenciada</w:t>
            </w:r>
          </w:p>
        </w:tc>
        <w:tc>
          <w:tcPr>
            <w:tcW w:type="dxa" w:w="4154"/>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Observação</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Equipe médica cirúrgica (cirurgião e auxiliar)</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Equipe necessária à execução do procedimento sob responsabilidade da credenciada.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2</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Médico anestesiologista</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Profissional sob responsabilidade da credenciada.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3</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Enfermagem do centro cirúrgico e instrumentação</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Profissionais efetivamente disponibilizados pela credenciada.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4</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Sala cirúrgica, equipamentos e manutenção</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O HMC disponibilizará a estrutura e os equipamentos existentes necessários à realização dos procedimentos, dentro da sua capacidade instalada.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5</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Leito, diárias de internação e alimentação</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Conforme indicação assistencial e disponibilidade/capacidade instalada do HMC.</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6</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Central de material e esterilização (CME)</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Para materiais compatíveis com a estrutura e a capacidade de processamento do HMC.</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7</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Medicamentos e anestésicos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Fornecimento pelo Hospital para execução dos procedimentos contratados.</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8</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Materiais médico-hospitalares e descartáveis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Materiais necessários à execução dos procedimentos sob responsabilidade do Hospital.</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9</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Órteses, próteses e materiais especiais (OPME)</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Fornecimento pela credenciada, observados os requisitos de rastreabilidade e documentação.</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10</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Gases medicinais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Fornecidos pelo HMC dentro da estrutura hospitalar disponível.</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11</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Exames laboratoriais pré e pós-operatórios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Realizados pelo laboratório disponibilizado ou contratualizado pelo Município. Exames não disponíveis na rede municipal serão providos pelo Município por meio da rede de referência (Termo de Compromisso, cláusula 4.1, IV).</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12</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Exames de imagem de apoio (RX, ultrassom)</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Fornecidos pelo Município/HMC, inclusive equipamento, profissional, insumos e laudo. Não se confundem com os exames dos subgrupos 0205 e 0206 credenciados neste Edital.</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13</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Anatomopatológico</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Responsabilidade do Hospital, incluindo o fluxo necessário para obtenção do resultado.</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14</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Hemoterapia / hemocomponentes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Conforme disponibilidade e fluxos da rede competente.</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15</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Leito de retaguarda / UTI de referência</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Responsabilidade do Município, por meio da regulação e da rede de referência (Termo de Compromisso, cláusula 4.1, IV; TR, item 10). A credenciada comunica a necessidade e mantém a assistência ao paciente até a transferência.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16</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Transporte inter-hospitalar</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Responsabilidade do Município, inclusive nas intercorrências relacionadas ao procedimento realizado pela credenciada (Termo de Compromisso, cláusula 4.1, IV). A credenciada comunica e presta o acompanhamento clínico necessário até a transferência.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17</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Consultas pré e pós-operatórias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Deverão integrar a assistência relacionada ao procedimento executado.</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18</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Laudo de exames de imagem (TC/US)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Conforme o serviço efetivamente assumido pela credenciada.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19</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Operação de tomógrafo e ultrassom</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Disponibilizados pela credenciada.</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20</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Higienização, lavanderia e resíduos (PGRSS)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Serviços institucionais ordinários do HMC.</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21</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Prontuário, registros e laudos</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Os profissionais da credenciada são responsáveis pelos registros dos atos que realizarem.</w:t>
            </w:r>
          </w:p>
        </w:tc>
      </w:tr>
      <w:tr>
        <w:trPr>
          <w:cantSplit/>
        </w:trPr>
        <w:tc>
          <w:tcPr>
            <w:tcW w:type="dxa" w:w="4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22</w:t>
            </w:r>
          </w:p>
        </w:tc>
        <w:tc>
          <w:tcPr>
            <w:tcW w:type="dxa" w:w="2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Faturamento AIH/APAC/BPA e processamento SIA/SIHD</w:t>
            </w:r>
          </w:p>
        </w:tc>
        <w:tc>
          <w:tcPr>
            <w:tcW w:type="dxa" w:w="11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center"/>
            </w:pPr>
            <w:r>
              <w:rPr>
                <w:rFonts w:ascii="Arial" w:cs="Arial" w:eastAsia="Arial" w:hAnsi="Arial"/>
                <w:sz w:val="17"/>
                <w:szCs w:val="17"/>
              </w:rPr>
              <w:t xml:space="preserve">X</w:t>
            </w:r>
          </w:p>
        </w:tc>
        <w:tc>
          <w:tcPr>
            <w:tcW w:type="dxa" w:w="41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7"/>
                <w:szCs w:val="17"/>
              </w:rPr>
              <w:t xml:space="preserve">Município: lançamento, conferência, processamento e transmissão nos sistemas oficiais. Credenciada: entrega dos dados, laudos e documentos necessários no prazo fixado pela fiscalização, sob pena de glosa.</w:t>
            </w:r>
          </w:p>
        </w:tc>
      </w:tr>
    </w:tbl>
    <w:p>
      <w:pPr>
        <w:spacing w:after="60" w:before="0" w:line="276"/>
        <w:jc w:val="both"/>
      </w:pPr>
    </w:p>
    <w:p>
      <w:pPr>
        <w:spacing w:after="90" w:line="276"/>
        <w:ind w:left="0"/>
        <w:jc w:val="both"/>
      </w:pPr>
      <w:r>
        <w:rPr>
          <w:rFonts w:ascii="Arial" w:cs="Arial" w:eastAsia="Arial" w:hAnsi="Arial"/>
          <w:b w:val="false"/>
          <w:bCs w:val="false"/>
          <w:sz w:val="21"/>
          <w:szCs w:val="21"/>
        </w:rPr>
        <w:t xml:space="preserve">1. </w:t>
      </w:r>
      <w:r>
        <w:rPr>
          <w:rFonts w:ascii="Arial" w:cs="Arial" w:eastAsia="Arial" w:hAnsi="Arial"/>
          <w:sz w:val="21"/>
          <w:szCs w:val="21"/>
        </w:rPr>
        <w:t xml:space="preserve">Os componentes atribuídos à credenciada estão incluídos no valor fixo do Anexo II, vedada cobrança adicional ao Município ou ao usuário.</w:t>
      </w:r>
    </w:p>
    <w:p>
      <w:pPr>
        <w:spacing w:after="90" w:line="276"/>
        <w:ind w:left="0"/>
        <w:jc w:val="both"/>
      </w:pPr>
      <w:r>
        <w:rPr>
          <w:rFonts w:ascii="Arial" w:cs="Arial" w:eastAsia="Arial" w:hAnsi="Arial"/>
          <w:b w:val="false"/>
          <w:bCs w:val="false"/>
          <w:sz w:val="21"/>
          <w:szCs w:val="21"/>
        </w:rPr>
        <w:t xml:space="preserve">2. </w:t>
      </w:r>
      <w:r>
        <w:rPr>
          <w:rFonts w:ascii="Arial" w:cs="Arial" w:eastAsia="Arial" w:hAnsi="Arial"/>
          <w:sz w:val="21"/>
          <w:szCs w:val="21"/>
        </w:rPr>
        <w:t xml:space="preserve">Os componentes atribuídos ao Município/Hospital serão custeados com a parcela de 20% retida pelo Fundo Municipal de Saúde nos procedimentos cirúrgicos e com recursos próprios.</w:t>
      </w:r>
    </w:p>
    <w:p>
      <w:pPr>
        <w:spacing w:after="90" w:line="276"/>
        <w:ind w:left="0"/>
        <w:jc w:val="both"/>
      </w:pPr>
      <w:r>
        <w:rPr>
          <w:rFonts w:ascii="Arial" w:cs="Arial" w:eastAsia="Arial" w:hAnsi="Arial"/>
          <w:b w:val="false"/>
          <w:bCs w:val="false"/>
          <w:sz w:val="21"/>
          <w:szCs w:val="21"/>
        </w:rPr>
        <w:t xml:space="preserve">3. </w:t>
      </w:r>
      <w:r>
        <w:rPr>
          <w:rFonts w:ascii="Arial" w:cs="Arial" w:eastAsia="Arial" w:hAnsi="Arial"/>
          <w:sz w:val="21"/>
          <w:szCs w:val="21"/>
        </w:rPr>
        <w:t xml:space="preserve">Nos componentes com responsabilidade compartilhada (itens 21 e 22), cada parte responde pelos atos que praticar, na forma descrita na coluna "Observação".</w:t>
      </w:r>
    </w:p>
    <w:p>
      <w:pPr>
        <w:spacing w:after="90" w:line="276"/>
        <w:ind w:left="0"/>
        <w:jc w:val="both"/>
      </w:pPr>
      <w:r>
        <w:rPr>
          <w:rFonts w:ascii="Arial" w:cs="Arial" w:eastAsia="Arial" w:hAnsi="Arial"/>
          <w:b w:val="false"/>
          <w:bCs w:val="false"/>
          <w:sz w:val="21"/>
          <w:szCs w:val="21"/>
        </w:rPr>
        <w:t xml:space="preserve">4. </w:t>
      </w:r>
      <w:r>
        <w:rPr>
          <w:rFonts w:ascii="Arial" w:cs="Arial" w:eastAsia="Arial" w:hAnsi="Arial"/>
          <w:sz w:val="21"/>
          <w:szCs w:val="21"/>
        </w:rPr>
        <w:t xml:space="preserve">Não haverá pagamento adicional à credenciada por qualquer componente desta matriz, inclusive OPME (art. 79, § 1º, III, da Lei nº 14.133/2021).</w:t>
      </w:r>
    </w:p>
    <w:p>
      <w:pPr>
        <w:sectPr>
          <w:headerReference w:type="default" r:id="rId10"/>
          <w:footerReference w:type="default" r:id="rId11"/>
          <w:pgSz w:w="11906" w:h="16838" w:orient="portrait"/>
          <w:pgMar w:top="1900" w:right="1134" w:bottom="2050" w:left="1418" w:header="1480" w:footer="1620" w:gutter="0"/>
          <w:pgNumType/>
          <w:docGrid w:linePitch="360"/>
        </w:sectPr>
      </w:pPr>
    </w:p>
    <w:p>
      <w:pPr>
        <w:spacing w:after="80"/>
        <w:jc w:val="center"/>
      </w:pPr>
      <w:r>
        <w:rPr>
          <w:rFonts w:ascii="Arial" w:cs="Arial" w:eastAsia="Arial" w:hAnsi="Arial"/>
          <w:b/>
          <w:bCs/>
          <w:sz w:val="22"/>
          <w:szCs w:val="22"/>
        </w:rPr>
        <w:t xml:space="preserve">ANEXO IV – MODELO DE REQUERIMENTO DE CREDENCIAMENTO</w:t>
      </w:r>
    </w:p>
    <w:p>
      <w:pPr>
        <w:spacing w:after="100" w:before="120" w:line="276"/>
        <w:jc w:val="both"/>
      </w:pPr>
      <w:r>
        <w:rPr>
          <w:rFonts w:ascii="Arial" w:cs="Arial" w:eastAsia="Arial" w:hAnsi="Arial"/>
          <w:sz w:val="21"/>
          <w:szCs w:val="21"/>
        </w:rPr>
        <w:t xml:space="preserve">Ao Departamento de Licitações da Prefeitura Municipal de Confresa – MT</w:t>
      </w:r>
    </w:p>
    <w:p>
      <w:pPr>
        <w:spacing w:after="100" w:before="0" w:line="276"/>
        <w:jc w:val="both"/>
      </w:pPr>
      <w:r>
        <w:rPr>
          <w:rFonts w:ascii="Arial" w:cs="Arial" w:eastAsia="Arial" w:hAnsi="Arial"/>
          <w:sz w:val="21"/>
          <w:szCs w:val="21"/>
        </w:rPr>
        <w:t xml:space="preserve">Ref.: Chamamento Público – Credenciamento nº 013/2026 – Processo Administrativo nº 145/2026 – Programa Fila Zero 3.0</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3600"/>
        <w:gridCol w:w="5754"/>
      </w:tblGrid>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Razão social</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CNPJ</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Natureza jurídica (indicar se entidade filantrópica ou sem fins lucrativos)</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Endereço</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CNES (se houver)</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Representante legal / CPF</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Telefone</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E-mail para convocações (item 9.7)</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Dados bancários</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bl>
    <w:p>
      <w:pPr>
        <w:spacing w:after="60" w:before="0" w:line="276"/>
        <w:jc w:val="both"/>
      </w:pPr>
    </w:p>
    <w:p>
      <w:pPr>
        <w:spacing w:after="100" w:before="0" w:line="276"/>
        <w:jc w:val="both"/>
      </w:pPr>
      <w:r>
        <w:rPr>
          <w:rFonts w:ascii="Arial" w:cs="Arial" w:eastAsia="Arial" w:hAnsi="Arial"/>
          <w:sz w:val="21"/>
          <w:szCs w:val="21"/>
        </w:rPr>
        <w:t xml:space="preserve">A requerente solicita credenciamento para os procedimentos abaixo, declarando conhecer e aceitar integralmente as condições do Edital e de seus anexos, inclusive os valores fixos do Anexo II e a matriz de responsabilidades do Anexo III.</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800"/>
        <w:gridCol w:w="1250"/>
        <w:gridCol w:w="2300"/>
        <w:gridCol w:w="1300"/>
        <w:gridCol w:w="2304"/>
        <w:gridCol w:w="1400"/>
      </w:tblGrid>
      <w:tr>
        <w:trPr>
          <w:cantSplit/>
          <w:tblHeader/>
        </w:trPr>
        <w:tc>
          <w:tcPr>
            <w:tcW w:type="dxa" w:w="8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Item (Anexo II)</w:t>
            </w:r>
          </w:p>
        </w:tc>
        <w:tc>
          <w:tcPr>
            <w:tcW w:type="dxa" w:w="125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Código SIGTAP</w:t>
            </w:r>
          </w:p>
        </w:tc>
        <w:tc>
          <w:tcPr>
            <w:tcW w:type="dxa" w:w="23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Procedimento</w:t>
            </w:r>
          </w:p>
        </w:tc>
        <w:tc>
          <w:tcPr>
            <w:tcW w:type="dxa" w:w="13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Capacidade operacional mensal</w:t>
            </w:r>
          </w:p>
        </w:tc>
        <w:tc>
          <w:tcPr>
            <w:tcW w:type="dxa" w:w="2304"/>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Profissional(is) responsável(is) – CRM / RQE</w:t>
            </w:r>
          </w:p>
        </w:tc>
        <w:tc>
          <w:tcPr>
            <w:tcW w:type="dxa" w:w="14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Local de execução</w:t>
            </w:r>
          </w:p>
        </w:tc>
      </w:tr>
      <w:tr>
        <w:trPr>
          <w:cantSplit/>
        </w:trPr>
        <w:tc>
          <w:tcPr>
            <w:tcW w:type="dxa" w:w="8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8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8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8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8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8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4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bl>
    <w:p>
      <w:pPr>
        <w:spacing w:after="60" w:before="0" w:line="276"/>
        <w:jc w:val="both"/>
      </w:pPr>
    </w:p>
    <w:p>
      <w:pPr>
        <w:spacing w:after="100" w:before="0" w:line="276"/>
        <w:jc w:val="both"/>
      </w:pPr>
      <w:r>
        <w:rPr>
          <w:rFonts w:ascii="Arial" w:cs="Arial" w:eastAsia="Arial" w:hAnsi="Arial"/>
          <w:sz w:val="21"/>
          <w:szCs w:val="21"/>
        </w:rPr>
        <w:t xml:space="preserve">Anexa os documentos de habilitação do item 6 do Edital e as declarações do Anexo V.</w:t>
      </w:r>
    </w:p>
    <w:p>
      <w:pPr>
        <w:spacing w:after="100" w:before="160" w:line="276"/>
        <w:jc w:val="both"/>
      </w:pPr>
      <w:r>
        <w:rPr>
          <w:rFonts w:ascii="Arial" w:cs="Arial" w:eastAsia="Arial" w:hAnsi="Arial"/>
          <w:sz w:val="21"/>
          <w:szCs w:val="21"/>
        </w:rPr>
        <w:t xml:space="preserve">[Local], [data].</w:t>
      </w:r>
    </w:p>
    <w:p>
      <w:pPr>
        <w:spacing w:after="0" w:before="500"/>
        <w:jc w:val="center"/>
      </w:pPr>
      <w:r>
        <w:rPr>
          <w:rFonts w:ascii="Arial" w:cs="Arial" w:eastAsia="Arial" w:hAnsi="Arial"/>
          <w:sz w:val="21"/>
          <w:szCs w:val="21"/>
        </w:rPr>
        <w:t xml:space="preserve">_____________________________________________</w:t>
      </w:r>
    </w:p>
    <w:p>
      <w:pPr>
        <w:spacing w:after="0" w:before="0" w:line="276"/>
        <w:jc w:val="center"/>
      </w:pPr>
      <w:r>
        <w:rPr>
          <w:rFonts w:ascii="Arial" w:cs="Arial" w:eastAsia="Arial" w:hAnsi="Arial"/>
          <w:b/>
          <w:bCs/>
          <w:sz w:val="21"/>
          <w:szCs w:val="21"/>
        </w:rPr>
        <w:t xml:space="preserve">[Nome do representante legal]</w:t>
      </w:r>
    </w:p>
    <w:p>
      <w:pPr>
        <w:spacing w:after="0" w:before="0" w:line="276"/>
        <w:jc w:val="center"/>
      </w:pPr>
      <w:r>
        <w:rPr>
          <w:rFonts w:ascii="Arial" w:cs="Arial" w:eastAsia="Arial" w:hAnsi="Arial"/>
          <w:sz w:val="21"/>
          <w:szCs w:val="21"/>
        </w:rPr>
        <w:t xml:space="preserve">[Cargo] – [Razão social]</w:t>
      </w:r>
    </w:p>
    <w:p>
      <w:r>
        <w:br w:type="page"/>
      </w:r>
    </w:p>
    <w:p>
      <w:pPr>
        <w:spacing w:after="80"/>
        <w:jc w:val="center"/>
      </w:pPr>
      <w:r>
        <w:rPr>
          <w:rFonts w:ascii="Arial" w:cs="Arial" w:eastAsia="Arial" w:hAnsi="Arial"/>
          <w:b/>
          <w:bCs/>
          <w:sz w:val="22"/>
          <w:szCs w:val="22"/>
        </w:rPr>
        <w:t xml:space="preserve">ANEXO V – MODELO DE DECLARAÇÕES</w:t>
      </w:r>
    </w:p>
    <w:p>
      <w:pPr>
        <w:spacing w:after="100" w:before="120" w:line="276"/>
        <w:jc w:val="both"/>
      </w:pPr>
      <w:r>
        <w:rPr>
          <w:rFonts w:ascii="Arial" w:cs="Arial" w:eastAsia="Arial" w:hAnsi="Arial"/>
          <w:sz w:val="21"/>
          <w:szCs w:val="21"/>
        </w:rPr>
        <w:t xml:space="preserve">A [razão social], CNPJ nº </w:t>
      </w:r>
      <w:r>
        <w:rPr>
          <w:rFonts w:ascii="Arial" w:cs="Arial" w:eastAsia="Arial" w:hAnsi="Arial"/>
          <w:sz w:val="21"/>
          <w:szCs w:val="21"/>
          <w:highlight w:val="yellow"/>
        </w:rPr>
        <w:t xml:space="preserve">[●]</w:t>
      </w:r>
      <w:r>
        <w:rPr>
          <w:rFonts w:ascii="Arial" w:cs="Arial" w:eastAsia="Arial" w:hAnsi="Arial"/>
          <w:sz w:val="21"/>
          <w:szCs w:val="21"/>
        </w:rPr>
        <w:t xml:space="preserve">, por seu representante legal, </w:t>
      </w:r>
      <w:r>
        <w:rPr>
          <w:rFonts w:ascii="Arial" w:cs="Arial" w:eastAsia="Arial" w:hAnsi="Arial"/>
          <w:b/>
          <w:bCs/>
          <w:sz w:val="21"/>
          <w:szCs w:val="21"/>
        </w:rPr>
        <w:t xml:space="preserve">DECLARA</w:t>
      </w:r>
      <w:r>
        <w:rPr>
          <w:rFonts w:ascii="Arial" w:cs="Arial" w:eastAsia="Arial" w:hAnsi="Arial"/>
          <w:sz w:val="21"/>
          <w:szCs w:val="21"/>
        </w:rPr>
        <w:t xml:space="preserve">, sob as penas da lei, para fins do Chamamento Público – Credenciamento nº 013/2026 (Processo Administrativo nº 145/2026):</w:t>
      </w:r>
    </w:p>
    <w:p>
      <w:pPr>
        <w:spacing w:after="60" w:line="264"/>
        <w:ind w:left="720" w:hanging="360"/>
        <w:jc w:val="both"/>
      </w:pPr>
      <w:r>
        <w:rPr>
          <w:rFonts w:ascii="Arial" w:cs="Arial" w:eastAsia="Arial" w:hAnsi="Arial"/>
          <w:sz w:val="21"/>
          <w:szCs w:val="21"/>
        </w:rPr>
        <w:t xml:space="preserve">I – </w:t>
      </w:r>
      <w:r>
        <w:rPr>
          <w:rFonts w:ascii="Arial" w:cs="Arial" w:eastAsia="Arial" w:hAnsi="Arial"/>
          <w:sz w:val="21"/>
          <w:szCs w:val="21"/>
        </w:rPr>
        <w:t xml:space="preserve">que não emprega menor de 18 anos em trabalho noturno, perigoso ou insalubre, nem menor de 16 anos, salvo na condição de aprendiz, a partir de 14 anos (art. 7º, XXXIII, da Constituição Federal);</w:t>
      </w:r>
    </w:p>
    <w:p>
      <w:pPr>
        <w:spacing w:after="60" w:line="264"/>
        <w:ind w:left="720" w:hanging="360"/>
        <w:jc w:val="both"/>
      </w:pPr>
      <w:r>
        <w:rPr>
          <w:rFonts w:ascii="Arial" w:cs="Arial" w:eastAsia="Arial" w:hAnsi="Arial"/>
          <w:sz w:val="21"/>
          <w:szCs w:val="21"/>
        </w:rPr>
        <w:t xml:space="preserve">II – </w:t>
      </w:r>
      <w:r>
        <w:rPr>
          <w:rFonts w:ascii="Arial" w:cs="Arial" w:eastAsia="Arial" w:hAnsi="Arial"/>
          <w:sz w:val="21"/>
          <w:szCs w:val="21"/>
        </w:rPr>
        <w:t xml:space="preserve">que não incorre em nenhum dos impedimentos do art. 14 da Lei nº 14.133/2021 e que não há fato impeditivo à sua habilitação;</w:t>
      </w:r>
    </w:p>
    <w:p>
      <w:pPr>
        <w:spacing w:after="60" w:line="264"/>
        <w:ind w:left="720" w:hanging="360"/>
        <w:jc w:val="both"/>
      </w:pPr>
      <w:r>
        <w:rPr>
          <w:rFonts w:ascii="Arial" w:cs="Arial" w:eastAsia="Arial" w:hAnsi="Arial"/>
          <w:sz w:val="21"/>
          <w:szCs w:val="21"/>
        </w:rPr>
        <w:t xml:space="preserve">III – </w:t>
      </w:r>
      <w:r>
        <w:rPr>
          <w:rFonts w:ascii="Arial" w:cs="Arial" w:eastAsia="Arial" w:hAnsi="Arial"/>
          <w:sz w:val="21"/>
          <w:szCs w:val="21"/>
        </w:rPr>
        <w:t xml:space="preserve">que nenhum de seus proprietários, administradores ou dirigentes exerce cargo de chefia ou função de confiança no SUS (art. 26, § 4º, da Lei nº 8.080/1990);</w:t>
      </w:r>
    </w:p>
    <w:p>
      <w:pPr>
        <w:spacing w:after="60" w:line="264"/>
        <w:ind w:left="720" w:hanging="360"/>
        <w:jc w:val="both"/>
      </w:pPr>
      <w:r>
        <w:rPr>
          <w:rFonts w:ascii="Arial" w:cs="Arial" w:eastAsia="Arial" w:hAnsi="Arial"/>
          <w:sz w:val="21"/>
          <w:szCs w:val="21"/>
        </w:rPr>
        <w:t xml:space="preserve">IV – </w:t>
      </w:r>
      <w:r>
        <w:rPr>
          <w:rFonts w:ascii="Arial" w:cs="Arial" w:eastAsia="Arial" w:hAnsi="Arial"/>
          <w:sz w:val="21"/>
          <w:szCs w:val="21"/>
        </w:rPr>
        <w:t xml:space="preserve">que não possui, em seu quadro societário ou de dirigentes, cônjuge, companheiro ou parente em linha reta, colateral ou por afinidade, até o terceiro grau, do Prefeito, do Secretário Municipal de Saúde, do agente de contratação, da comissão de credenciamento, do gestor ou dos fiscais;</w:t>
      </w:r>
    </w:p>
    <w:p>
      <w:pPr>
        <w:spacing w:after="60" w:line="264"/>
        <w:ind w:left="720" w:hanging="360"/>
        <w:jc w:val="both"/>
      </w:pPr>
      <w:r>
        <w:rPr>
          <w:rFonts w:ascii="Arial" w:cs="Arial" w:eastAsia="Arial" w:hAnsi="Arial"/>
          <w:sz w:val="21"/>
          <w:szCs w:val="21"/>
        </w:rPr>
        <w:t xml:space="preserve">V – </w:t>
      </w:r>
      <w:r>
        <w:rPr>
          <w:rFonts w:ascii="Arial" w:cs="Arial" w:eastAsia="Arial" w:hAnsi="Arial"/>
          <w:sz w:val="21"/>
          <w:szCs w:val="21"/>
        </w:rPr>
        <w:t xml:space="preserve">que os profissionais indicados que possuam vínculo com o serviço público não terão horários coincidentes com sua jornada;</w:t>
      </w:r>
    </w:p>
    <w:p>
      <w:pPr>
        <w:spacing w:after="60" w:line="264"/>
        <w:ind w:left="720" w:hanging="360"/>
        <w:jc w:val="both"/>
      </w:pPr>
      <w:r>
        <w:rPr>
          <w:rFonts w:ascii="Arial" w:cs="Arial" w:eastAsia="Arial" w:hAnsi="Arial"/>
          <w:sz w:val="21"/>
          <w:szCs w:val="21"/>
        </w:rPr>
        <w:t xml:space="preserve">VI – </w:t>
      </w:r>
      <w:r>
        <w:rPr>
          <w:rFonts w:ascii="Arial" w:cs="Arial" w:eastAsia="Arial" w:hAnsi="Arial"/>
          <w:sz w:val="21"/>
          <w:szCs w:val="21"/>
        </w:rPr>
        <w:t xml:space="preserve">que cumpre as exigências de reserva de cargos para pessoa com deficiência e para reabilitado da Previdência Social (art. 63, IV, da Lei nº 14.133/2021);</w:t>
      </w:r>
    </w:p>
    <w:p>
      <w:pPr>
        <w:spacing w:after="60" w:line="264"/>
        <w:ind w:left="720" w:hanging="360"/>
        <w:jc w:val="both"/>
      </w:pPr>
      <w:r>
        <w:rPr>
          <w:rFonts w:ascii="Arial" w:cs="Arial" w:eastAsia="Arial" w:hAnsi="Arial"/>
          <w:sz w:val="21"/>
          <w:szCs w:val="21"/>
        </w:rPr>
        <w:t xml:space="preserve">VII – </w:t>
      </w:r>
      <w:r>
        <w:rPr>
          <w:rFonts w:ascii="Arial" w:cs="Arial" w:eastAsia="Arial" w:hAnsi="Arial"/>
          <w:sz w:val="21"/>
          <w:szCs w:val="21"/>
        </w:rPr>
        <w:t xml:space="preserve">que não cobrará do usuário qualquer valor relativo aos procedimentos e que conhece a vedação de subcontratação do núcleo assistencial;</w:t>
      </w:r>
    </w:p>
    <w:p>
      <w:pPr>
        <w:spacing w:after="60" w:line="264"/>
        <w:ind w:left="720" w:hanging="360"/>
        <w:jc w:val="both"/>
      </w:pPr>
      <w:r>
        <w:rPr>
          <w:rFonts w:ascii="Arial" w:cs="Arial" w:eastAsia="Arial" w:hAnsi="Arial"/>
          <w:sz w:val="21"/>
          <w:szCs w:val="21"/>
        </w:rPr>
        <w:t xml:space="preserve">VIII – </w:t>
      </w:r>
      <w:r>
        <w:rPr>
          <w:rFonts w:ascii="Arial" w:cs="Arial" w:eastAsia="Arial" w:hAnsi="Arial"/>
          <w:sz w:val="21"/>
          <w:szCs w:val="21"/>
        </w:rPr>
        <w:t xml:space="preserve">que observará a Lei nº 13.709/2018 (LGPD) e o sigilo dos dados de saúde;</w:t>
      </w:r>
    </w:p>
    <w:p>
      <w:pPr>
        <w:spacing w:after="60" w:line="264"/>
        <w:ind w:left="720" w:hanging="360"/>
        <w:jc w:val="both"/>
      </w:pPr>
      <w:r>
        <w:rPr>
          <w:rFonts w:ascii="Arial" w:cs="Arial" w:eastAsia="Arial" w:hAnsi="Arial"/>
          <w:sz w:val="21"/>
          <w:szCs w:val="21"/>
        </w:rPr>
        <w:t xml:space="preserve">IX – </w:t>
      </w:r>
      <w:r>
        <w:rPr>
          <w:rFonts w:ascii="Arial" w:cs="Arial" w:eastAsia="Arial" w:hAnsi="Arial"/>
          <w:sz w:val="21"/>
          <w:szCs w:val="21"/>
        </w:rPr>
        <w:t xml:space="preserve">que cumpre a Lei nº 12.846/2013 e não praticou atos lesivos à Administração Pública;</w:t>
      </w:r>
    </w:p>
    <w:p>
      <w:pPr>
        <w:spacing w:after="60" w:line="264"/>
        <w:ind w:left="720" w:hanging="360"/>
        <w:jc w:val="both"/>
      </w:pPr>
      <w:r>
        <w:rPr>
          <w:rFonts w:ascii="Arial" w:cs="Arial" w:eastAsia="Arial" w:hAnsi="Arial"/>
          <w:sz w:val="21"/>
          <w:szCs w:val="21"/>
        </w:rPr>
        <w:t xml:space="preserve">X – </w:t>
      </w:r>
      <w:r>
        <w:rPr>
          <w:rFonts w:ascii="Arial" w:cs="Arial" w:eastAsia="Arial" w:hAnsi="Arial"/>
          <w:sz w:val="21"/>
          <w:szCs w:val="21"/>
        </w:rPr>
        <w:t xml:space="preserve">que as informações e os documentos apresentados são verdadeiros, comprometendo-se a manter as condições de habilitação durante toda a vigência do credenciamento e dos contratos e a comunicar qualquer alteração.</w:t>
      </w:r>
    </w:p>
    <w:p>
      <w:pPr>
        <w:spacing w:after="100" w:before="160" w:line="276"/>
        <w:jc w:val="both"/>
      </w:pPr>
      <w:r>
        <w:rPr>
          <w:rFonts w:ascii="Arial" w:cs="Arial" w:eastAsia="Arial" w:hAnsi="Arial"/>
          <w:sz w:val="21"/>
          <w:szCs w:val="21"/>
        </w:rPr>
        <w:t xml:space="preserve">[Local], [data].</w:t>
      </w:r>
    </w:p>
    <w:p>
      <w:pPr>
        <w:spacing w:after="0" w:before="500"/>
        <w:jc w:val="center"/>
      </w:pPr>
      <w:r>
        <w:rPr>
          <w:rFonts w:ascii="Arial" w:cs="Arial" w:eastAsia="Arial" w:hAnsi="Arial"/>
          <w:sz w:val="21"/>
          <w:szCs w:val="21"/>
        </w:rPr>
        <w:t xml:space="preserve">_____________________________________________</w:t>
      </w:r>
    </w:p>
    <w:p>
      <w:pPr>
        <w:spacing w:after="0" w:before="0" w:line="276"/>
        <w:jc w:val="center"/>
      </w:pPr>
      <w:r>
        <w:rPr>
          <w:rFonts w:ascii="Arial" w:cs="Arial" w:eastAsia="Arial" w:hAnsi="Arial"/>
          <w:b/>
          <w:bCs/>
          <w:sz w:val="21"/>
          <w:szCs w:val="21"/>
        </w:rPr>
        <w:t xml:space="preserve">[Nome do representante legal]</w:t>
      </w:r>
    </w:p>
    <w:p>
      <w:pPr>
        <w:spacing w:after="0" w:before="0" w:line="276"/>
        <w:jc w:val="center"/>
      </w:pPr>
      <w:r>
        <w:rPr>
          <w:rFonts w:ascii="Arial" w:cs="Arial" w:eastAsia="Arial" w:hAnsi="Arial"/>
          <w:sz w:val="21"/>
          <w:szCs w:val="21"/>
        </w:rPr>
        <w:t xml:space="preserve">[Cargo] – [Razão social]</w:t>
      </w:r>
    </w:p>
    <w:p>
      <w:pPr>
        <w:sectPr>
          <w:headerReference w:type="default" r:id="rId12"/>
          <w:footerReference w:type="default" r:id="rId13"/>
          <w:pgSz w:w="11906" w:h="16838" w:orient="portrait"/>
          <w:pgMar w:top="1900" w:right="1134" w:bottom="2050" w:left="1418" w:header="1480" w:footer="1620" w:gutter="0"/>
          <w:pgNumType/>
          <w:docGrid w:linePitch="360"/>
        </w:sectPr>
      </w:pPr>
    </w:p>
    <w:p>
      <w:pPr>
        <w:spacing w:after="80"/>
        <w:jc w:val="center"/>
      </w:pPr>
      <w:r>
        <w:rPr>
          <w:rFonts w:ascii="Arial" w:cs="Arial" w:eastAsia="Arial" w:hAnsi="Arial"/>
          <w:b/>
          <w:bCs/>
          <w:sz w:val="22"/>
          <w:szCs w:val="22"/>
        </w:rPr>
        <w:t xml:space="preserve">ANEXO VI – MINUTA DE CONTRATO</w:t>
      </w:r>
    </w:p>
    <w:p>
      <w:pPr>
        <w:spacing w:after="80"/>
        <w:jc w:val="center"/>
      </w:pPr>
      <w:r>
        <w:rPr>
          <w:rFonts w:ascii="Arial" w:cs="Arial" w:eastAsia="Arial" w:hAnsi="Arial"/>
          <w:b/>
          <w:bCs/>
          <w:sz w:val="22"/>
          <w:szCs w:val="22"/>
        </w:rPr>
        <w:t xml:space="preserve">CONTRATO Nº [●]/[●]</w:t>
      </w:r>
    </w:p>
    <w:p>
      <w:pPr>
        <w:spacing w:after="60" w:before="0" w:line="276"/>
        <w:jc w:val="center"/>
      </w:pPr>
      <w:r>
        <w:rPr>
          <w:rFonts w:ascii="Arial" w:cs="Arial" w:eastAsia="Arial" w:hAnsi="Arial"/>
          <w:sz w:val="21"/>
          <w:szCs w:val="21"/>
        </w:rPr>
        <w:t xml:space="preserve">Inexigibilidade nº </w:t>
      </w:r>
      <w:r>
        <w:rPr>
          <w:rFonts w:ascii="Arial" w:cs="Arial" w:eastAsia="Arial" w:hAnsi="Arial"/>
          <w:sz w:val="21"/>
          <w:szCs w:val="21"/>
          <w:highlight w:val="yellow"/>
        </w:rPr>
        <w:t xml:space="preserve">[●]</w:t>
      </w:r>
      <w:r>
        <w:rPr>
          <w:rFonts w:ascii="Arial" w:cs="Arial" w:eastAsia="Arial" w:hAnsi="Arial"/>
          <w:sz w:val="21"/>
          <w:szCs w:val="21"/>
        </w:rPr>
        <w:t xml:space="preserve">/</w:t>
      </w:r>
      <w:r>
        <w:rPr>
          <w:rFonts w:ascii="Arial" w:cs="Arial" w:eastAsia="Arial" w:hAnsi="Arial"/>
          <w:sz w:val="21"/>
          <w:szCs w:val="21"/>
          <w:highlight w:val="yellow"/>
        </w:rPr>
        <w:t xml:space="preserve">[●]</w:t>
      </w:r>
      <w:r>
        <w:rPr>
          <w:rFonts w:ascii="Arial" w:cs="Arial" w:eastAsia="Arial" w:hAnsi="Arial"/>
          <w:sz w:val="21"/>
          <w:szCs w:val="21"/>
        </w:rPr>
        <w:t xml:space="preserve"> decorrente do Credenciamento nº 013/2026 – Programa Fila Zero 3.0</w:t>
      </w:r>
    </w:p>
    <w:p>
      <w:pPr>
        <w:spacing w:after="200" w:before="0" w:line="276"/>
        <w:jc w:val="center"/>
      </w:pPr>
      <w:r>
        <w:rPr>
          <w:rFonts w:ascii="Arial" w:cs="Arial" w:eastAsia="Arial" w:hAnsi="Arial"/>
          <w:sz w:val="21"/>
          <w:szCs w:val="21"/>
        </w:rPr>
        <w:t xml:space="preserve">Processo Administrativo nº 145/2026 – Processo de Compra nº 00002659/2026</w:t>
      </w:r>
    </w:p>
    <w:p>
      <w:pPr>
        <w:spacing w:after="100" w:before="0" w:line="276"/>
        <w:jc w:val="both"/>
      </w:pPr>
      <w:r>
        <w:rPr>
          <w:rFonts w:ascii="Arial" w:cs="Arial" w:eastAsia="Arial" w:hAnsi="Arial"/>
          <w:b/>
          <w:bCs/>
          <w:sz w:val="21"/>
          <w:szCs w:val="21"/>
        </w:rPr>
        <w:t xml:space="preserve">CONTRATANTE:</w:t>
      </w:r>
      <w:r>
        <w:rPr>
          <w:rFonts w:ascii="Arial" w:cs="Arial" w:eastAsia="Arial" w:hAnsi="Arial"/>
          <w:sz w:val="21"/>
          <w:szCs w:val="21"/>
        </w:rPr>
        <w:t xml:space="preserve"> MUNICÍPIO DE CONFRESA – MT, por intermédio do </w:t>
      </w:r>
      <w:r>
        <w:rPr>
          <w:rFonts w:ascii="Arial" w:cs="Arial" w:eastAsia="Arial" w:hAnsi="Arial"/>
          <w:b/>
          <w:bCs/>
          <w:sz w:val="21"/>
          <w:szCs w:val="21"/>
        </w:rPr>
        <w:t xml:space="preserve">FUNDO MUNICIPAL DE SAÚDE</w:t>
      </w:r>
      <w:r>
        <w:rPr>
          <w:rFonts w:ascii="Arial" w:cs="Arial" w:eastAsia="Arial" w:hAnsi="Arial"/>
          <w:sz w:val="21"/>
          <w:szCs w:val="21"/>
        </w:rPr>
        <w:t xml:space="preserve">, CNPJ nº </w:t>
      </w:r>
      <w:r>
        <w:rPr>
          <w:rFonts w:ascii="Arial" w:cs="Arial" w:eastAsia="Arial" w:hAnsi="Arial"/>
          <w:sz w:val="21"/>
          <w:szCs w:val="21"/>
          <w:highlight w:val="yellow"/>
        </w:rPr>
        <w:t xml:space="preserve">[●]</w:t>
      </w:r>
      <w:r>
        <w:rPr>
          <w:rFonts w:ascii="Arial" w:cs="Arial" w:eastAsia="Arial" w:hAnsi="Arial"/>
          <w:sz w:val="21"/>
          <w:szCs w:val="21"/>
        </w:rPr>
        <w:t xml:space="preserve">, com sede na Avenida Centro Oeste, nº 286, Centro, Confresa – MT, neste ato representado pelo Secretário Municipal de Saúde, </w:t>
      </w:r>
      <w:r>
        <w:rPr>
          <w:rFonts w:ascii="Arial" w:cs="Arial" w:eastAsia="Arial" w:hAnsi="Arial"/>
          <w:b/>
          <w:bCs/>
          <w:sz w:val="21"/>
          <w:szCs w:val="21"/>
        </w:rPr>
        <w:t xml:space="preserve">VITOR DUARTE QUEIROZ CAMPOS</w:t>
      </w:r>
      <w:r>
        <w:rPr>
          <w:rFonts w:ascii="Arial" w:cs="Arial" w:eastAsia="Arial" w:hAnsi="Arial"/>
          <w:sz w:val="21"/>
          <w:szCs w:val="21"/>
        </w:rPr>
        <w:t xml:space="preserve">, nomeado pela Portaria nº 114/2026.</w:t>
      </w:r>
    </w:p>
    <w:p>
      <w:pPr>
        <w:spacing w:after="100" w:before="0" w:line="276"/>
        <w:jc w:val="both"/>
      </w:pPr>
      <w:r>
        <w:rPr>
          <w:rFonts w:ascii="Arial" w:cs="Arial" w:eastAsia="Arial" w:hAnsi="Arial"/>
          <w:b/>
          <w:bCs/>
          <w:sz w:val="21"/>
          <w:szCs w:val="21"/>
        </w:rPr>
        <w:t xml:space="preserve">CONTRATADA:</w:t>
      </w:r>
      <w:r>
        <w:rPr>
          <w:rFonts w:ascii="Arial" w:cs="Arial" w:eastAsia="Arial" w:hAnsi="Arial"/>
          <w:sz w:val="21"/>
          <w:szCs w:val="21"/>
        </w:rPr>
        <w:t xml:space="preserve"> [razão social], CNPJ nº </w:t>
      </w:r>
      <w:r>
        <w:rPr>
          <w:rFonts w:ascii="Arial" w:cs="Arial" w:eastAsia="Arial" w:hAnsi="Arial"/>
          <w:sz w:val="21"/>
          <w:szCs w:val="21"/>
          <w:highlight w:val="yellow"/>
        </w:rPr>
        <w:t xml:space="preserve">[●]</w:t>
      </w:r>
      <w:r>
        <w:rPr>
          <w:rFonts w:ascii="Arial" w:cs="Arial" w:eastAsia="Arial" w:hAnsi="Arial"/>
          <w:sz w:val="21"/>
          <w:szCs w:val="21"/>
        </w:rPr>
        <w:t xml:space="preserve">, com sede em </w:t>
      </w:r>
      <w:r>
        <w:rPr>
          <w:rFonts w:ascii="Arial" w:cs="Arial" w:eastAsia="Arial" w:hAnsi="Arial"/>
          <w:sz w:val="21"/>
          <w:szCs w:val="21"/>
          <w:highlight w:val="yellow"/>
        </w:rPr>
        <w:t xml:space="preserve">[●]</w:t>
      </w:r>
      <w:r>
        <w:rPr>
          <w:rFonts w:ascii="Arial" w:cs="Arial" w:eastAsia="Arial" w:hAnsi="Arial"/>
          <w:sz w:val="21"/>
          <w:szCs w:val="21"/>
        </w:rPr>
        <w:t xml:space="preserve">, CNES nº </w:t>
      </w:r>
      <w:r>
        <w:rPr>
          <w:rFonts w:ascii="Arial" w:cs="Arial" w:eastAsia="Arial" w:hAnsi="Arial"/>
          <w:sz w:val="21"/>
          <w:szCs w:val="21"/>
          <w:highlight w:val="yellow"/>
        </w:rPr>
        <w:t xml:space="preserve">[●, se houver]</w:t>
      </w:r>
      <w:r>
        <w:rPr>
          <w:rFonts w:ascii="Arial" w:cs="Arial" w:eastAsia="Arial" w:hAnsi="Arial"/>
          <w:sz w:val="21"/>
          <w:szCs w:val="21"/>
        </w:rPr>
        <w:t xml:space="preserve">, neste ato representada por [nome], CPF nº </w:t>
      </w:r>
      <w:r>
        <w:rPr>
          <w:rFonts w:ascii="Arial" w:cs="Arial" w:eastAsia="Arial" w:hAnsi="Arial"/>
          <w:sz w:val="21"/>
          <w:szCs w:val="21"/>
          <w:highlight w:val="yellow"/>
        </w:rPr>
        <w:t xml:space="preserve">[●]</w:t>
      </w:r>
      <w:r>
        <w:rPr>
          <w:rFonts w:ascii="Arial" w:cs="Arial" w:eastAsia="Arial" w:hAnsi="Arial"/>
          <w:sz w:val="21"/>
          <w:szCs w:val="21"/>
        </w:rPr>
        <w:t xml:space="preserve">, conforme [ato constitutivo/procuração].</w:t>
      </w:r>
    </w:p>
    <w:p>
      <w:pPr>
        <w:spacing w:after="100" w:before="0" w:line="276"/>
        <w:jc w:val="both"/>
      </w:pPr>
      <w:r>
        <w:rPr>
          <w:rFonts w:ascii="Arial" w:cs="Arial" w:eastAsia="Arial" w:hAnsi="Arial"/>
          <w:sz w:val="21"/>
          <w:szCs w:val="21"/>
        </w:rPr>
        <w:t xml:space="preserve">As partes celebram o presente contrato, decorrente do credenciamento realizado com fundamento nos arts. 74, IV, 78, I, e 79, I, da Lei nº 14.133/2021 e no Decreto Municipal nº 123/2026, que se regerá pela Lei nº 14.133/2021, pela Lei nº 8.080/1990 e pelas cláusulas seguintes.</w:t>
      </w:r>
    </w:p>
    <w:p>
      <w:pPr>
        <w:keepNext/>
        <w:spacing w:after="100" w:before="200"/>
        <w:jc w:val="left"/>
      </w:pPr>
      <w:r>
        <w:rPr>
          <w:rFonts w:ascii="Arial" w:cs="Arial" w:eastAsia="Arial" w:hAnsi="Arial"/>
          <w:b/>
          <w:bCs/>
          <w:sz w:val="21"/>
          <w:szCs w:val="21"/>
        </w:rPr>
        <w:t xml:space="preserve">CLÁUSULA PRIMEIRA – DO OBJETO</w:t>
      </w:r>
    </w:p>
    <w:p>
      <w:pPr>
        <w:spacing w:after="90" w:line="276"/>
        <w:ind w:left="0"/>
        <w:jc w:val="both"/>
      </w:pPr>
      <w:r>
        <w:rPr>
          <w:rFonts w:ascii="Arial" w:cs="Arial" w:eastAsia="Arial" w:hAnsi="Arial"/>
          <w:b w:val="false"/>
          <w:bCs w:val="false"/>
          <w:sz w:val="21"/>
          <w:szCs w:val="21"/>
        </w:rPr>
        <w:t xml:space="preserve">1.1. </w:t>
      </w:r>
      <w:r>
        <w:rPr>
          <w:rFonts w:ascii="Arial" w:cs="Arial" w:eastAsia="Arial" w:hAnsi="Arial"/>
          <w:sz w:val="21"/>
          <w:szCs w:val="21"/>
        </w:rPr>
        <w:t xml:space="preserve">Prestação complementar e sob demanda, pela CONTRATADA, dos procedimentos relacionados na Cláusula Terceira, destinados aos usuários do SUS regulados no âmbito da 2ª Proposta nº 172/2026 do Programa Fila Zero 3.0.</w:t>
      </w:r>
    </w:p>
    <w:p>
      <w:pPr>
        <w:spacing w:after="90" w:line="276"/>
        <w:ind w:left="0"/>
        <w:jc w:val="both"/>
      </w:pPr>
      <w:r>
        <w:rPr>
          <w:rFonts w:ascii="Arial" w:cs="Arial" w:eastAsia="Arial" w:hAnsi="Arial"/>
          <w:b w:val="false"/>
          <w:bCs w:val="false"/>
          <w:sz w:val="21"/>
          <w:szCs w:val="21"/>
        </w:rPr>
        <w:t xml:space="preserve">1.2. </w:t>
      </w:r>
      <w:r>
        <w:rPr>
          <w:rFonts w:ascii="Arial" w:cs="Arial" w:eastAsia="Arial" w:hAnsi="Arial"/>
          <w:sz w:val="21"/>
          <w:szCs w:val="21"/>
        </w:rPr>
        <w:t xml:space="preserve">Vinculam este contrato, independentemente de transcrição: o Edital de Chamamento Público – Credenciamento nº 013/2026 e seus anexos, em especial o Termo de Referência, o Anexo II (valores) e o Anexo III (matriz de responsabilidades); o Termo de Credenciamento; o requerimento da CONTRATADA; e o processo de inexigibilidade.</w:t>
      </w:r>
    </w:p>
    <w:p>
      <w:pPr>
        <w:keepNext/>
        <w:spacing w:after="100" w:before="200"/>
        <w:jc w:val="left"/>
      </w:pPr>
      <w:r>
        <w:rPr>
          <w:rFonts w:ascii="Arial" w:cs="Arial" w:eastAsia="Arial" w:hAnsi="Arial"/>
          <w:b/>
          <w:bCs/>
          <w:sz w:val="21"/>
          <w:szCs w:val="21"/>
        </w:rPr>
        <w:t xml:space="preserve">CLÁUSULA SEGUNDA – DO REGIME DE EXECUÇÃO</w:t>
      </w:r>
    </w:p>
    <w:p>
      <w:pPr>
        <w:spacing w:after="90" w:line="276"/>
        <w:ind w:left="0"/>
        <w:jc w:val="both"/>
      </w:pPr>
      <w:r>
        <w:rPr>
          <w:rFonts w:ascii="Arial" w:cs="Arial" w:eastAsia="Arial" w:hAnsi="Arial"/>
          <w:b w:val="false"/>
          <w:bCs w:val="false"/>
          <w:sz w:val="21"/>
          <w:szCs w:val="21"/>
        </w:rPr>
        <w:t xml:space="preserve">2.1. </w:t>
      </w:r>
      <w:r>
        <w:rPr>
          <w:rFonts w:ascii="Arial" w:cs="Arial" w:eastAsia="Arial" w:hAnsi="Arial"/>
          <w:sz w:val="21"/>
          <w:szCs w:val="21"/>
        </w:rPr>
        <w:t xml:space="preserve">A execução será por preço unitário, sob demanda, sem garantia de quantitativo mínimo. A CONTRATADA somente executará procedimentos que lhe forem atribuídos pela lista de rodízio do código, com usuário regulado, autorização emitida em sistema oficial e ordem ou agenda municipal (itens 8 e 9 do Edital).</w:t>
      </w:r>
    </w:p>
    <w:p>
      <w:pPr>
        <w:keepNext/>
        <w:spacing w:after="100" w:before="200"/>
        <w:jc w:val="left"/>
      </w:pPr>
      <w:r>
        <w:rPr>
          <w:rFonts w:ascii="Arial" w:cs="Arial" w:eastAsia="Arial" w:hAnsi="Arial"/>
          <w:b/>
          <w:bCs/>
          <w:sz w:val="21"/>
          <w:szCs w:val="21"/>
        </w:rPr>
        <w:t xml:space="preserve">CLÁUSULA TERCEIRA – DOS PROCEDIMENTOS, VALORES E TETO</w:t>
      </w:r>
    </w:p>
    <w:p>
      <w:pPr>
        <w:spacing w:after="90" w:line="276"/>
        <w:ind w:left="0"/>
        <w:jc w:val="both"/>
      </w:pPr>
      <w:r>
        <w:rPr>
          <w:rFonts w:ascii="Arial" w:cs="Arial" w:eastAsia="Arial" w:hAnsi="Arial"/>
          <w:b w:val="false"/>
          <w:bCs w:val="false"/>
          <w:sz w:val="21"/>
          <w:szCs w:val="21"/>
        </w:rPr>
        <w:t xml:space="preserve">3.1. </w:t>
      </w:r>
      <w:r>
        <w:rPr>
          <w:rFonts w:ascii="Arial" w:cs="Arial" w:eastAsia="Arial" w:hAnsi="Arial"/>
          <w:sz w:val="21"/>
          <w:szCs w:val="21"/>
        </w:rPr>
        <w:t xml:space="preserve">A CONTRATADA está habilitada para os seguintes procedimentos, com os valores fixos do Anexo II do Edital:</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600"/>
        <w:gridCol w:w="1150"/>
        <w:gridCol w:w="2350"/>
        <w:gridCol w:w="1150"/>
        <w:gridCol w:w="500"/>
        <w:gridCol w:w="1200"/>
        <w:gridCol w:w="900"/>
        <w:gridCol w:w="1504"/>
      </w:tblGrid>
      <w:tr>
        <w:trPr>
          <w:cantSplit/>
          <w:tblHeader/>
        </w:trPr>
        <w:tc>
          <w:tcPr>
            <w:tcW w:type="dxa" w:w="6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Item</w:t>
            </w:r>
          </w:p>
        </w:tc>
        <w:tc>
          <w:tcPr>
            <w:tcW w:type="dxa" w:w="115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Código SIGTAP</w:t>
            </w:r>
          </w:p>
        </w:tc>
        <w:tc>
          <w:tcPr>
            <w:tcW w:type="dxa" w:w="235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Procedimento</w:t>
            </w:r>
          </w:p>
        </w:tc>
        <w:tc>
          <w:tcPr>
            <w:tcW w:type="dxa" w:w="115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Valor Tabela SUS-MT (R$)</w:t>
            </w:r>
          </w:p>
        </w:tc>
        <w:tc>
          <w:tcPr>
            <w:tcW w:type="dxa" w:w="5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w:t>
            </w:r>
          </w:p>
        </w:tc>
        <w:tc>
          <w:tcPr>
            <w:tcW w:type="dxa" w:w="12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Valor pago por unidade (R$)</w:t>
            </w:r>
          </w:p>
        </w:tc>
        <w:tc>
          <w:tcPr>
            <w:tcW w:type="dxa" w:w="9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Qtd. estimada</w:t>
            </w:r>
          </w:p>
        </w:tc>
        <w:tc>
          <w:tcPr>
            <w:tcW w:type="dxa" w:w="1504"/>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6"/>
                <w:szCs w:val="16"/>
              </w:rPr>
              <w:t xml:space="preserve">Valor estimado (R$)</w:t>
            </w:r>
          </w:p>
        </w:tc>
      </w:tr>
      <w:tr>
        <w:trPr>
          <w:cantSplit/>
        </w:trPr>
        <w:tc>
          <w:tcPr>
            <w:tcW w:type="dxa" w:w="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5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5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5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5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5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5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5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5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23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15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5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2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50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bl>
    <w:p>
      <w:pPr>
        <w:spacing w:after="60" w:before="0" w:line="276"/>
        <w:jc w:val="both"/>
      </w:pPr>
    </w:p>
    <w:p>
      <w:pPr>
        <w:spacing w:after="90" w:line="276"/>
        <w:ind w:left="0"/>
        <w:jc w:val="both"/>
      </w:pPr>
      <w:r>
        <w:rPr>
          <w:rFonts w:ascii="Arial" w:cs="Arial" w:eastAsia="Arial" w:hAnsi="Arial"/>
          <w:b w:val="false"/>
          <w:bCs w:val="false"/>
          <w:sz w:val="21"/>
          <w:szCs w:val="21"/>
        </w:rPr>
        <w:t xml:space="preserve">3.2. </w:t>
      </w:r>
      <w:r>
        <w:rPr>
          <w:rFonts w:ascii="Arial" w:cs="Arial" w:eastAsia="Arial" w:hAnsi="Arial"/>
          <w:sz w:val="21"/>
          <w:szCs w:val="21"/>
        </w:rPr>
        <w:t xml:space="preserve">O valor estimado deste contrato é de </w:t>
      </w:r>
      <w:r>
        <w:rPr>
          <w:rFonts w:ascii="Arial" w:cs="Arial" w:eastAsia="Arial" w:hAnsi="Arial"/>
          <w:b/>
          <w:bCs/>
          <w:sz w:val="21"/>
          <w:szCs w:val="21"/>
        </w:rPr>
        <w:t xml:space="preserve">R$ </w:t>
      </w:r>
      <w:r>
        <w:rPr>
          <w:rFonts w:ascii="Arial" w:cs="Arial" w:eastAsia="Arial" w:hAnsi="Arial"/>
          <w:b/>
          <w:bCs/>
          <w:sz w:val="21"/>
          <w:szCs w:val="21"/>
          <w:highlight w:val="yellow"/>
        </w:rPr>
        <w:t xml:space="preserve">[●]</w:t>
      </w:r>
      <w:r>
        <w:rPr>
          <w:rFonts w:ascii="Arial" w:cs="Arial" w:eastAsia="Arial" w:hAnsi="Arial"/>
          <w:sz w:val="21"/>
          <w:szCs w:val="21"/>
        </w:rPr>
        <w:t xml:space="preserve">, correspondente à previsão de utilização compatível com o saldo da programação, e não constitui obrigação de demanda nem direito da CONTRATADA. É vedado reproduzir neste contrato o valor global da programação (R$ 9.398.427,27).</w:t>
      </w:r>
    </w:p>
    <w:p>
      <w:pPr>
        <w:keepNext/>
        <w:spacing w:after="100" w:before="200"/>
        <w:jc w:val="left"/>
      </w:pPr>
      <w:r>
        <w:rPr>
          <w:rFonts w:ascii="Arial" w:cs="Arial" w:eastAsia="Arial" w:hAnsi="Arial"/>
          <w:b/>
          <w:bCs/>
          <w:sz w:val="21"/>
          <w:szCs w:val="21"/>
        </w:rPr>
        <w:t xml:space="preserve">CLÁUSULA QUARTA – DA REMUNERAÇÃO</w:t>
      </w:r>
    </w:p>
    <w:p>
      <w:pPr>
        <w:spacing w:after="90" w:line="276"/>
        <w:ind w:left="0"/>
        <w:jc w:val="both"/>
      </w:pPr>
      <w:r>
        <w:rPr>
          <w:rFonts w:ascii="Arial" w:cs="Arial" w:eastAsia="Arial" w:hAnsi="Arial"/>
          <w:b w:val="false"/>
          <w:bCs w:val="false"/>
          <w:sz w:val="21"/>
          <w:szCs w:val="21"/>
        </w:rPr>
        <w:t xml:space="preserve">4.1. </w:t>
      </w:r>
      <w:r>
        <w:rPr>
          <w:rFonts w:ascii="Arial" w:cs="Arial" w:eastAsia="Arial" w:hAnsi="Arial"/>
          <w:sz w:val="21"/>
          <w:szCs w:val="21"/>
        </w:rPr>
        <w:t xml:space="preserve">Nos subgrupos 0301, 0205, 0206 e 0417, a CONTRATADA receberá 100% do valor unitário da Tabela SUS Mato Grosso. Nos subgrupos cirúrgicos 0403, 0405, 0406, 0407, 0408 e 0409, receberá 80% desse valor, permanecendo os 20% remanescentes com o Fundo Municipal de Saúde para custeio dos componentes do Hospital Municipal, conforme o Anexo III do Edital.</w:t>
      </w:r>
    </w:p>
    <w:p>
      <w:pPr>
        <w:spacing w:after="90" w:line="276"/>
        <w:ind w:left="0"/>
        <w:jc w:val="both"/>
      </w:pPr>
      <w:r>
        <w:rPr>
          <w:rFonts w:ascii="Arial" w:cs="Arial" w:eastAsia="Arial" w:hAnsi="Arial"/>
          <w:b w:val="false"/>
          <w:bCs w:val="false"/>
          <w:sz w:val="21"/>
          <w:szCs w:val="21"/>
        </w:rPr>
        <w:t xml:space="preserve">4.2. </w:t>
      </w:r>
      <w:r>
        <w:rPr>
          <w:rFonts w:ascii="Arial" w:cs="Arial" w:eastAsia="Arial" w:hAnsi="Arial"/>
          <w:sz w:val="21"/>
          <w:szCs w:val="21"/>
        </w:rPr>
        <w:t xml:space="preserve">O valor por unidade remunera integralmente os componentes atribuídos à CONTRATADA pela matriz de responsabilidades, inclusive honorários, encargos, tributos, deslocamento e, quando aplicável, o fornecimento de OPME, vedado qualquer pagamento adicional.</w:t>
      </w:r>
    </w:p>
    <w:p>
      <w:pPr>
        <w:spacing w:after="90" w:line="276"/>
        <w:ind w:left="0"/>
        <w:jc w:val="both"/>
      </w:pPr>
      <w:r>
        <w:rPr>
          <w:rFonts w:ascii="Arial" w:cs="Arial" w:eastAsia="Arial" w:hAnsi="Arial"/>
          <w:b w:val="false"/>
          <w:bCs w:val="false"/>
          <w:sz w:val="21"/>
          <w:szCs w:val="21"/>
        </w:rPr>
        <w:t xml:space="preserve">4.3. </w:t>
      </w:r>
      <w:r>
        <w:rPr>
          <w:rFonts w:ascii="Arial" w:cs="Arial" w:eastAsia="Arial" w:hAnsi="Arial"/>
          <w:sz w:val="21"/>
          <w:szCs w:val="21"/>
        </w:rPr>
        <w:t xml:space="preserve">Não haverá pagamento separado de sedação ou anestesia incluída no procedimento principal, nem por procedimento executado pela rede própria.</w:t>
      </w:r>
    </w:p>
    <w:p>
      <w:pPr>
        <w:spacing w:after="90" w:line="276"/>
        <w:ind w:left="0"/>
        <w:jc w:val="both"/>
      </w:pPr>
      <w:r>
        <w:rPr>
          <w:rFonts w:ascii="Arial" w:cs="Arial" w:eastAsia="Arial" w:hAnsi="Arial"/>
          <w:b w:val="false"/>
          <w:bCs w:val="false"/>
          <w:sz w:val="21"/>
          <w:szCs w:val="21"/>
        </w:rPr>
        <w:t xml:space="preserve">4.4. </w:t>
      </w:r>
      <w:r>
        <w:rPr>
          <w:rFonts w:ascii="Arial" w:cs="Arial" w:eastAsia="Arial" w:hAnsi="Arial"/>
          <w:sz w:val="21"/>
          <w:szCs w:val="21"/>
        </w:rPr>
        <w:t xml:space="preserve">É vedado à CONTRATADA cobrar do usuário qualquer valor, taxa, diferença, complemento ou honorário.</w:t>
      </w:r>
    </w:p>
    <w:p>
      <w:pPr>
        <w:keepNext/>
        <w:spacing w:after="100" w:before="200"/>
        <w:jc w:val="left"/>
      </w:pPr>
      <w:r>
        <w:rPr>
          <w:rFonts w:ascii="Arial" w:cs="Arial" w:eastAsia="Arial" w:hAnsi="Arial"/>
          <w:b/>
          <w:bCs/>
          <w:sz w:val="21"/>
          <w:szCs w:val="21"/>
        </w:rPr>
        <w:t xml:space="preserve">CLÁUSULA QUINTA – DO LOCAL E DAS CONDIÇÕES DE EXECUÇÃO</w:t>
      </w:r>
    </w:p>
    <w:p>
      <w:pPr>
        <w:spacing w:after="90" w:line="276"/>
        <w:ind w:left="0"/>
        <w:jc w:val="both"/>
      </w:pPr>
      <w:r>
        <w:rPr>
          <w:rFonts w:ascii="Arial" w:cs="Arial" w:eastAsia="Arial" w:hAnsi="Arial"/>
          <w:b w:val="false"/>
          <w:bCs w:val="false"/>
          <w:sz w:val="21"/>
          <w:szCs w:val="21"/>
        </w:rPr>
        <w:t xml:space="preserve">5.1. </w:t>
      </w:r>
      <w:r>
        <w:rPr>
          <w:rFonts w:ascii="Arial" w:cs="Arial" w:eastAsia="Arial" w:hAnsi="Arial"/>
          <w:sz w:val="21"/>
          <w:szCs w:val="21"/>
        </w:rPr>
        <w:t xml:space="preserve">Os procedimentos cirúrgicos, as consultas e as sedações serão executados no Hospital Municipal de Confresa – CNES 2793636, com os componentes atribuídos ao Hospital pela matriz do Anexo III. Nos exames de tomografia e ultrassonografia, a CONTRATADA fornecerá profissionais, equipamentos, operação, insumos e laudo.</w:t>
      </w:r>
    </w:p>
    <w:p>
      <w:pPr>
        <w:spacing w:after="90" w:line="276"/>
        <w:ind w:left="0"/>
        <w:jc w:val="both"/>
      </w:pPr>
      <w:r>
        <w:rPr>
          <w:rFonts w:ascii="Arial" w:cs="Arial" w:eastAsia="Arial" w:hAnsi="Arial"/>
          <w:b w:val="false"/>
          <w:bCs w:val="false"/>
          <w:sz w:val="21"/>
          <w:szCs w:val="21"/>
        </w:rPr>
        <w:t xml:space="preserve">5.2. </w:t>
      </w:r>
      <w:r>
        <w:rPr>
          <w:rFonts w:ascii="Arial" w:cs="Arial" w:eastAsia="Arial" w:hAnsi="Arial"/>
          <w:sz w:val="21"/>
          <w:szCs w:val="21"/>
        </w:rPr>
        <w:t xml:space="preserve">A execução em estabelecimento diverso do CNES 2793636 depende de prévia regularização perante a SES/MT, o CNES e os sistemas oficiais.</w:t>
      </w:r>
    </w:p>
    <w:p>
      <w:pPr>
        <w:spacing w:after="90" w:line="276"/>
        <w:ind w:left="0"/>
        <w:jc w:val="both"/>
      </w:pPr>
      <w:r>
        <w:rPr>
          <w:rFonts w:ascii="Arial" w:cs="Arial" w:eastAsia="Arial" w:hAnsi="Arial"/>
          <w:b w:val="false"/>
          <w:bCs w:val="false"/>
          <w:sz w:val="21"/>
          <w:szCs w:val="21"/>
        </w:rPr>
        <w:t xml:space="preserve">5.3. </w:t>
      </w:r>
      <w:r>
        <w:rPr>
          <w:rFonts w:ascii="Arial" w:cs="Arial" w:eastAsia="Arial" w:hAnsi="Arial"/>
          <w:sz w:val="21"/>
          <w:szCs w:val="21"/>
        </w:rPr>
        <w:t xml:space="preserve">A CONTRATADA observará as rotinas, os protocolos de segurança do paciente, o controle de infecção e as normas do estabelecimento executor.</w:t>
      </w:r>
    </w:p>
    <w:p>
      <w:pPr>
        <w:keepNext/>
        <w:spacing w:after="100" w:before="200"/>
        <w:jc w:val="left"/>
      </w:pPr>
      <w:r>
        <w:rPr>
          <w:rFonts w:ascii="Arial" w:cs="Arial" w:eastAsia="Arial" w:hAnsi="Arial"/>
          <w:b/>
          <w:bCs/>
          <w:sz w:val="21"/>
          <w:szCs w:val="21"/>
        </w:rPr>
        <w:t xml:space="preserve">CLÁUSULA SEXTA – DAS OBRIGAÇÕES DA CONTRATADA</w:t>
      </w:r>
    </w:p>
    <w:p>
      <w:pPr>
        <w:spacing w:after="90" w:line="276"/>
        <w:ind w:left="0"/>
        <w:jc w:val="both"/>
      </w:pPr>
      <w:r>
        <w:rPr>
          <w:rFonts w:ascii="Arial" w:cs="Arial" w:eastAsia="Arial" w:hAnsi="Arial"/>
          <w:b w:val="false"/>
          <w:bCs w:val="false"/>
          <w:sz w:val="21"/>
          <w:szCs w:val="21"/>
        </w:rPr>
        <w:t xml:space="preserve">6.1. </w:t>
      </w:r>
      <w:r>
        <w:rPr>
          <w:rFonts w:ascii="Arial" w:cs="Arial" w:eastAsia="Arial" w:hAnsi="Arial"/>
          <w:sz w:val="21"/>
          <w:szCs w:val="21"/>
        </w:rPr>
        <w:t xml:space="preserve">Além das obrigações do item 11 do Termo de Referência, a CONTRATADA deverá:</w:t>
      </w:r>
    </w:p>
    <w:p>
      <w:pPr>
        <w:spacing w:after="60" w:line="264"/>
        <w:ind w:left="720" w:hanging="360"/>
        <w:jc w:val="both"/>
      </w:pPr>
      <w:r>
        <w:rPr>
          <w:rFonts w:ascii="Arial" w:cs="Arial" w:eastAsia="Arial" w:hAnsi="Arial"/>
          <w:sz w:val="21"/>
          <w:szCs w:val="21"/>
        </w:rPr>
        <w:t xml:space="preserve">a) </w:t>
      </w:r>
      <w:r>
        <w:rPr>
          <w:rFonts w:ascii="Arial" w:cs="Arial" w:eastAsia="Arial" w:hAnsi="Arial"/>
          <w:sz w:val="21"/>
          <w:szCs w:val="21"/>
        </w:rPr>
        <w:t xml:space="preserve">executar somente procedimentos para os quais esteja credenciada, contratada e formalmente autorizada;</w:t>
      </w:r>
    </w:p>
    <w:p>
      <w:pPr>
        <w:spacing w:after="60" w:line="264"/>
        <w:ind w:left="720" w:hanging="360"/>
        <w:jc w:val="both"/>
      </w:pPr>
      <w:r>
        <w:rPr>
          <w:rFonts w:ascii="Arial" w:cs="Arial" w:eastAsia="Arial" w:hAnsi="Arial"/>
          <w:sz w:val="21"/>
          <w:szCs w:val="21"/>
        </w:rPr>
        <w:t xml:space="preserve">b) </w:t>
      </w:r>
      <w:r>
        <w:rPr>
          <w:rFonts w:ascii="Arial" w:cs="Arial" w:eastAsia="Arial" w:hAnsi="Arial"/>
          <w:sz w:val="21"/>
          <w:szCs w:val="21"/>
        </w:rPr>
        <w:t xml:space="preserve">disponibilizar os profissionais indicados no requerimento, ou substitutos com qualificação equivalente previamente aceitos, com registro no conselho e RQE quando exigível;</w:t>
      </w:r>
    </w:p>
    <w:p>
      <w:pPr>
        <w:spacing w:after="60" w:line="264"/>
        <w:ind w:left="720" w:hanging="360"/>
        <w:jc w:val="both"/>
      </w:pPr>
      <w:r>
        <w:rPr>
          <w:rFonts w:ascii="Arial" w:cs="Arial" w:eastAsia="Arial" w:hAnsi="Arial"/>
          <w:sz w:val="21"/>
          <w:szCs w:val="21"/>
        </w:rPr>
        <w:t xml:space="preserve">c) </w:t>
      </w:r>
      <w:r>
        <w:rPr>
          <w:rFonts w:ascii="Arial" w:cs="Arial" w:eastAsia="Arial" w:hAnsi="Arial"/>
          <w:sz w:val="21"/>
          <w:szCs w:val="21"/>
        </w:rPr>
        <w:t xml:space="preserve">fornecer os componentes que lhe forem atribuídos no Anexo III, inclusive OPME, com rastreabilidade (etiqueta, lote/série e registro sanitário);</w:t>
      </w:r>
    </w:p>
    <w:p>
      <w:pPr>
        <w:spacing w:after="60" w:line="264"/>
        <w:ind w:left="720" w:hanging="360"/>
        <w:jc w:val="both"/>
      </w:pPr>
      <w:r>
        <w:rPr>
          <w:rFonts w:ascii="Arial" w:cs="Arial" w:eastAsia="Arial" w:hAnsi="Arial"/>
          <w:sz w:val="21"/>
          <w:szCs w:val="21"/>
        </w:rPr>
        <w:t xml:space="preserve">d) </w:t>
      </w:r>
      <w:r>
        <w:rPr>
          <w:rFonts w:ascii="Arial" w:cs="Arial" w:eastAsia="Arial" w:hAnsi="Arial"/>
          <w:sz w:val="21"/>
          <w:szCs w:val="21"/>
        </w:rPr>
        <w:t xml:space="preserve">registrar integralmente a assistência em prontuário e fornecer os dados necessários a AIH, APAC e BPA, ao faturamento, à auditoria e à prestação de contas;</w:t>
      </w:r>
    </w:p>
    <w:p>
      <w:pPr>
        <w:spacing w:after="60" w:line="264"/>
        <w:ind w:left="720" w:hanging="360"/>
        <w:jc w:val="both"/>
      </w:pPr>
      <w:r>
        <w:rPr>
          <w:rFonts w:ascii="Arial" w:cs="Arial" w:eastAsia="Arial" w:hAnsi="Arial"/>
          <w:sz w:val="21"/>
          <w:szCs w:val="21"/>
        </w:rPr>
        <w:t xml:space="preserve">e) </w:t>
      </w:r>
      <w:r>
        <w:rPr>
          <w:rFonts w:ascii="Arial" w:cs="Arial" w:eastAsia="Arial" w:hAnsi="Arial"/>
          <w:sz w:val="21"/>
          <w:szCs w:val="21"/>
        </w:rPr>
        <w:t xml:space="preserve">comunicar imediatamente intercorrências, eventos adversos, necessidade de retaguarda ou transferência e impossibilidade superveniente de execução;</w:t>
      </w:r>
    </w:p>
    <w:p>
      <w:pPr>
        <w:spacing w:after="60" w:line="264"/>
        <w:ind w:left="720" w:hanging="360"/>
        <w:jc w:val="both"/>
      </w:pPr>
      <w:r>
        <w:rPr>
          <w:rFonts w:ascii="Arial" w:cs="Arial" w:eastAsia="Arial" w:hAnsi="Arial"/>
          <w:sz w:val="21"/>
          <w:szCs w:val="21"/>
        </w:rPr>
        <w:t xml:space="preserve">f) </w:t>
      </w:r>
      <w:r>
        <w:rPr>
          <w:rFonts w:ascii="Arial" w:cs="Arial" w:eastAsia="Arial" w:hAnsi="Arial"/>
          <w:sz w:val="21"/>
          <w:szCs w:val="21"/>
        </w:rPr>
        <w:t xml:space="preserve">manter, durante toda a vigência, as condições de habilitação e qualificação exigidas no credenciamento;</w:t>
      </w:r>
    </w:p>
    <w:p>
      <w:pPr>
        <w:spacing w:after="60" w:line="264"/>
        <w:ind w:left="720" w:hanging="360"/>
        <w:jc w:val="both"/>
      </w:pPr>
      <w:r>
        <w:rPr>
          <w:rFonts w:ascii="Arial" w:cs="Arial" w:eastAsia="Arial" w:hAnsi="Arial"/>
          <w:sz w:val="21"/>
          <w:szCs w:val="21"/>
        </w:rPr>
        <w:t xml:space="preserve">g) </w:t>
      </w:r>
      <w:r>
        <w:rPr>
          <w:rFonts w:ascii="Arial" w:cs="Arial" w:eastAsia="Arial" w:hAnsi="Arial"/>
          <w:sz w:val="21"/>
          <w:szCs w:val="21"/>
        </w:rPr>
        <w:t xml:space="preserve">permitir fiscalização, auditoria e acesso da SES/MT e dos órgãos de controle aos documentos pertinentes;</w:t>
      </w:r>
    </w:p>
    <w:p>
      <w:pPr>
        <w:spacing w:after="60" w:line="264"/>
        <w:ind w:left="720" w:hanging="360"/>
        <w:jc w:val="both"/>
      </w:pPr>
      <w:r>
        <w:rPr>
          <w:rFonts w:ascii="Arial" w:cs="Arial" w:eastAsia="Arial" w:hAnsi="Arial"/>
          <w:sz w:val="21"/>
          <w:szCs w:val="21"/>
        </w:rPr>
        <w:t xml:space="preserve">h) </w:t>
      </w:r>
      <w:r>
        <w:rPr>
          <w:rFonts w:ascii="Arial" w:cs="Arial" w:eastAsia="Arial" w:hAnsi="Arial"/>
          <w:sz w:val="21"/>
          <w:szCs w:val="21"/>
        </w:rPr>
        <w:t xml:space="preserve">responder pelos danos causados ao usuário, ao Município ou a terceiros por ação ou omissão de seus profissionais;</w:t>
      </w:r>
    </w:p>
    <w:p>
      <w:pPr>
        <w:spacing w:after="60" w:line="264"/>
        <w:ind w:left="720" w:hanging="360"/>
        <w:jc w:val="both"/>
      </w:pPr>
      <w:r>
        <w:rPr>
          <w:rFonts w:ascii="Arial" w:cs="Arial" w:eastAsia="Arial" w:hAnsi="Arial"/>
          <w:sz w:val="21"/>
          <w:szCs w:val="21"/>
        </w:rPr>
        <w:t xml:space="preserve">i) </w:t>
      </w:r>
      <w:r>
        <w:rPr>
          <w:rFonts w:ascii="Arial" w:cs="Arial" w:eastAsia="Arial" w:hAnsi="Arial"/>
          <w:sz w:val="21"/>
          <w:szCs w:val="21"/>
        </w:rPr>
        <w:t xml:space="preserve">responder pelos encargos trabalhistas, previdenciários, fiscais e comerciais da execução, que não se transferem ao Município (art. 121 da Lei nº 14.133/2021).</w:t>
      </w:r>
    </w:p>
    <w:p>
      <w:pPr>
        <w:keepNext/>
        <w:spacing w:after="100" w:before="200"/>
        <w:jc w:val="left"/>
      </w:pPr>
      <w:r>
        <w:rPr>
          <w:rFonts w:ascii="Arial" w:cs="Arial" w:eastAsia="Arial" w:hAnsi="Arial"/>
          <w:b/>
          <w:bCs/>
          <w:sz w:val="21"/>
          <w:szCs w:val="21"/>
        </w:rPr>
        <w:t xml:space="preserve">CLÁUSULA SÉTIMA – DAS OBRIGAÇÕES DO CONTRATANTE</w:t>
      </w:r>
    </w:p>
    <w:p>
      <w:pPr>
        <w:spacing w:after="90" w:line="276"/>
        <w:ind w:left="0"/>
        <w:jc w:val="both"/>
      </w:pPr>
      <w:r>
        <w:rPr>
          <w:rFonts w:ascii="Arial" w:cs="Arial" w:eastAsia="Arial" w:hAnsi="Arial"/>
          <w:b w:val="false"/>
          <w:bCs w:val="false"/>
          <w:sz w:val="21"/>
          <w:szCs w:val="21"/>
        </w:rPr>
        <w:t xml:space="preserve">7.1. </w:t>
      </w:r>
      <w:r>
        <w:rPr>
          <w:rFonts w:ascii="Arial" w:cs="Arial" w:eastAsia="Arial" w:hAnsi="Arial"/>
          <w:sz w:val="21"/>
          <w:szCs w:val="21"/>
        </w:rPr>
        <w:t xml:space="preserve">Além das obrigações do item 12 do Termo de Referência, o CONTRATANTE deverá: regular os usuários; emitir e validar autorizações; operar o rodízio de forma objetiva e auditável; fornecer os componentes que lhe forem atribuídos no Anexo III; processar a produção; comunicar glosas de forma motivada; e efetuar os pagamentos nos prazos contratuais.</w:t>
      </w:r>
    </w:p>
    <w:p>
      <w:pPr>
        <w:keepNext/>
        <w:spacing w:after="100" w:before="200"/>
        <w:jc w:val="left"/>
      </w:pPr>
      <w:r>
        <w:rPr>
          <w:rFonts w:ascii="Arial" w:cs="Arial" w:eastAsia="Arial" w:hAnsi="Arial"/>
          <w:b/>
          <w:bCs/>
          <w:sz w:val="21"/>
          <w:szCs w:val="21"/>
        </w:rPr>
        <w:t xml:space="preserve">CLÁUSULA OITAVA – DA MEDIÇÃO, LIQUIDAÇÃO E PAGAMENTO</w:t>
      </w:r>
    </w:p>
    <w:p>
      <w:pPr>
        <w:spacing w:after="90" w:line="276"/>
        <w:ind w:left="0"/>
        <w:jc w:val="both"/>
      </w:pPr>
      <w:r>
        <w:rPr>
          <w:rFonts w:ascii="Arial" w:cs="Arial" w:eastAsia="Arial" w:hAnsi="Arial"/>
          <w:b w:val="false"/>
          <w:bCs w:val="false"/>
          <w:sz w:val="21"/>
          <w:szCs w:val="21"/>
        </w:rPr>
        <w:t xml:space="preserve">8.1. </w:t>
      </w:r>
      <w:r>
        <w:rPr>
          <w:rFonts w:ascii="Arial" w:cs="Arial" w:eastAsia="Arial" w:hAnsi="Arial"/>
          <w:sz w:val="21"/>
          <w:szCs w:val="21"/>
        </w:rPr>
        <w:t xml:space="preserve">A medição será mensal e incluirá somente produção autorizada, executada, registrada, comprovada e atestada, limitada à autorização, ao saldo do código e ao valor deste contrato.</w:t>
      </w:r>
    </w:p>
    <w:p>
      <w:pPr>
        <w:spacing w:after="90" w:line="276"/>
        <w:ind w:left="0"/>
        <w:jc w:val="both"/>
      </w:pPr>
      <w:r>
        <w:rPr>
          <w:rFonts w:ascii="Arial" w:cs="Arial" w:eastAsia="Arial" w:hAnsi="Arial"/>
          <w:b w:val="false"/>
          <w:bCs w:val="false"/>
          <w:sz w:val="21"/>
          <w:szCs w:val="21"/>
        </w:rPr>
        <w:t xml:space="preserve">8.2. </w:t>
      </w:r>
      <w:r>
        <w:rPr>
          <w:rFonts w:ascii="Arial" w:cs="Arial" w:eastAsia="Arial" w:hAnsi="Arial"/>
          <w:sz w:val="21"/>
          <w:szCs w:val="21"/>
        </w:rPr>
        <w:t xml:space="preserve">A nota fiscal será acompanhada de relatório discriminado por procedimento, com autorização, data de execução, profissional e, quando houver OPME, registros de rastreabilidade.</w:t>
      </w:r>
    </w:p>
    <w:p>
      <w:pPr>
        <w:spacing w:after="90" w:line="276"/>
        <w:ind w:left="0"/>
        <w:jc w:val="both"/>
      </w:pPr>
      <w:r>
        <w:rPr>
          <w:rFonts w:ascii="Arial" w:cs="Arial" w:eastAsia="Arial" w:hAnsi="Arial"/>
          <w:b w:val="false"/>
          <w:bCs w:val="false"/>
          <w:sz w:val="21"/>
          <w:szCs w:val="21"/>
        </w:rPr>
        <w:t xml:space="preserve">8.3. </w:t>
      </w:r>
      <w:r>
        <w:rPr>
          <w:rFonts w:ascii="Arial" w:cs="Arial" w:eastAsia="Arial" w:hAnsi="Arial"/>
          <w:sz w:val="21"/>
          <w:szCs w:val="21"/>
        </w:rPr>
        <w:t xml:space="preserve">A liquidação ocorrerá em até 10 (dez) dias úteis do recebimento da documentação completa e do atesto, e o pagamento em até 10 (dez) dias úteis após a liquidação, por crédito na conta indicada pela CONTRATADA, suspendendo-se os prazos enquanto houver pendência a ela imputável. O pagamento não depende da data do repasse estadual.</w:t>
      </w:r>
    </w:p>
    <w:p>
      <w:pPr>
        <w:spacing w:after="90" w:line="276"/>
        <w:ind w:left="0"/>
        <w:jc w:val="both"/>
      </w:pPr>
      <w:r>
        <w:rPr>
          <w:rFonts w:ascii="Arial" w:cs="Arial" w:eastAsia="Arial" w:hAnsi="Arial"/>
          <w:b w:val="false"/>
          <w:bCs w:val="false"/>
          <w:sz w:val="21"/>
          <w:szCs w:val="21"/>
        </w:rPr>
        <w:t xml:space="preserve">8.4. </w:t>
      </w:r>
      <w:r>
        <w:rPr>
          <w:rFonts w:ascii="Arial" w:cs="Arial" w:eastAsia="Arial" w:hAnsi="Arial"/>
          <w:sz w:val="21"/>
          <w:szCs w:val="21"/>
        </w:rPr>
        <w:t xml:space="preserve">Serviço não executado, não autorizado, não comprovado ou processado em desacordo com o código ou registro aplicável será glosado, assegurado o contraditório.</w:t>
      </w:r>
    </w:p>
    <w:p>
      <w:pPr>
        <w:spacing w:after="90" w:line="276"/>
        <w:ind w:left="0"/>
        <w:jc w:val="both"/>
      </w:pPr>
      <w:r>
        <w:rPr>
          <w:rFonts w:ascii="Arial" w:cs="Arial" w:eastAsia="Arial" w:hAnsi="Arial"/>
          <w:b w:val="false"/>
          <w:bCs w:val="false"/>
          <w:sz w:val="21"/>
          <w:szCs w:val="21"/>
        </w:rPr>
        <w:t xml:space="preserve">8.5. </w:t>
      </w:r>
      <w:r>
        <w:rPr>
          <w:rFonts w:ascii="Arial" w:cs="Arial" w:eastAsia="Arial" w:hAnsi="Arial"/>
          <w:sz w:val="21"/>
          <w:szCs w:val="21"/>
        </w:rPr>
        <w:t xml:space="preserve">Serão efetuadas as retenções tributárias previstas na legislação.</w:t>
      </w:r>
    </w:p>
    <w:p>
      <w:pPr>
        <w:keepNext/>
        <w:spacing w:after="100" w:before="200"/>
        <w:jc w:val="left"/>
      </w:pPr>
      <w:r>
        <w:rPr>
          <w:rFonts w:ascii="Arial" w:cs="Arial" w:eastAsia="Arial" w:hAnsi="Arial"/>
          <w:b/>
          <w:bCs/>
          <w:sz w:val="21"/>
          <w:szCs w:val="21"/>
        </w:rPr>
        <w:t xml:space="preserve">CLÁUSULA NONA – DA DOTAÇÃO ORÇAMENTÁRIA</w:t>
      </w:r>
    </w:p>
    <w:p>
      <w:pPr>
        <w:spacing w:after="90" w:line="276"/>
        <w:ind w:left="0"/>
        <w:jc w:val="both"/>
      </w:pPr>
      <w:r>
        <w:rPr>
          <w:rFonts w:ascii="Arial" w:cs="Arial" w:eastAsia="Arial" w:hAnsi="Arial"/>
          <w:b w:val="false"/>
          <w:bCs w:val="false"/>
          <w:sz w:val="21"/>
          <w:szCs w:val="21"/>
        </w:rPr>
        <w:t xml:space="preserve">9.1. </w:t>
      </w:r>
      <w:r>
        <w:rPr>
          <w:rFonts w:ascii="Arial" w:cs="Arial" w:eastAsia="Arial" w:hAnsi="Arial"/>
          <w:sz w:val="21"/>
          <w:szCs w:val="21"/>
        </w:rPr>
        <w:t xml:space="preserve">As despesas correrão à conta de: Órgão 06 – Secretaria Municipal de Saúde; Unidade 001 – Fundo Municipal de Saúde; Funcional 10.302.0055.20061; Código reduzido 201; Fonte 1.621.0000603; Elemento 3.3.90.39; Nota de Empenho nº </w:t>
      </w:r>
      <w:r>
        <w:rPr>
          <w:rFonts w:ascii="Arial" w:cs="Arial" w:eastAsia="Arial" w:hAnsi="Arial"/>
          <w:sz w:val="21"/>
          <w:szCs w:val="21"/>
          <w:highlight w:val="yellow"/>
        </w:rPr>
        <w:t xml:space="preserve">[●]</w:t>
      </w:r>
      <w:r>
        <w:rPr>
          <w:rFonts w:ascii="Arial" w:cs="Arial" w:eastAsia="Arial" w:hAnsi="Arial"/>
          <w:sz w:val="21"/>
          <w:szCs w:val="21"/>
        </w:rPr>
        <w:t xml:space="preserve">, de </w:t>
      </w:r>
      <w:r>
        <w:rPr>
          <w:rFonts w:ascii="Arial" w:cs="Arial" w:eastAsia="Arial" w:hAnsi="Arial"/>
          <w:sz w:val="21"/>
          <w:szCs w:val="21"/>
          <w:highlight w:val="yellow"/>
        </w:rPr>
        <w:t xml:space="preserve">[●]</w:t>
      </w:r>
      <w:r>
        <w:rPr>
          <w:rFonts w:ascii="Arial" w:cs="Arial" w:eastAsia="Arial" w:hAnsi="Arial"/>
          <w:sz w:val="21"/>
          <w:szCs w:val="21"/>
        </w:rPr>
        <w:t xml:space="preserve">.</w:t>
      </w:r>
    </w:p>
    <w:p>
      <w:pPr>
        <w:keepNext/>
        <w:spacing w:after="100" w:before="200"/>
        <w:jc w:val="left"/>
      </w:pPr>
      <w:r>
        <w:rPr>
          <w:rFonts w:ascii="Arial" w:cs="Arial" w:eastAsia="Arial" w:hAnsi="Arial"/>
          <w:b/>
          <w:bCs/>
          <w:sz w:val="21"/>
          <w:szCs w:val="21"/>
        </w:rPr>
        <w:t xml:space="preserve">CLÁUSULA DÉCIMA – DA VIGÊNCIA</w:t>
      </w:r>
    </w:p>
    <w:p>
      <w:pPr>
        <w:spacing w:after="90" w:line="276"/>
        <w:ind w:left="0"/>
        <w:jc w:val="both"/>
      </w:pPr>
      <w:r>
        <w:rPr>
          <w:rFonts w:ascii="Arial" w:cs="Arial" w:eastAsia="Arial" w:hAnsi="Arial"/>
          <w:b w:val="false"/>
          <w:bCs w:val="false"/>
          <w:sz w:val="21"/>
          <w:szCs w:val="21"/>
        </w:rPr>
        <w:t xml:space="preserve">10.1. </w:t>
      </w:r>
      <w:r>
        <w:rPr>
          <w:rFonts w:ascii="Arial" w:cs="Arial" w:eastAsia="Arial" w:hAnsi="Arial"/>
          <w:sz w:val="21"/>
          <w:szCs w:val="21"/>
        </w:rPr>
        <w:t xml:space="preserve">O contrato vigorará por </w:t>
      </w:r>
      <w:r>
        <w:rPr>
          <w:rFonts w:ascii="Arial" w:cs="Arial" w:eastAsia="Arial" w:hAnsi="Arial"/>
          <w:sz w:val="21"/>
          <w:szCs w:val="21"/>
          <w:highlight w:val="yellow"/>
        </w:rPr>
        <w:t xml:space="preserve">[●]</w:t>
      </w:r>
      <w:r>
        <w:rPr>
          <w:rFonts w:ascii="Arial" w:cs="Arial" w:eastAsia="Arial" w:hAnsi="Arial"/>
          <w:sz w:val="21"/>
          <w:szCs w:val="21"/>
        </w:rPr>
        <w:t xml:space="preserve"> meses, até o máximo de 12 (doze) meses, a partir da assinatura, limitado à execução da programação e ao saldo contratual. A prorrogação dependerá de fundamento legal, manutenção da necessidade e disponibilidade orçamentária, vedada prorrogação automática.</w:t>
      </w:r>
    </w:p>
    <w:p>
      <w:pPr>
        <w:keepNext/>
        <w:spacing w:after="100" w:before="200"/>
        <w:jc w:val="left"/>
      </w:pPr>
      <w:r>
        <w:rPr>
          <w:rFonts w:ascii="Arial" w:cs="Arial" w:eastAsia="Arial" w:hAnsi="Arial"/>
          <w:b/>
          <w:bCs/>
          <w:sz w:val="21"/>
          <w:szCs w:val="21"/>
        </w:rPr>
        <w:t xml:space="preserve">CLÁUSULA DÉCIMA PRIMEIRA – DA ATUALIZAÇÃO DE VALORES E DO REEQUILÍBRIO</w:t>
      </w:r>
    </w:p>
    <w:p>
      <w:pPr>
        <w:spacing w:after="90" w:line="276"/>
        <w:ind w:left="0"/>
        <w:jc w:val="both"/>
      </w:pPr>
      <w:r>
        <w:rPr>
          <w:rFonts w:ascii="Arial" w:cs="Arial" w:eastAsia="Arial" w:hAnsi="Arial"/>
          <w:b w:val="false"/>
          <w:bCs w:val="false"/>
          <w:sz w:val="21"/>
          <w:szCs w:val="21"/>
        </w:rPr>
        <w:t xml:space="preserve">11.1. </w:t>
      </w:r>
      <w:r>
        <w:rPr>
          <w:rFonts w:ascii="Arial" w:cs="Arial" w:eastAsia="Arial" w:hAnsi="Arial"/>
          <w:sz w:val="21"/>
          <w:szCs w:val="21"/>
        </w:rPr>
        <w:t xml:space="preserve">Os valores somente serão alterados por ato oficial que modifique a Tabela SUS Mato Grosso, mediante verificação de disponibilidade orçamentária e termo aditivo ou apostilamento, conforme o caso.</w:t>
      </w:r>
    </w:p>
    <w:p>
      <w:pPr>
        <w:spacing w:after="90" w:line="276"/>
        <w:ind w:left="0"/>
        <w:jc w:val="both"/>
      </w:pPr>
      <w:r>
        <w:rPr>
          <w:rFonts w:ascii="Arial" w:cs="Arial" w:eastAsia="Arial" w:hAnsi="Arial"/>
          <w:b w:val="false"/>
          <w:bCs w:val="false"/>
          <w:sz w:val="21"/>
          <w:szCs w:val="21"/>
        </w:rPr>
        <w:t xml:space="preserve">11.2. </w:t>
      </w:r>
      <w:r>
        <w:rPr>
          <w:rFonts w:ascii="Arial" w:cs="Arial" w:eastAsia="Arial" w:hAnsi="Arial"/>
          <w:sz w:val="21"/>
          <w:szCs w:val="21"/>
        </w:rPr>
        <w:t xml:space="preserve">Fica assegurado o restabelecimento do equilíbrio econômico-financeiro nas hipóteses do art. 124, II, "d", da Lei nº 14.133/2021, mediante requerimento instruído com a demonstração do fato, do nexo e do impacto.</w:t>
      </w:r>
    </w:p>
    <w:p>
      <w:pPr>
        <w:keepNext/>
        <w:spacing w:after="100" w:before="200"/>
        <w:jc w:val="left"/>
      </w:pPr>
      <w:r>
        <w:rPr>
          <w:rFonts w:ascii="Arial" w:cs="Arial" w:eastAsia="Arial" w:hAnsi="Arial"/>
          <w:b/>
          <w:bCs/>
          <w:sz w:val="21"/>
          <w:szCs w:val="21"/>
        </w:rPr>
        <w:t xml:space="preserve">CLÁUSULA DÉCIMA SEGUNDA – DA GESTÃO E DA FISCALIZAÇÃO</w:t>
      </w:r>
    </w:p>
    <w:p>
      <w:pPr>
        <w:spacing w:after="90" w:line="276"/>
        <w:ind w:left="0"/>
        <w:jc w:val="both"/>
      </w:pPr>
      <w:r>
        <w:rPr>
          <w:rFonts w:ascii="Arial" w:cs="Arial" w:eastAsia="Arial" w:hAnsi="Arial"/>
          <w:b w:val="false"/>
          <w:bCs w:val="false"/>
          <w:sz w:val="21"/>
          <w:szCs w:val="21"/>
        </w:rPr>
        <w:t xml:space="preserve">12.1. </w:t>
      </w:r>
      <w:r>
        <w:rPr>
          <w:rFonts w:ascii="Arial" w:cs="Arial" w:eastAsia="Arial" w:hAnsi="Arial"/>
          <w:sz w:val="21"/>
          <w:szCs w:val="21"/>
        </w:rPr>
        <w:t xml:space="preserve">A execução será acompanhada por gestor e fiscais designados por portaria (art. 117 da Lei nº 14.133/2021), com funções de fiscal técnico e fiscal administrativo separadas. A fiscalização não exime a CONTRATADA de sua responsabilidade técnica e assistencial.</w:t>
      </w:r>
    </w:p>
    <w:p>
      <w:pPr>
        <w:keepNext/>
        <w:spacing w:after="100" w:before="200"/>
        <w:jc w:val="left"/>
      </w:pPr>
      <w:r>
        <w:rPr>
          <w:rFonts w:ascii="Arial" w:cs="Arial" w:eastAsia="Arial" w:hAnsi="Arial"/>
          <w:b/>
          <w:bCs/>
          <w:sz w:val="21"/>
          <w:szCs w:val="21"/>
        </w:rPr>
        <w:t xml:space="preserve">CLÁUSULA DÉCIMA TERCEIRA – DAS SANÇÕES</w:t>
      </w:r>
    </w:p>
    <w:p>
      <w:pPr>
        <w:spacing w:after="90" w:line="276"/>
        <w:ind w:left="0"/>
        <w:jc w:val="both"/>
      </w:pPr>
      <w:r>
        <w:rPr>
          <w:rFonts w:ascii="Arial" w:cs="Arial" w:eastAsia="Arial" w:hAnsi="Arial"/>
          <w:b w:val="false"/>
          <w:bCs w:val="false"/>
          <w:sz w:val="21"/>
          <w:szCs w:val="21"/>
        </w:rPr>
        <w:t xml:space="preserve">13.1. </w:t>
      </w:r>
      <w:r>
        <w:rPr>
          <w:rFonts w:ascii="Arial" w:cs="Arial" w:eastAsia="Arial" w:hAnsi="Arial"/>
          <w:sz w:val="21"/>
          <w:szCs w:val="21"/>
        </w:rPr>
        <w:t xml:space="preserve">Pelas infrações previstas no art. 155 da Lei nº 14.133/2021, a CONTRATADA estará sujeita às sanções do art. 156, nos parâmetros do item 17 do Edital, assegurados o contraditório e a ampla defesa. As multas poderão ser descontadas dos pagamentos devidos.</w:t>
      </w:r>
    </w:p>
    <w:p>
      <w:pPr>
        <w:keepNext/>
        <w:spacing w:after="100" w:before="200"/>
        <w:jc w:val="left"/>
      </w:pPr>
      <w:r>
        <w:rPr>
          <w:rFonts w:ascii="Arial" w:cs="Arial" w:eastAsia="Arial" w:hAnsi="Arial"/>
          <w:b/>
          <w:bCs/>
          <w:sz w:val="21"/>
          <w:szCs w:val="21"/>
        </w:rPr>
        <w:t xml:space="preserve">CLÁUSULA DÉCIMA QUARTA – DA EXTINÇÃO E DO DESCREDENCIAMENTO</w:t>
      </w:r>
    </w:p>
    <w:p>
      <w:pPr>
        <w:spacing w:after="90" w:line="276"/>
        <w:ind w:left="0"/>
        <w:jc w:val="both"/>
      </w:pPr>
      <w:r>
        <w:rPr>
          <w:rFonts w:ascii="Arial" w:cs="Arial" w:eastAsia="Arial" w:hAnsi="Arial"/>
          <w:b w:val="false"/>
          <w:bCs w:val="false"/>
          <w:sz w:val="21"/>
          <w:szCs w:val="21"/>
        </w:rPr>
        <w:t xml:space="preserve">14.1. </w:t>
      </w:r>
      <w:r>
        <w:rPr>
          <w:rFonts w:ascii="Arial" w:cs="Arial" w:eastAsia="Arial" w:hAnsi="Arial"/>
          <w:sz w:val="21"/>
          <w:szCs w:val="21"/>
        </w:rPr>
        <w:t xml:space="preserve">O contrato poderá ser extinto nas hipóteses dos arts. 137 a 139 da Lei nº 14.133/2021, assegurado o contraditório.</w:t>
      </w:r>
    </w:p>
    <w:p>
      <w:pPr>
        <w:spacing w:after="90" w:line="276"/>
        <w:ind w:left="0"/>
        <w:jc w:val="both"/>
      </w:pPr>
      <w:r>
        <w:rPr>
          <w:rFonts w:ascii="Arial" w:cs="Arial" w:eastAsia="Arial" w:hAnsi="Arial"/>
          <w:b w:val="false"/>
          <w:bCs w:val="false"/>
          <w:sz w:val="21"/>
          <w:szCs w:val="21"/>
        </w:rPr>
        <w:t xml:space="preserve">14.2. </w:t>
      </w:r>
      <w:r>
        <w:rPr>
          <w:rFonts w:ascii="Arial" w:cs="Arial" w:eastAsia="Arial" w:hAnsi="Arial"/>
          <w:sz w:val="21"/>
          <w:szCs w:val="21"/>
        </w:rPr>
        <w:t xml:space="preserve">O descredenciamento da CONTRATADA, a pedido ou por decisão administrativa, implica a extinção deste contrato quanto aos códigos alcançados, sem prejuízo da conclusão dos atendimentos já agendados, salvo decisão motivada em contrário.</w:t>
      </w:r>
    </w:p>
    <w:p>
      <w:pPr>
        <w:keepNext/>
        <w:spacing w:after="100" w:before="200"/>
        <w:jc w:val="left"/>
      </w:pPr>
      <w:r>
        <w:rPr>
          <w:rFonts w:ascii="Arial" w:cs="Arial" w:eastAsia="Arial" w:hAnsi="Arial"/>
          <w:b/>
          <w:bCs/>
          <w:sz w:val="21"/>
          <w:szCs w:val="21"/>
        </w:rPr>
        <w:t xml:space="preserve">CLÁUSULA DÉCIMA QUINTA – DA SUBCONTRATAÇÃO</w:t>
      </w:r>
    </w:p>
    <w:p>
      <w:pPr>
        <w:spacing w:after="90" w:line="276"/>
        <w:ind w:left="0"/>
        <w:jc w:val="both"/>
      </w:pPr>
      <w:r>
        <w:rPr>
          <w:rFonts w:ascii="Arial" w:cs="Arial" w:eastAsia="Arial" w:hAnsi="Arial"/>
          <w:b w:val="false"/>
          <w:bCs w:val="false"/>
          <w:sz w:val="21"/>
          <w:szCs w:val="21"/>
        </w:rPr>
        <w:t xml:space="preserve">15.1. </w:t>
      </w:r>
      <w:r>
        <w:rPr>
          <w:rFonts w:ascii="Arial" w:cs="Arial" w:eastAsia="Arial" w:hAnsi="Arial"/>
          <w:sz w:val="21"/>
          <w:szCs w:val="21"/>
        </w:rPr>
        <w:t xml:space="preserve">É vedada a subcontratação, cessão ou transferência do núcleo assistencial contratado. A atuação de profissionais próprios ou licitamente vinculados à CONTRATADA, sob sua responsabilidade, não caracteriza subcontratação.</w:t>
      </w:r>
    </w:p>
    <w:p>
      <w:pPr>
        <w:keepNext/>
        <w:spacing w:after="100" w:before="200"/>
        <w:jc w:val="left"/>
      </w:pPr>
      <w:r>
        <w:rPr>
          <w:rFonts w:ascii="Arial" w:cs="Arial" w:eastAsia="Arial" w:hAnsi="Arial"/>
          <w:b/>
          <w:bCs/>
          <w:sz w:val="21"/>
          <w:szCs w:val="21"/>
        </w:rPr>
        <w:t xml:space="preserve">CLÁUSULA DÉCIMA SEXTA – DA PROTEÇÃO DE DADOS E DA INTEGRIDADE</w:t>
      </w:r>
    </w:p>
    <w:p>
      <w:pPr>
        <w:spacing w:after="90" w:line="276"/>
        <w:ind w:left="0"/>
        <w:jc w:val="both"/>
      </w:pPr>
      <w:r>
        <w:rPr>
          <w:rFonts w:ascii="Arial" w:cs="Arial" w:eastAsia="Arial" w:hAnsi="Arial"/>
          <w:b w:val="false"/>
          <w:bCs w:val="false"/>
          <w:sz w:val="21"/>
          <w:szCs w:val="21"/>
        </w:rPr>
        <w:t xml:space="preserve">16.1. </w:t>
      </w:r>
      <w:r>
        <w:rPr>
          <w:rFonts w:ascii="Arial" w:cs="Arial" w:eastAsia="Arial" w:hAnsi="Arial"/>
          <w:sz w:val="21"/>
          <w:szCs w:val="21"/>
        </w:rPr>
        <w:t xml:space="preserve">A CONTRATADA tratará dados pessoais e de saúde exclusivamente para as finalidades deste contrato, nos termos da Lei nº 13.709/2018, comunicando ao CONTRATANTE qualquer incidente de segurança em até 2 (dois) dias úteis.</w:t>
      </w:r>
    </w:p>
    <w:p>
      <w:pPr>
        <w:spacing w:after="90" w:line="276"/>
        <w:ind w:left="0"/>
        <w:jc w:val="both"/>
      </w:pPr>
      <w:r>
        <w:rPr>
          <w:rFonts w:ascii="Arial" w:cs="Arial" w:eastAsia="Arial" w:hAnsi="Arial"/>
          <w:b w:val="false"/>
          <w:bCs w:val="false"/>
          <w:sz w:val="21"/>
          <w:szCs w:val="21"/>
        </w:rPr>
        <w:t xml:space="preserve">16.2. </w:t>
      </w:r>
      <w:r>
        <w:rPr>
          <w:rFonts w:ascii="Arial" w:cs="Arial" w:eastAsia="Arial" w:hAnsi="Arial"/>
          <w:sz w:val="21"/>
          <w:szCs w:val="21"/>
        </w:rPr>
        <w:t xml:space="preserve">A CONTRATADA observará a Lei nº 12.846/2013 e declara não ter sócio, administrador ou dirigente em cargo de chefia ou função de confiança no SUS (art. 26, § 4º, da Lei nº 8.080/1990).</w:t>
      </w:r>
    </w:p>
    <w:p>
      <w:pPr>
        <w:keepNext/>
        <w:spacing w:after="100" w:before="200"/>
        <w:jc w:val="left"/>
      </w:pPr>
      <w:r>
        <w:rPr>
          <w:rFonts w:ascii="Arial" w:cs="Arial" w:eastAsia="Arial" w:hAnsi="Arial"/>
          <w:b/>
          <w:bCs/>
          <w:sz w:val="21"/>
          <w:szCs w:val="21"/>
        </w:rPr>
        <w:t xml:space="preserve">CLÁUSULA DÉCIMA SÉTIMA – DA GARANTIA</w:t>
      </w:r>
    </w:p>
    <w:p>
      <w:pPr>
        <w:spacing w:after="90" w:line="276"/>
        <w:ind w:left="0"/>
        <w:jc w:val="both"/>
      </w:pPr>
      <w:r>
        <w:rPr>
          <w:rFonts w:ascii="Arial" w:cs="Arial" w:eastAsia="Arial" w:hAnsi="Arial"/>
          <w:b w:val="false"/>
          <w:bCs w:val="false"/>
          <w:sz w:val="21"/>
          <w:szCs w:val="21"/>
        </w:rPr>
        <w:t xml:space="preserve">17.1. </w:t>
      </w:r>
      <w:r>
        <w:rPr>
          <w:rFonts w:ascii="Arial" w:cs="Arial" w:eastAsia="Arial" w:hAnsi="Arial"/>
          <w:sz w:val="21"/>
          <w:szCs w:val="21"/>
        </w:rPr>
        <w:t xml:space="preserve">Não será exigida garantia contratual, por não haver pagamento antecipado (item 21 do Termo de Referência).</w:t>
      </w:r>
    </w:p>
    <w:p>
      <w:pPr>
        <w:keepNext/>
        <w:spacing w:after="100" w:before="200"/>
        <w:jc w:val="left"/>
      </w:pPr>
      <w:r>
        <w:rPr>
          <w:rFonts w:ascii="Arial" w:cs="Arial" w:eastAsia="Arial" w:hAnsi="Arial"/>
          <w:b/>
          <w:bCs/>
          <w:sz w:val="21"/>
          <w:szCs w:val="21"/>
        </w:rPr>
        <w:t xml:space="preserve">CLÁUSULA DÉCIMA OITAVA – DA PUBLICAÇÃO</w:t>
      </w:r>
    </w:p>
    <w:p>
      <w:pPr>
        <w:spacing w:after="90" w:line="276"/>
        <w:ind w:left="0"/>
        <w:jc w:val="both"/>
      </w:pPr>
      <w:r>
        <w:rPr>
          <w:rFonts w:ascii="Arial" w:cs="Arial" w:eastAsia="Arial" w:hAnsi="Arial"/>
          <w:b w:val="false"/>
          <w:bCs w:val="false"/>
          <w:sz w:val="21"/>
          <w:szCs w:val="21"/>
        </w:rPr>
        <w:t xml:space="preserve">18.1. </w:t>
      </w:r>
      <w:r>
        <w:rPr>
          <w:rFonts w:ascii="Arial" w:cs="Arial" w:eastAsia="Arial" w:hAnsi="Arial"/>
          <w:sz w:val="21"/>
          <w:szCs w:val="21"/>
        </w:rPr>
        <w:t xml:space="preserve">O CONTRATANTE divulgará este contrato no Portal Nacional de Contratações Públicas no prazo do art. 94 da Lei nº 14.133/2021, e no sítio oficial do Município.</w:t>
      </w:r>
    </w:p>
    <w:p>
      <w:pPr>
        <w:keepNext/>
        <w:spacing w:after="100" w:before="200"/>
        <w:jc w:val="left"/>
      </w:pPr>
      <w:r>
        <w:rPr>
          <w:rFonts w:ascii="Arial" w:cs="Arial" w:eastAsia="Arial" w:hAnsi="Arial"/>
          <w:b/>
          <w:bCs/>
          <w:sz w:val="21"/>
          <w:szCs w:val="21"/>
        </w:rPr>
        <w:t xml:space="preserve">CLÁUSULA DÉCIMA NONA – DOS CASOS OMISSOS E DO FORO</w:t>
      </w:r>
    </w:p>
    <w:p>
      <w:pPr>
        <w:spacing w:after="90" w:line="276"/>
        <w:ind w:left="0"/>
        <w:jc w:val="both"/>
      </w:pPr>
      <w:r>
        <w:rPr>
          <w:rFonts w:ascii="Arial" w:cs="Arial" w:eastAsia="Arial" w:hAnsi="Arial"/>
          <w:b w:val="false"/>
          <w:bCs w:val="false"/>
          <w:sz w:val="21"/>
          <w:szCs w:val="21"/>
        </w:rPr>
        <w:t xml:space="preserve">19.1. </w:t>
      </w:r>
      <w:r>
        <w:rPr>
          <w:rFonts w:ascii="Arial" w:cs="Arial" w:eastAsia="Arial" w:hAnsi="Arial"/>
          <w:sz w:val="21"/>
          <w:szCs w:val="21"/>
        </w:rPr>
        <w:t xml:space="preserve">Os casos omissos serão resolvidos com base na Lei nº 14.133/2021, no Decreto Municipal nº 123/2026, nas normas do SUS e nos princípios de direito público.</w:t>
      </w:r>
    </w:p>
    <w:p>
      <w:pPr>
        <w:spacing w:after="90" w:line="276"/>
        <w:ind w:left="0"/>
        <w:jc w:val="both"/>
      </w:pPr>
      <w:r>
        <w:rPr>
          <w:rFonts w:ascii="Arial" w:cs="Arial" w:eastAsia="Arial" w:hAnsi="Arial"/>
          <w:b w:val="false"/>
          <w:bCs w:val="false"/>
          <w:sz w:val="21"/>
          <w:szCs w:val="21"/>
        </w:rPr>
        <w:t xml:space="preserve">19.2. </w:t>
      </w:r>
      <w:r>
        <w:rPr>
          <w:rFonts w:ascii="Arial" w:cs="Arial" w:eastAsia="Arial" w:hAnsi="Arial"/>
          <w:sz w:val="21"/>
          <w:szCs w:val="21"/>
        </w:rPr>
        <w:t xml:space="preserve">Fica eleito o foro da comarca a que pertence o Município de Confresa – MT.</w:t>
      </w:r>
    </w:p>
    <w:p>
      <w:pPr>
        <w:spacing w:after="100" w:before="160" w:line="276"/>
        <w:jc w:val="both"/>
      </w:pPr>
      <w:r>
        <w:rPr>
          <w:rFonts w:ascii="Arial" w:cs="Arial" w:eastAsia="Arial" w:hAnsi="Arial"/>
          <w:sz w:val="21"/>
          <w:szCs w:val="21"/>
        </w:rPr>
        <w:t xml:space="preserve">E, por estarem de acordo, as partes assinam este instrumento.</w:t>
      </w:r>
    </w:p>
    <w:p>
      <w:pPr>
        <w:spacing w:after="100" w:before="120" w:line="276"/>
        <w:jc w:val="right"/>
      </w:pPr>
      <w:r>
        <w:rPr>
          <w:rFonts w:ascii="Arial" w:cs="Arial" w:eastAsia="Arial" w:hAnsi="Arial"/>
          <w:sz w:val="21"/>
          <w:szCs w:val="21"/>
        </w:rPr>
        <w:t xml:space="preserve">Confresa – MT, </w:t>
      </w:r>
      <w:r>
        <w:rPr>
          <w:rFonts w:ascii="Arial" w:cs="Arial" w:eastAsia="Arial" w:hAnsi="Arial"/>
          <w:sz w:val="21"/>
          <w:szCs w:val="21"/>
          <w:highlight w:val="yellow"/>
        </w:rPr>
        <w:t xml:space="preserve">[●]</w:t>
      </w:r>
      <w:r>
        <w:rPr>
          <w:rFonts w:ascii="Arial" w:cs="Arial" w:eastAsia="Arial" w:hAnsi="Arial"/>
          <w:sz w:val="21"/>
          <w:szCs w:val="21"/>
        </w:rPr>
        <w:t xml:space="preserve"> de </w:t>
      </w:r>
      <w:r>
        <w:rPr>
          <w:rFonts w:ascii="Arial" w:cs="Arial" w:eastAsia="Arial" w:hAnsi="Arial"/>
          <w:sz w:val="21"/>
          <w:szCs w:val="21"/>
          <w:highlight w:val="yellow"/>
        </w:rPr>
        <w:t xml:space="preserve">[●]</w:t>
      </w:r>
      <w:r>
        <w:rPr>
          <w:rFonts w:ascii="Arial" w:cs="Arial" w:eastAsia="Arial" w:hAnsi="Arial"/>
          <w:sz w:val="21"/>
          <w:szCs w:val="21"/>
        </w:rPr>
        <w:t xml:space="preserve"> de </w:t>
      </w:r>
      <w:r>
        <w:rPr>
          <w:rFonts w:ascii="Arial" w:cs="Arial" w:eastAsia="Arial" w:hAnsi="Arial"/>
          <w:sz w:val="21"/>
          <w:szCs w:val="21"/>
          <w:highlight w:val="yellow"/>
        </w:rPr>
        <w:t xml:space="preserve">[●]</w:t>
      </w:r>
      <w:r>
        <w:rPr>
          <w:rFonts w:ascii="Arial" w:cs="Arial" w:eastAsia="Arial" w:hAnsi="Arial"/>
          <w:sz w:val="21"/>
          <w:szCs w:val="21"/>
        </w:rPr>
        <w:t xml:space="preserve">.</w:t>
      </w:r>
    </w:p>
    <w:p>
      <w:pPr>
        <w:spacing w:after="0" w:before="500"/>
        <w:jc w:val="center"/>
      </w:pPr>
      <w:r>
        <w:rPr>
          <w:rFonts w:ascii="Arial" w:cs="Arial" w:eastAsia="Arial" w:hAnsi="Arial"/>
          <w:sz w:val="21"/>
          <w:szCs w:val="21"/>
        </w:rPr>
        <w:t xml:space="preserve">_____________________________________________</w:t>
      </w:r>
    </w:p>
    <w:p>
      <w:pPr>
        <w:spacing w:after="0" w:before="0" w:line="276"/>
        <w:jc w:val="center"/>
      </w:pPr>
      <w:r>
        <w:rPr>
          <w:rFonts w:ascii="Arial" w:cs="Arial" w:eastAsia="Arial" w:hAnsi="Arial"/>
          <w:b/>
          <w:bCs/>
          <w:sz w:val="21"/>
          <w:szCs w:val="21"/>
        </w:rPr>
        <w:t xml:space="preserve">VITOR DUARTE QUEIROZ CAMPOS</w:t>
      </w:r>
    </w:p>
    <w:p>
      <w:pPr>
        <w:spacing w:after="0" w:before="0" w:line="276"/>
        <w:jc w:val="center"/>
      </w:pPr>
      <w:r>
        <w:rPr>
          <w:rFonts w:ascii="Arial" w:cs="Arial" w:eastAsia="Arial" w:hAnsi="Arial"/>
          <w:sz w:val="21"/>
          <w:szCs w:val="21"/>
        </w:rPr>
        <w:t xml:space="preserve">Secretário Municipal de Saúde – CONTRATANTE</w:t>
      </w:r>
    </w:p>
    <w:p>
      <w:pPr>
        <w:spacing w:after="0" w:before="500"/>
        <w:jc w:val="center"/>
      </w:pPr>
      <w:r>
        <w:rPr>
          <w:rFonts w:ascii="Arial" w:cs="Arial" w:eastAsia="Arial" w:hAnsi="Arial"/>
          <w:sz w:val="21"/>
          <w:szCs w:val="21"/>
        </w:rPr>
        <w:t xml:space="preserve">_____________________________________________</w:t>
      </w:r>
    </w:p>
    <w:p>
      <w:pPr>
        <w:spacing w:after="0" w:before="0" w:line="276"/>
        <w:jc w:val="center"/>
      </w:pPr>
      <w:r>
        <w:rPr>
          <w:rFonts w:ascii="Arial" w:cs="Arial" w:eastAsia="Arial" w:hAnsi="Arial"/>
          <w:b/>
          <w:bCs/>
          <w:sz w:val="21"/>
          <w:szCs w:val="21"/>
        </w:rPr>
        <w:t xml:space="preserve">[Representante legal]</w:t>
      </w:r>
    </w:p>
    <w:p>
      <w:pPr>
        <w:spacing w:after="0" w:before="0" w:line="276"/>
        <w:jc w:val="center"/>
      </w:pPr>
      <w:r>
        <w:rPr>
          <w:rFonts w:ascii="Arial" w:cs="Arial" w:eastAsia="Arial" w:hAnsi="Arial"/>
          <w:sz w:val="21"/>
          <w:szCs w:val="21"/>
        </w:rPr>
        <w:t xml:space="preserve">[Razão social] – CONTRATADA</w:t>
      </w:r>
    </w:p>
    <w:p>
      <w:pPr>
        <w:spacing w:after="100" w:before="300" w:line="276"/>
        <w:jc w:val="both"/>
      </w:pPr>
      <w:r>
        <w:rPr>
          <w:rFonts w:ascii="Arial" w:cs="Arial" w:eastAsia="Arial" w:hAnsi="Arial"/>
          <w:sz w:val="21"/>
          <w:szCs w:val="21"/>
        </w:rPr>
        <w:t xml:space="preserve">Testemunhas:</w:t>
      </w:r>
    </w:p>
    <w:p>
      <w:pPr>
        <w:spacing w:after="100" w:before="0" w:line="276"/>
        <w:jc w:val="both"/>
      </w:pPr>
      <w:r>
        <w:rPr>
          <w:rFonts w:ascii="Arial" w:cs="Arial" w:eastAsia="Arial" w:hAnsi="Arial"/>
          <w:sz w:val="21"/>
          <w:szCs w:val="21"/>
        </w:rPr>
        <w:t xml:space="preserve">1. _______________________________ CPF: ______________        2. _______________________________ CPF: ______________</w:t>
      </w:r>
    </w:p>
    <w:p>
      <w:pPr>
        <w:sectPr>
          <w:headerReference w:type="default" r:id="rId14"/>
          <w:footerReference w:type="default" r:id="rId15"/>
          <w:pgSz w:w="11906" w:h="16838" w:orient="portrait"/>
          <w:pgMar w:top="1900" w:right="1134" w:bottom="2050" w:left="1418" w:header="1480" w:footer="1620" w:gutter="0"/>
          <w:pgNumType/>
          <w:docGrid w:linePitch="360"/>
        </w:sectPr>
      </w:pPr>
    </w:p>
    <w:p>
      <w:pPr>
        <w:spacing w:after="80"/>
        <w:jc w:val="center"/>
      </w:pPr>
      <w:r>
        <w:rPr>
          <w:rFonts w:ascii="Arial" w:cs="Arial" w:eastAsia="Arial" w:hAnsi="Arial"/>
          <w:b/>
          <w:bCs/>
          <w:sz w:val="22"/>
          <w:szCs w:val="22"/>
        </w:rPr>
        <w:t xml:space="preserve">ANEXO VII – MINUTA DE TERMO DE CREDENCIAMENTO</w:t>
      </w:r>
    </w:p>
    <w:p>
      <w:pPr>
        <w:spacing w:after="160" w:before="120" w:line="276"/>
        <w:jc w:val="center"/>
      </w:pPr>
      <w:r>
        <w:rPr>
          <w:rFonts w:ascii="Arial" w:cs="Arial" w:eastAsia="Arial" w:hAnsi="Arial"/>
          <w:sz w:val="21"/>
          <w:szCs w:val="21"/>
        </w:rPr>
        <w:t xml:space="preserve">TERMO DE CREDENCIAMENTO Nº </w:t>
      </w:r>
      <w:r>
        <w:rPr>
          <w:rFonts w:ascii="Arial" w:cs="Arial" w:eastAsia="Arial" w:hAnsi="Arial"/>
          <w:sz w:val="21"/>
          <w:szCs w:val="21"/>
          <w:highlight w:val="yellow"/>
        </w:rPr>
        <w:t xml:space="preserve">[●]</w:t>
      </w:r>
      <w:r>
        <w:rPr>
          <w:rFonts w:ascii="Arial" w:cs="Arial" w:eastAsia="Arial" w:hAnsi="Arial"/>
          <w:sz w:val="21"/>
          <w:szCs w:val="21"/>
        </w:rPr>
        <w:t xml:space="preserve">/</w:t>
      </w:r>
      <w:r>
        <w:rPr>
          <w:rFonts w:ascii="Arial" w:cs="Arial" w:eastAsia="Arial" w:hAnsi="Arial"/>
          <w:sz w:val="21"/>
          <w:szCs w:val="21"/>
          <w:highlight w:val="yellow"/>
        </w:rPr>
        <w:t xml:space="preserve">[●]</w:t>
      </w:r>
    </w:p>
    <w:p>
      <w:pPr>
        <w:spacing w:after="100" w:before="0" w:line="276"/>
        <w:jc w:val="both"/>
      </w:pPr>
      <w:r>
        <w:rPr>
          <w:rFonts w:ascii="Arial" w:cs="Arial" w:eastAsia="Arial" w:hAnsi="Arial"/>
          <w:sz w:val="21"/>
          <w:szCs w:val="21"/>
        </w:rPr>
        <w:t xml:space="preserve">O </w:t>
      </w:r>
      <w:r>
        <w:rPr>
          <w:rFonts w:ascii="Arial" w:cs="Arial" w:eastAsia="Arial" w:hAnsi="Arial"/>
          <w:b/>
          <w:bCs/>
          <w:sz w:val="21"/>
          <w:szCs w:val="21"/>
        </w:rPr>
        <w:t xml:space="preserve">MUNICÍPIO DE CONFRESA – MT</w:t>
      </w:r>
      <w:r>
        <w:rPr>
          <w:rFonts w:ascii="Arial" w:cs="Arial" w:eastAsia="Arial" w:hAnsi="Arial"/>
          <w:sz w:val="21"/>
          <w:szCs w:val="21"/>
        </w:rPr>
        <w:t xml:space="preserve">, por intermédio do Fundo Municipal de Saúde / Secretaria Municipal de Saúde, em razão do deferimento do requerimento protocolado em </w:t>
      </w:r>
      <w:r>
        <w:rPr>
          <w:rFonts w:ascii="Arial" w:cs="Arial" w:eastAsia="Arial" w:hAnsi="Arial"/>
          <w:sz w:val="21"/>
          <w:szCs w:val="21"/>
          <w:highlight w:val="yellow"/>
        </w:rPr>
        <w:t xml:space="preserve">[●]</w:t>
      </w:r>
      <w:r>
        <w:rPr>
          <w:rFonts w:ascii="Arial" w:cs="Arial" w:eastAsia="Arial" w:hAnsi="Arial"/>
          <w:sz w:val="21"/>
          <w:szCs w:val="21"/>
        </w:rPr>
        <w:t xml:space="preserve">/</w:t>
      </w:r>
      <w:r>
        <w:rPr>
          <w:rFonts w:ascii="Arial" w:cs="Arial" w:eastAsia="Arial" w:hAnsi="Arial"/>
          <w:sz w:val="21"/>
          <w:szCs w:val="21"/>
          <w:highlight w:val="yellow"/>
        </w:rPr>
        <w:t xml:space="preserve">[●]</w:t>
      </w:r>
      <w:r>
        <w:rPr>
          <w:rFonts w:ascii="Arial" w:cs="Arial" w:eastAsia="Arial" w:hAnsi="Arial"/>
          <w:sz w:val="21"/>
          <w:szCs w:val="21"/>
        </w:rPr>
        <w:t xml:space="preserve">/</w:t>
      </w:r>
      <w:r>
        <w:rPr>
          <w:rFonts w:ascii="Arial" w:cs="Arial" w:eastAsia="Arial" w:hAnsi="Arial"/>
          <w:sz w:val="21"/>
          <w:szCs w:val="21"/>
          <w:highlight w:val="yellow"/>
        </w:rPr>
        <w:t xml:space="preserve">[●]</w:t>
      </w:r>
      <w:r>
        <w:rPr>
          <w:rFonts w:ascii="Arial" w:cs="Arial" w:eastAsia="Arial" w:hAnsi="Arial"/>
          <w:sz w:val="21"/>
          <w:szCs w:val="21"/>
        </w:rPr>
        <w:t xml:space="preserve">, no âmbito do Chamamento Público – Credenciamento nº 013/2026 (Processo Administrativo nº 145/2026), </w:t>
      </w:r>
      <w:r>
        <w:rPr>
          <w:rFonts w:ascii="Arial" w:cs="Arial" w:eastAsia="Arial" w:hAnsi="Arial"/>
          <w:b/>
          <w:bCs/>
          <w:sz w:val="21"/>
          <w:szCs w:val="21"/>
        </w:rPr>
        <w:t xml:space="preserve">CREDENCIA</w:t>
      </w:r>
      <w:r>
        <w:rPr>
          <w:rFonts w:ascii="Arial" w:cs="Arial" w:eastAsia="Arial" w:hAnsi="Arial"/>
          <w:sz w:val="21"/>
          <w:szCs w:val="21"/>
        </w:rPr>
        <w:t xml:space="preserve"> a pessoa jurídica abaixo para os procedimentos indicados:</w:t>
      </w: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3600"/>
        <w:gridCol w:w="5754"/>
      </w:tblGrid>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Razão social</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CNPJ</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Natureza (com/sem fins lucrativos – item 9.4)</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Representante legal</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36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r>
              <w:rPr>
                <w:rFonts w:ascii="Arial" w:cs="Arial" w:eastAsia="Arial" w:hAnsi="Arial"/>
                <w:sz w:val="18"/>
                <w:szCs w:val="18"/>
              </w:rPr>
              <w:t xml:space="preserve">E-mail para convocações</w:t>
            </w:r>
          </w:p>
        </w:tc>
        <w:tc>
          <w:tcPr>
            <w:tcW w:type="dxa" w:w="5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bl>
    <w:p>
      <w:pPr>
        <w:spacing w:after="60" w:before="0" w:line="276"/>
        <w:jc w:val="both"/>
      </w:pPr>
    </w:p>
    <w:tbl>
      <w:tblPr>
        <w:tblW w:type="dxa" w:w="9354"/>
        <w:tblBorders>
          <w:top w:val="single" w:color="auto" w:sz="4"/>
          <w:left w:val="single" w:color="auto" w:sz="4"/>
          <w:bottom w:val="single" w:color="auto" w:sz="4"/>
          <w:right w:val="single" w:color="auto" w:sz="4"/>
          <w:insideH w:val="single" w:color="auto" w:sz="4"/>
          <w:insideV w:val="single" w:color="auto" w:sz="4"/>
        </w:tblBorders>
      </w:tblPr>
      <w:tblGrid>
        <w:gridCol w:w="900"/>
        <w:gridCol w:w="1300"/>
        <w:gridCol w:w="3700"/>
        <w:gridCol w:w="1700"/>
        <w:gridCol w:w="1754"/>
      </w:tblGrid>
      <w:tr>
        <w:trPr>
          <w:cantSplit/>
          <w:tblHeader/>
        </w:trPr>
        <w:tc>
          <w:tcPr>
            <w:tcW w:type="dxa" w:w="9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Item (Anexo II)</w:t>
            </w:r>
          </w:p>
        </w:tc>
        <w:tc>
          <w:tcPr>
            <w:tcW w:type="dxa" w:w="13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Código SIGTAP</w:t>
            </w:r>
          </w:p>
        </w:tc>
        <w:tc>
          <w:tcPr>
            <w:tcW w:type="dxa" w:w="37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Procedimento</w:t>
            </w:r>
          </w:p>
        </w:tc>
        <w:tc>
          <w:tcPr>
            <w:tcW w:type="dxa" w:w="1700"/>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Valor pago por unidade (R$)</w:t>
            </w:r>
          </w:p>
        </w:tc>
        <w:tc>
          <w:tcPr>
            <w:tcW w:type="dxa" w:w="1754"/>
            <w:tcBorders>
              <w:top w:val="single" w:color="808080" w:sz="4"/>
              <w:left w:val="single" w:color="808080" w:sz="4"/>
              <w:bottom w:val="single" w:color="808080" w:sz="4"/>
              <w:right w:val="single" w:color="808080" w:sz="4"/>
            </w:tcBorders>
            <w:shd w:fill="D9E2F3" w:color="auto" w:val="clear"/>
            <w:tcMar>
              <w:top w:type="dxa" w:w="50"/>
              <w:left w:type="dxa" w:w="80"/>
              <w:bottom w:type="dxa" w:w="50"/>
              <w:right w:type="dxa" w:w="80"/>
            </w:tcMar>
            <w:vAlign w:val="center"/>
          </w:tcPr>
          <w:p>
            <w:pPr>
              <w:spacing w:after="0" w:line="240"/>
              <w:jc w:val="center"/>
            </w:pPr>
            <w:r>
              <w:rPr>
                <w:rFonts w:ascii="Arial" w:cs="Arial" w:eastAsia="Arial" w:hAnsi="Arial"/>
                <w:b/>
                <w:bCs/>
                <w:sz w:val="17"/>
                <w:szCs w:val="17"/>
              </w:rPr>
              <w:t xml:space="preserve">Capacidade mensal aceita</w:t>
            </w:r>
          </w:p>
        </w:tc>
      </w:tr>
      <w:tr>
        <w:trPr>
          <w:cantSplit/>
        </w:trPr>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3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3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3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3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r>
        <w:trPr>
          <w:cantSplit/>
        </w:trPr>
        <w:tc>
          <w:tcPr>
            <w:tcW w:type="dxa" w:w="9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3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3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00"/>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c>
          <w:tcPr>
            <w:tcW w:type="dxa" w:w="1754"/>
            <w:tcBorders>
              <w:top w:val="single" w:color="808080" w:sz="4"/>
              <w:left w:val="single" w:color="808080" w:sz="4"/>
              <w:bottom w:val="single" w:color="808080" w:sz="4"/>
              <w:right w:val="single" w:color="808080" w:sz="4"/>
            </w:tcBorders>
            <w:tcMar>
              <w:top w:type="dxa" w:w="50"/>
              <w:left w:type="dxa" w:w="80"/>
              <w:bottom w:type="dxa" w:w="50"/>
              <w:right w:type="dxa" w:w="80"/>
            </w:tcMar>
            <w:vAlign w:val="center"/>
          </w:tcPr>
          <w:p>
            <w:pPr>
              <w:spacing w:after="0" w:line="240"/>
              <w:jc w:val="left"/>
            </w:pPr>
          </w:p>
        </w:tc>
      </w:tr>
    </w:tbl>
    <w:p>
      <w:pPr>
        <w:spacing w:after="60" w:before="0" w:line="276"/>
        <w:jc w:val="both"/>
      </w:pPr>
    </w:p>
    <w:p>
      <w:pPr>
        <w:spacing w:after="90" w:line="276"/>
        <w:ind w:left="0"/>
        <w:jc w:val="both"/>
      </w:pPr>
      <w:r>
        <w:rPr>
          <w:rFonts w:ascii="Arial" w:cs="Arial" w:eastAsia="Arial" w:hAnsi="Arial"/>
          <w:b w:val="false"/>
          <w:bCs w:val="false"/>
          <w:sz w:val="21"/>
          <w:szCs w:val="21"/>
        </w:rPr>
        <w:t xml:space="preserve">1. </w:t>
      </w:r>
      <w:r>
        <w:rPr>
          <w:rFonts w:ascii="Arial" w:cs="Arial" w:eastAsia="Arial" w:hAnsi="Arial"/>
          <w:sz w:val="21"/>
          <w:szCs w:val="21"/>
        </w:rPr>
        <w:t xml:space="preserve">Este Termo registra apenas a aptidão da credenciada para os códigos acima. Não substitui o contrato, não gera direito a demanda mínima e não autoriza a execução ou o faturamento de procedimentos (itens 7.6 e 8.5 do Edital).</w:t>
      </w:r>
    </w:p>
    <w:p>
      <w:pPr>
        <w:spacing w:after="90" w:line="276"/>
        <w:ind w:left="0"/>
        <w:jc w:val="both"/>
      </w:pPr>
      <w:r>
        <w:rPr>
          <w:rFonts w:ascii="Arial" w:cs="Arial" w:eastAsia="Arial" w:hAnsi="Arial"/>
          <w:b w:val="false"/>
          <w:bCs w:val="false"/>
          <w:sz w:val="21"/>
          <w:szCs w:val="21"/>
        </w:rPr>
        <w:t xml:space="preserve">2. </w:t>
      </w:r>
      <w:r>
        <w:rPr>
          <w:rFonts w:ascii="Arial" w:cs="Arial" w:eastAsia="Arial" w:hAnsi="Arial"/>
          <w:sz w:val="21"/>
          <w:szCs w:val="21"/>
        </w:rPr>
        <w:t xml:space="preserve">A credenciada integrará a lista de cada código após a assinatura do contrato, na posição definida pelo sorteio ou ao final da lista, conforme o item 9 do Edital.</w:t>
      </w:r>
    </w:p>
    <w:p>
      <w:pPr>
        <w:spacing w:after="90" w:line="276"/>
        <w:ind w:left="0"/>
        <w:jc w:val="both"/>
      </w:pPr>
      <w:r>
        <w:rPr>
          <w:rFonts w:ascii="Arial" w:cs="Arial" w:eastAsia="Arial" w:hAnsi="Arial"/>
          <w:b w:val="false"/>
          <w:bCs w:val="false"/>
          <w:sz w:val="21"/>
          <w:szCs w:val="21"/>
        </w:rPr>
        <w:t xml:space="preserve">3. </w:t>
      </w:r>
      <w:r>
        <w:rPr>
          <w:rFonts w:ascii="Arial" w:cs="Arial" w:eastAsia="Arial" w:hAnsi="Arial"/>
          <w:sz w:val="21"/>
          <w:szCs w:val="21"/>
        </w:rPr>
        <w:t xml:space="preserve">A credenciada deverá manter as condições de habilitação durante toda a vigência e comunicar qualquer alteração, sob pena de descredenciamento.</w:t>
      </w:r>
    </w:p>
    <w:p>
      <w:pPr>
        <w:spacing w:after="90" w:line="276"/>
        <w:ind w:left="0"/>
        <w:jc w:val="both"/>
      </w:pPr>
      <w:r>
        <w:rPr>
          <w:rFonts w:ascii="Arial" w:cs="Arial" w:eastAsia="Arial" w:hAnsi="Arial"/>
          <w:b w:val="false"/>
          <w:bCs w:val="false"/>
          <w:sz w:val="21"/>
          <w:szCs w:val="21"/>
        </w:rPr>
        <w:t xml:space="preserve">4. </w:t>
      </w:r>
      <w:r>
        <w:rPr>
          <w:rFonts w:ascii="Arial" w:cs="Arial" w:eastAsia="Arial" w:hAnsi="Arial"/>
          <w:sz w:val="21"/>
          <w:szCs w:val="21"/>
        </w:rPr>
        <w:t xml:space="preserve">Este Termo vigorará até 05/11/2027 ou até o encerramento antecipado do chamamento (item 14.1.1 do Edital).</w:t>
      </w:r>
    </w:p>
    <w:p>
      <w:pPr>
        <w:spacing w:after="100" w:before="200" w:line="276"/>
        <w:jc w:val="right"/>
      </w:pPr>
      <w:r>
        <w:rPr>
          <w:rFonts w:ascii="Arial" w:cs="Arial" w:eastAsia="Arial" w:hAnsi="Arial"/>
          <w:sz w:val="21"/>
          <w:szCs w:val="21"/>
        </w:rPr>
        <w:t xml:space="preserve">Confresa – MT, </w:t>
      </w:r>
      <w:r>
        <w:rPr>
          <w:rFonts w:ascii="Arial" w:cs="Arial" w:eastAsia="Arial" w:hAnsi="Arial"/>
          <w:sz w:val="21"/>
          <w:szCs w:val="21"/>
          <w:highlight w:val="yellow"/>
        </w:rPr>
        <w:t xml:space="preserve">[●]</w:t>
      </w:r>
      <w:r>
        <w:rPr>
          <w:rFonts w:ascii="Arial" w:cs="Arial" w:eastAsia="Arial" w:hAnsi="Arial"/>
          <w:sz w:val="21"/>
          <w:szCs w:val="21"/>
        </w:rPr>
        <w:t xml:space="preserve"> de </w:t>
      </w:r>
      <w:r>
        <w:rPr>
          <w:rFonts w:ascii="Arial" w:cs="Arial" w:eastAsia="Arial" w:hAnsi="Arial"/>
          <w:sz w:val="21"/>
          <w:szCs w:val="21"/>
          <w:highlight w:val="yellow"/>
        </w:rPr>
        <w:t xml:space="preserve">[●]</w:t>
      </w:r>
      <w:r>
        <w:rPr>
          <w:rFonts w:ascii="Arial" w:cs="Arial" w:eastAsia="Arial" w:hAnsi="Arial"/>
          <w:sz w:val="21"/>
          <w:szCs w:val="21"/>
        </w:rPr>
        <w:t xml:space="preserve"> de </w:t>
      </w:r>
      <w:r>
        <w:rPr>
          <w:rFonts w:ascii="Arial" w:cs="Arial" w:eastAsia="Arial" w:hAnsi="Arial"/>
          <w:sz w:val="21"/>
          <w:szCs w:val="21"/>
          <w:highlight w:val="yellow"/>
        </w:rPr>
        <w:t xml:space="preserve">[●]</w:t>
      </w:r>
      <w:r>
        <w:rPr>
          <w:rFonts w:ascii="Arial" w:cs="Arial" w:eastAsia="Arial" w:hAnsi="Arial"/>
          <w:sz w:val="21"/>
          <w:szCs w:val="21"/>
        </w:rPr>
        <w:t xml:space="preserve">.</w:t>
      </w:r>
    </w:p>
    <w:p>
      <w:pPr>
        <w:spacing w:after="0" w:before="500"/>
        <w:jc w:val="center"/>
      </w:pPr>
      <w:r>
        <w:rPr>
          <w:rFonts w:ascii="Arial" w:cs="Arial" w:eastAsia="Arial" w:hAnsi="Arial"/>
          <w:sz w:val="21"/>
          <w:szCs w:val="21"/>
        </w:rPr>
        <w:t xml:space="preserve">_____________________________________________</w:t>
      </w:r>
    </w:p>
    <w:p>
      <w:pPr>
        <w:spacing w:after="0" w:before="0" w:line="276"/>
        <w:jc w:val="center"/>
      </w:pPr>
      <w:r>
        <w:rPr>
          <w:rFonts w:ascii="Arial" w:cs="Arial" w:eastAsia="Arial" w:hAnsi="Arial"/>
          <w:b/>
          <w:bCs/>
          <w:sz w:val="21"/>
          <w:szCs w:val="21"/>
        </w:rPr>
        <w:t xml:space="preserve">VITOR DUARTE QUEIROZ CAMPOS</w:t>
      </w:r>
    </w:p>
    <w:p>
      <w:pPr>
        <w:spacing w:after="0" w:before="0" w:line="276"/>
        <w:jc w:val="center"/>
      </w:pPr>
      <w:r>
        <w:rPr>
          <w:rFonts w:ascii="Arial" w:cs="Arial" w:eastAsia="Arial" w:hAnsi="Arial"/>
          <w:sz w:val="21"/>
          <w:szCs w:val="21"/>
        </w:rPr>
        <w:t xml:space="preserve">Secretário Municipal de Saúde – Gestor do Fundo Municipal de Saúde</w:t>
      </w:r>
    </w:p>
    <w:p>
      <w:pPr>
        <w:spacing w:after="0" w:before="0" w:line="276"/>
        <w:jc w:val="center"/>
      </w:pPr>
      <w:r>
        <w:rPr>
          <w:rFonts w:ascii="Arial" w:cs="Arial" w:eastAsia="Arial" w:hAnsi="Arial"/>
          <w:sz w:val="21"/>
          <w:szCs w:val="21"/>
        </w:rPr>
        <w:t xml:space="preserve">Portaria nº 114/2026</w:t>
      </w:r>
    </w:p>
    <w:sectPr>
      <w:headerReference w:type="default" r:id="rId16"/>
      <w:footerReference w:type="default" r:id="rId17"/>
      <w:pgSz w:w="11906" w:h="16838" w:orient="portrait"/>
      <w:pgMar w:top="1900" w:right="1134" w:bottom="2050" w:left="1418" w:header="1480" w:footer="162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jc w:val="right"/>
    </w:pPr>
    <w:r>
      <w:drawing>
        <wp:anchor distT="0" distB="0" distL="0" distR="0" simplePos="0" allowOverlap="1" behindDoc="1" locked="0" layoutInCell="1" relativeHeight="895350">
          <wp:simplePos x="0" y="0"/>
          <wp:positionH relativeFrom="page">
            <wp:posOffset>0</wp:posOffset>
          </wp:positionH>
          <wp:positionV relativeFrom="page">
            <wp:posOffset>9801225</wp:posOffset>
          </wp:positionV>
          <wp:extent cx="7562850" cy="895350"/>
          <wp:effectExtent t="0" r="0" b="0" l="0"/>
          <wp:wrapNone/>
          <wp:docPr id="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95350"/>
                  </a:xfrm>
                  <a:prstGeom prst="rect">
                    <a:avLst/>
                  </a:prstGeom>
                </pic:spPr>
              </pic:pic>
            </a:graphicData>
          </a:graphic>
        </wp:anchor>
      </w:drawing>
    </w:r>
    <w:r>
      <w:rPr>
        <w:rFonts w:ascii="Arial" w:cs="Arial" w:eastAsia="Arial" w:hAnsi="Arial"/>
        <w:sz w:val="15"/>
        <w:szCs w:val="15"/>
      </w:rPr>
      <w:t xml:space="preserve">Página </w:t>
    </w:r>
    <w:r>
      <w:rPr>
        <w:rFonts w:ascii="Arial" w:cs="Arial" w:eastAsia="Arial" w:hAnsi="Arial"/>
        <w:sz w:val="15"/>
        <w:szCs w:val="15"/>
      </w:rPr>
      <w:fldChar w:fldCharType="begin"/>
      <w:instrText xml:space="preserve">PAGE</w:instrText>
      <w:fldChar w:fldCharType="separate"/>
      <w:fldChar w:fldCharType="end"/>
    </w:r>
    <w:r>
      <w:rPr>
        <w:rFonts w:ascii="Arial" w:cs="Arial" w:eastAsia="Arial" w:hAnsi="Arial"/>
        <w:sz w:val="15"/>
        <w:szCs w:val="15"/>
      </w:rPr>
      <w:t xml:space="preserve"> de </w:t>
    </w:r>
    <w:r>
      <w:rPr>
        <w:rFonts w:ascii="Arial" w:cs="Arial" w:eastAsia="Arial" w:hAnsi="Arial"/>
        <w:sz w:val="15"/>
        <w:szCs w:val="15"/>
      </w:rPr>
      <w:fldChar w:fldCharType="begin"/>
      <w:instrText xml:space="preserve">NUMPAGES</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jc w:val="right"/>
    </w:pPr>
    <w:r>
      <w:drawing>
        <wp:anchor distT="0" distB="0" distL="0" distR="0" simplePos="0" allowOverlap="1" behindDoc="1" locked="0" layoutInCell="1" relativeHeight="895350">
          <wp:simplePos x="0" y="0"/>
          <wp:positionH relativeFrom="page">
            <wp:posOffset>0</wp:posOffset>
          </wp:positionH>
          <wp:positionV relativeFrom="page">
            <wp:posOffset>6667500</wp:posOffset>
          </wp:positionV>
          <wp:extent cx="10696575" cy="895350"/>
          <wp:effectExtent t="0" r="0" b="0" l="0"/>
          <wp:wrapNone/>
          <wp:docPr id="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0696575" cy="895350"/>
                  </a:xfrm>
                  <a:prstGeom prst="rect">
                    <a:avLst/>
                  </a:prstGeom>
                </pic:spPr>
              </pic:pic>
            </a:graphicData>
          </a:graphic>
        </wp:anchor>
      </w:drawing>
    </w:r>
    <w:r>
      <w:rPr>
        <w:rFonts w:ascii="Arial" w:cs="Arial" w:eastAsia="Arial" w:hAnsi="Arial"/>
        <w:sz w:val="15"/>
        <w:szCs w:val="15"/>
      </w:rPr>
      <w:t xml:space="preserve">Página </w:t>
    </w:r>
    <w:r>
      <w:rPr>
        <w:rFonts w:ascii="Arial" w:cs="Arial" w:eastAsia="Arial" w:hAnsi="Arial"/>
        <w:sz w:val="15"/>
        <w:szCs w:val="15"/>
      </w:rPr>
      <w:fldChar w:fldCharType="begin"/>
      <w:instrText xml:space="preserve">PAGE</w:instrText>
      <w:fldChar w:fldCharType="separate"/>
      <w:fldChar w:fldCharType="end"/>
    </w:r>
    <w:r>
      <w:rPr>
        <w:rFonts w:ascii="Arial" w:cs="Arial" w:eastAsia="Arial" w:hAnsi="Arial"/>
        <w:sz w:val="15"/>
        <w:szCs w:val="15"/>
      </w:rPr>
      <w:t xml:space="preserve"> de </w:t>
    </w:r>
    <w:r>
      <w:rPr>
        <w:rFonts w:ascii="Arial" w:cs="Arial" w:eastAsia="Arial" w:hAnsi="Arial"/>
        <w:sz w:val="15"/>
        <w:szCs w:val="15"/>
      </w:rPr>
      <w:fldChar w:fldCharType="begin"/>
      <w:instrText xml:space="preserve">NUMPAGES</w:instrText>
      <w:fldChar w:fldCharType="separate"/>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jc w:val="right"/>
    </w:pPr>
    <w:r>
      <w:drawing>
        <wp:anchor distT="0" distB="0" distL="0" distR="0" simplePos="0" allowOverlap="1" behindDoc="1" locked="0" layoutInCell="1" relativeHeight="895350">
          <wp:simplePos x="0" y="0"/>
          <wp:positionH relativeFrom="page">
            <wp:posOffset>0</wp:posOffset>
          </wp:positionH>
          <wp:positionV relativeFrom="page">
            <wp:posOffset>9801225</wp:posOffset>
          </wp:positionV>
          <wp:extent cx="7562850" cy="895350"/>
          <wp:effectExtent t="0" r="0" b="0" l="0"/>
          <wp:wrapNone/>
          <wp:docPr id="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95350"/>
                  </a:xfrm>
                  <a:prstGeom prst="rect">
                    <a:avLst/>
                  </a:prstGeom>
                </pic:spPr>
              </pic:pic>
            </a:graphicData>
          </a:graphic>
        </wp:anchor>
      </w:drawing>
    </w:r>
    <w:r>
      <w:rPr>
        <w:rFonts w:ascii="Arial" w:cs="Arial" w:eastAsia="Arial" w:hAnsi="Arial"/>
        <w:sz w:val="15"/>
        <w:szCs w:val="15"/>
      </w:rPr>
      <w:t xml:space="preserve">Página </w:t>
    </w:r>
    <w:r>
      <w:rPr>
        <w:rFonts w:ascii="Arial" w:cs="Arial" w:eastAsia="Arial" w:hAnsi="Arial"/>
        <w:sz w:val="15"/>
        <w:szCs w:val="15"/>
      </w:rPr>
      <w:fldChar w:fldCharType="begin"/>
      <w:instrText xml:space="preserve">PAGE</w:instrText>
      <w:fldChar w:fldCharType="separate"/>
      <w:fldChar w:fldCharType="end"/>
    </w:r>
    <w:r>
      <w:rPr>
        <w:rFonts w:ascii="Arial" w:cs="Arial" w:eastAsia="Arial" w:hAnsi="Arial"/>
        <w:sz w:val="15"/>
        <w:szCs w:val="15"/>
      </w:rPr>
      <w:t xml:space="preserve"> de </w:t>
    </w:r>
    <w:r>
      <w:rPr>
        <w:rFonts w:ascii="Arial" w:cs="Arial" w:eastAsia="Arial" w:hAnsi="Arial"/>
        <w:sz w:val="15"/>
        <w:szCs w:val="15"/>
      </w:rPr>
      <w:fldChar w:fldCharType="begin"/>
      <w:instrText xml:space="preserve">NUMPAGES</w:instrText>
      <w:fldChar w:fldCharType="separate"/>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jc w:val="right"/>
    </w:pPr>
    <w:r>
      <w:drawing>
        <wp:anchor distT="0" distB="0" distL="0" distR="0" simplePos="0" allowOverlap="1" behindDoc="1" locked="0" layoutInCell="1" relativeHeight="895350">
          <wp:simplePos x="0" y="0"/>
          <wp:positionH relativeFrom="page">
            <wp:posOffset>0</wp:posOffset>
          </wp:positionH>
          <wp:positionV relativeFrom="page">
            <wp:posOffset>9801225</wp:posOffset>
          </wp:positionV>
          <wp:extent cx="7562850" cy="895350"/>
          <wp:effectExtent t="0" r="0" b="0" l="0"/>
          <wp:wrapNone/>
          <wp:docPr id="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95350"/>
                  </a:xfrm>
                  <a:prstGeom prst="rect">
                    <a:avLst/>
                  </a:prstGeom>
                </pic:spPr>
              </pic:pic>
            </a:graphicData>
          </a:graphic>
        </wp:anchor>
      </w:drawing>
    </w:r>
    <w:r>
      <w:rPr>
        <w:rFonts w:ascii="Arial" w:cs="Arial" w:eastAsia="Arial" w:hAnsi="Arial"/>
        <w:sz w:val="15"/>
        <w:szCs w:val="15"/>
      </w:rPr>
      <w:t xml:space="preserve">Página </w:t>
    </w:r>
    <w:r>
      <w:rPr>
        <w:rFonts w:ascii="Arial" w:cs="Arial" w:eastAsia="Arial" w:hAnsi="Arial"/>
        <w:sz w:val="15"/>
        <w:szCs w:val="15"/>
      </w:rPr>
      <w:fldChar w:fldCharType="begin"/>
      <w:instrText xml:space="preserve">PAGE</w:instrText>
      <w:fldChar w:fldCharType="separate"/>
      <w:fldChar w:fldCharType="end"/>
    </w:r>
    <w:r>
      <w:rPr>
        <w:rFonts w:ascii="Arial" w:cs="Arial" w:eastAsia="Arial" w:hAnsi="Arial"/>
        <w:sz w:val="15"/>
        <w:szCs w:val="15"/>
      </w:rPr>
      <w:t xml:space="preserve"> de </w:t>
    </w:r>
    <w:r>
      <w:rPr>
        <w:rFonts w:ascii="Arial" w:cs="Arial" w:eastAsia="Arial" w:hAnsi="Arial"/>
        <w:sz w:val="15"/>
        <w:szCs w:val="15"/>
      </w:rPr>
      <w:fldChar w:fldCharType="begin"/>
      <w:instrText xml:space="preserve">NUMPAGES</w:instrText>
      <w:fldChar w:fldCharType="separate"/>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jc w:val="right"/>
    </w:pPr>
    <w:r>
      <w:drawing>
        <wp:anchor distT="0" distB="0" distL="0" distR="0" simplePos="0" allowOverlap="1" behindDoc="1" locked="0" layoutInCell="1" relativeHeight="895350">
          <wp:simplePos x="0" y="0"/>
          <wp:positionH relativeFrom="page">
            <wp:posOffset>0</wp:posOffset>
          </wp:positionH>
          <wp:positionV relativeFrom="page">
            <wp:posOffset>9801225</wp:posOffset>
          </wp:positionV>
          <wp:extent cx="7562850" cy="895350"/>
          <wp:effectExtent t="0" r="0" b="0" l="0"/>
          <wp:wrapNone/>
          <wp:docPr id="1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95350"/>
                  </a:xfrm>
                  <a:prstGeom prst="rect">
                    <a:avLst/>
                  </a:prstGeom>
                </pic:spPr>
              </pic:pic>
            </a:graphicData>
          </a:graphic>
        </wp:anchor>
      </w:drawing>
    </w:r>
    <w:r>
      <w:rPr>
        <w:rFonts w:ascii="Arial" w:cs="Arial" w:eastAsia="Arial" w:hAnsi="Arial"/>
        <w:sz w:val="15"/>
        <w:szCs w:val="15"/>
      </w:rPr>
      <w:t xml:space="preserve">Página </w:t>
    </w:r>
    <w:r>
      <w:rPr>
        <w:rFonts w:ascii="Arial" w:cs="Arial" w:eastAsia="Arial" w:hAnsi="Arial"/>
        <w:sz w:val="15"/>
        <w:szCs w:val="15"/>
      </w:rPr>
      <w:fldChar w:fldCharType="begin"/>
      <w:instrText xml:space="preserve">PAGE</w:instrText>
      <w:fldChar w:fldCharType="separate"/>
      <w:fldChar w:fldCharType="end"/>
    </w:r>
    <w:r>
      <w:rPr>
        <w:rFonts w:ascii="Arial" w:cs="Arial" w:eastAsia="Arial" w:hAnsi="Arial"/>
        <w:sz w:val="15"/>
        <w:szCs w:val="15"/>
      </w:rPr>
      <w:t xml:space="preserve"> de </w:t>
    </w:r>
    <w:r>
      <w:rPr>
        <w:rFonts w:ascii="Arial" w:cs="Arial" w:eastAsia="Arial" w:hAnsi="Arial"/>
        <w:sz w:val="15"/>
        <w:szCs w:val="15"/>
      </w:rPr>
      <w:fldChar w:fldCharType="begin"/>
      <w:instrText xml:space="preserve">NUMPAGES</w:instrText>
      <w:fldChar w:fldCharType="separate"/>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jc w:val="right"/>
    </w:pPr>
    <w:r>
      <w:drawing>
        <wp:anchor distT="0" distB="0" distL="0" distR="0" simplePos="0" allowOverlap="1" behindDoc="1" locked="0" layoutInCell="1" relativeHeight="895350">
          <wp:simplePos x="0" y="0"/>
          <wp:positionH relativeFrom="page">
            <wp:posOffset>0</wp:posOffset>
          </wp:positionH>
          <wp:positionV relativeFrom="page">
            <wp:posOffset>9801225</wp:posOffset>
          </wp:positionV>
          <wp:extent cx="7562850" cy="895350"/>
          <wp:effectExtent t="0" r="0" b="0" l="0"/>
          <wp:wrapNone/>
          <wp:docPr id="1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95350"/>
                  </a:xfrm>
                  <a:prstGeom prst="rect">
                    <a:avLst/>
                  </a:prstGeom>
                </pic:spPr>
              </pic:pic>
            </a:graphicData>
          </a:graphic>
        </wp:anchor>
      </w:drawing>
    </w:r>
    <w:r>
      <w:rPr>
        <w:rFonts w:ascii="Arial" w:cs="Arial" w:eastAsia="Arial" w:hAnsi="Arial"/>
        <w:sz w:val="15"/>
        <w:szCs w:val="15"/>
      </w:rPr>
      <w:t xml:space="preserve">Página </w:t>
    </w:r>
    <w:r>
      <w:rPr>
        <w:rFonts w:ascii="Arial" w:cs="Arial" w:eastAsia="Arial" w:hAnsi="Arial"/>
        <w:sz w:val="15"/>
        <w:szCs w:val="15"/>
      </w:rPr>
      <w:fldChar w:fldCharType="begin"/>
      <w:instrText xml:space="preserve">PAGE</w:instrText>
      <w:fldChar w:fldCharType="separate"/>
      <w:fldChar w:fldCharType="end"/>
    </w:r>
    <w:r>
      <w:rPr>
        <w:rFonts w:ascii="Arial" w:cs="Arial" w:eastAsia="Arial" w:hAnsi="Arial"/>
        <w:sz w:val="15"/>
        <w:szCs w:val="15"/>
      </w:rPr>
      <w:t xml:space="preserve"> de </w:t>
    </w:r>
    <w:r>
      <w:rPr>
        <w:rFonts w:ascii="Arial" w:cs="Arial" w:eastAsia="Arial" w:hAnsi="Arial"/>
        <w:sz w:val="15"/>
        <w:szCs w:val="15"/>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drawing>
        <wp:anchor distT="0" distB="0" distL="0" distR="0" simplePos="0" allowOverlap="1" behindDoc="1" locked="0" layoutInCell="1" relativeHeight="885825">
          <wp:simplePos x="0" y="0"/>
          <wp:positionH relativeFrom="page">
            <wp:posOffset>0</wp:posOffset>
          </wp:positionH>
          <wp:positionV relativeFrom="page">
            <wp:posOffset>0</wp:posOffset>
          </wp:positionV>
          <wp:extent cx="7562850" cy="885825"/>
          <wp:effectExtent t="0" r="0" b="0" l="0"/>
          <wp:wrapNone/>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85825"/>
                  </a:xfrm>
                  <a:prstGeom prst="rect">
                    <a:avLst/>
                  </a:prstGeom>
                </pic:spPr>
              </pic:pic>
            </a:graphicData>
          </a:graphic>
        </wp:anchor>
      </w:drawing>
    </w:r>
  </w:p>
  <w:p>
    <w:pPr>
      <w:spacing w:after="0"/>
      <w:jc w:val="right"/>
    </w:pPr>
    <w:r>
      <w:rPr>
        <w:rFonts w:ascii="Arial" w:cs="Arial" w:eastAsia="Arial" w:hAnsi="Arial"/>
        <w:i/>
        <w:iCs/>
        <w:color w:val="404040"/>
        <w:sz w:val="15"/>
        <w:szCs w:val="15"/>
      </w:rPr>
      <w:t xml:space="preserve">Processo Administrativo nº 145/2026 – Chamamento Público – Credenciamento nº 013/2026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drawing>
        <wp:anchor distT="0" distB="0" distL="0" distR="0" simplePos="0" allowOverlap="1" behindDoc="1" locked="0" layoutInCell="1" relativeHeight="885825">
          <wp:simplePos x="0" y="0"/>
          <wp:positionH relativeFrom="page">
            <wp:posOffset>0</wp:posOffset>
          </wp:positionH>
          <wp:positionV relativeFrom="page">
            <wp:posOffset>0</wp:posOffset>
          </wp:positionV>
          <wp:extent cx="10696575" cy="885825"/>
          <wp:effectExtent t="0" r="0" b="0" l="0"/>
          <wp:wrapNone/>
          <wp:docPr id="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0696575" cy="885825"/>
                  </a:xfrm>
                  <a:prstGeom prst="rect">
                    <a:avLst/>
                  </a:prstGeom>
                </pic:spPr>
              </pic:pic>
            </a:graphicData>
          </a:graphic>
        </wp:anchor>
      </w:drawing>
    </w:r>
  </w:p>
  <w:p>
    <w:pPr>
      <w:spacing w:after="0"/>
      <w:jc w:val="right"/>
    </w:pPr>
    <w:r>
      <w:rPr>
        <w:rFonts w:ascii="Arial" w:cs="Arial" w:eastAsia="Arial" w:hAnsi="Arial"/>
        <w:i/>
        <w:iCs/>
        <w:color w:val="404040"/>
        <w:sz w:val="15"/>
        <w:szCs w:val="15"/>
      </w:rPr>
      <w:t xml:space="preserve">Processo Administrativo nº 145/2026 – Chamamento Público – Credenciamento nº 013/2026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drawing>
        <wp:anchor distT="0" distB="0" distL="0" distR="0" simplePos="0" allowOverlap="1" behindDoc="1" locked="0" layoutInCell="1" relativeHeight="885825">
          <wp:simplePos x="0" y="0"/>
          <wp:positionH relativeFrom="page">
            <wp:posOffset>0</wp:posOffset>
          </wp:positionH>
          <wp:positionV relativeFrom="page">
            <wp:posOffset>0</wp:posOffset>
          </wp:positionV>
          <wp:extent cx="7562850" cy="885825"/>
          <wp:effectExtent t="0" r="0" b="0" l="0"/>
          <wp:wrapNone/>
          <wp:docPr id="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85825"/>
                  </a:xfrm>
                  <a:prstGeom prst="rect">
                    <a:avLst/>
                  </a:prstGeom>
                </pic:spPr>
              </pic:pic>
            </a:graphicData>
          </a:graphic>
        </wp:anchor>
      </w:drawing>
    </w:r>
  </w:p>
  <w:p>
    <w:pPr>
      <w:spacing w:after="0"/>
      <w:jc w:val="right"/>
    </w:pPr>
    <w:r>
      <w:rPr>
        <w:rFonts w:ascii="Arial" w:cs="Arial" w:eastAsia="Arial" w:hAnsi="Arial"/>
        <w:i/>
        <w:iCs/>
        <w:color w:val="404040"/>
        <w:sz w:val="15"/>
        <w:szCs w:val="15"/>
      </w:rPr>
      <w:t xml:space="preserve">Processo Administrativo nº 145/2026 – Chamamento Público – Credenciamento nº 013/2026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drawing>
        <wp:anchor distT="0" distB="0" distL="0" distR="0" simplePos="0" allowOverlap="1" behindDoc="1" locked="0" layoutInCell="1" relativeHeight="885825">
          <wp:simplePos x="0" y="0"/>
          <wp:positionH relativeFrom="page">
            <wp:posOffset>0</wp:posOffset>
          </wp:positionH>
          <wp:positionV relativeFrom="page">
            <wp:posOffset>0</wp:posOffset>
          </wp:positionV>
          <wp:extent cx="7562850" cy="885825"/>
          <wp:effectExtent t="0" r="0" b="0" l="0"/>
          <wp:wrapNone/>
          <wp:docPr id="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85825"/>
                  </a:xfrm>
                  <a:prstGeom prst="rect">
                    <a:avLst/>
                  </a:prstGeom>
                </pic:spPr>
              </pic:pic>
            </a:graphicData>
          </a:graphic>
        </wp:anchor>
      </w:drawing>
    </w:r>
  </w:p>
  <w:p>
    <w:pPr>
      <w:spacing w:after="0"/>
      <w:jc w:val="right"/>
    </w:pPr>
    <w:r>
      <w:rPr>
        <w:rFonts w:ascii="Arial" w:cs="Arial" w:eastAsia="Arial" w:hAnsi="Arial"/>
        <w:i/>
        <w:iCs/>
        <w:color w:val="404040"/>
        <w:sz w:val="15"/>
        <w:szCs w:val="15"/>
      </w:rPr>
      <w:t xml:space="preserve">Processo Administrativo nº 145/2026 – Chamamento Público – Credenciamento nº 013/2026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drawing>
        <wp:anchor distT="0" distB="0" distL="0" distR="0" simplePos="0" allowOverlap="1" behindDoc="1" locked="0" layoutInCell="1" relativeHeight="885825">
          <wp:simplePos x="0" y="0"/>
          <wp:positionH relativeFrom="page">
            <wp:posOffset>0</wp:posOffset>
          </wp:positionH>
          <wp:positionV relativeFrom="page">
            <wp:posOffset>0</wp:posOffset>
          </wp:positionV>
          <wp:extent cx="7562850" cy="885825"/>
          <wp:effectExtent t="0" r="0" b="0" l="0"/>
          <wp:wrapNone/>
          <wp:docPr id="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85825"/>
                  </a:xfrm>
                  <a:prstGeom prst="rect">
                    <a:avLst/>
                  </a:prstGeom>
                </pic:spPr>
              </pic:pic>
            </a:graphicData>
          </a:graphic>
        </wp:anchor>
      </w:drawing>
    </w:r>
  </w:p>
  <w:p>
    <w:pPr>
      <w:spacing w:after="0"/>
      <w:jc w:val="right"/>
    </w:pPr>
    <w:r>
      <w:rPr>
        <w:rFonts w:ascii="Arial" w:cs="Arial" w:eastAsia="Arial" w:hAnsi="Arial"/>
        <w:i/>
        <w:iCs/>
        <w:color w:val="404040"/>
        <w:sz w:val="15"/>
        <w:szCs w:val="15"/>
      </w:rPr>
      <w:t xml:space="preserve">Processo Administrativo nº 145/2026 – Chamamento Público – Credenciamento nº 013/2026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drawing>
        <wp:anchor distT="0" distB="0" distL="0" distR="0" simplePos="0" allowOverlap="1" behindDoc="1" locked="0" layoutInCell="1" relativeHeight="885825">
          <wp:simplePos x="0" y="0"/>
          <wp:positionH relativeFrom="page">
            <wp:posOffset>0</wp:posOffset>
          </wp:positionH>
          <wp:positionV relativeFrom="page">
            <wp:posOffset>0</wp:posOffset>
          </wp:positionV>
          <wp:extent cx="7562850" cy="885825"/>
          <wp:effectExtent t="0" r="0" b="0" l="0"/>
          <wp:wrapNone/>
          <wp:docPr id="1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562850" cy="885825"/>
                  </a:xfrm>
                  <a:prstGeom prst="rect">
                    <a:avLst/>
                  </a:prstGeom>
                </pic:spPr>
              </pic:pic>
            </a:graphicData>
          </a:graphic>
        </wp:anchor>
      </w:drawing>
    </w:r>
  </w:p>
  <w:p>
    <w:pPr>
      <w:spacing w:after="0"/>
      <w:jc w:val="right"/>
    </w:pPr>
    <w:r>
      <w:rPr>
        <w:rFonts w:ascii="Arial" w:cs="Arial" w:eastAsia="Arial" w:hAnsi="Arial"/>
        <w:i/>
        <w:iCs/>
        <w:color w:val="404040"/>
        <w:sz w:val="15"/>
        <w:szCs w:val="15"/>
      </w:rPr>
      <w:t xml:space="preserve">Processo Administrativo nº 145/2026 – Chamamento Público – Credenciamento nº 013/2026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footer" Target="footer4.xml"/><Relationship Id="rId14" Type="http://schemas.openxmlformats.org/officeDocument/2006/relationships/header" Target="header5.xml"/><Relationship Id="rId15" Type="http://schemas.openxmlformats.org/officeDocument/2006/relationships/footer" Target="footer5.xml"/><Relationship Id="rId16" Type="http://schemas.openxmlformats.org/officeDocument/2006/relationships/header" Target="header6.xml"/><Relationship Id="rId17" Type="http://schemas.openxmlformats.org/officeDocument/2006/relationships/footer" Target="footer6.xml"/><Relationship Id="rId18" Type="http://schemas.openxmlformats.org/officeDocument/2006/relationships/theme" Target="theme/theme1.xml"/><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Relationship Id="rId0" Type="http://schemas.openxmlformats.org/officeDocument/2006/relationships/image" Target="media/d826638b9901c6710faa6cfe592310a5667e2741.png"/></Relationships>
</file>

<file path=word/_rels/footer2.xml.rels><?xml version="1.0" encoding="UTF-8"?><Relationships xmlns="http://schemas.openxmlformats.org/package/2006/relationships"><Relationship Id="rId0" Type="http://schemas.openxmlformats.org/officeDocument/2006/relationships/image" Target="media/3f5c467e4af4f61068a05dc1d93d3de22de0c5f1.png"/></Relationships>
</file>

<file path=word/_rels/footer3.xml.rels><?xml version="1.0" encoding="UTF-8"?><Relationships xmlns="http://schemas.openxmlformats.org/package/2006/relationships"><Relationship Id="rId0" Type="http://schemas.openxmlformats.org/officeDocument/2006/relationships/image" Target="media/d826638b9901c6710faa6cfe592310a5667e2741.png"/></Relationships>
</file>

<file path=word/_rels/footer4.xml.rels><?xml version="1.0" encoding="UTF-8"?><Relationships xmlns="http://schemas.openxmlformats.org/package/2006/relationships"><Relationship Id="rId0" Type="http://schemas.openxmlformats.org/officeDocument/2006/relationships/image" Target="media/d826638b9901c6710faa6cfe592310a5667e2741.png"/></Relationships>
</file>

<file path=word/_rels/footer5.xml.rels><?xml version="1.0" encoding="UTF-8"?><Relationships xmlns="http://schemas.openxmlformats.org/package/2006/relationships"><Relationship Id="rId0" Type="http://schemas.openxmlformats.org/officeDocument/2006/relationships/image" Target="media/d826638b9901c6710faa6cfe592310a5667e2741.png"/></Relationships>
</file>

<file path=word/_rels/footer6.xml.rels><?xml version="1.0" encoding="UTF-8"?><Relationships xmlns="http://schemas.openxmlformats.org/package/2006/relationships"><Relationship Id="rId0" Type="http://schemas.openxmlformats.org/officeDocument/2006/relationships/image" Target="media/d826638b9901c6710faa6cfe592310a5667e2741.png"/></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62434a8b3fb96b867f2b9e84a80cb23b5d0921f9.png"/></Relationships>
</file>

<file path=word/_rels/header2.xml.rels><?xml version="1.0" encoding="UTF-8"?><Relationships xmlns="http://schemas.openxmlformats.org/package/2006/relationships"><Relationship Id="rId0" Type="http://schemas.openxmlformats.org/officeDocument/2006/relationships/image" Target="media/52b0b1481d76b8eb2e9f379d92e168547c2c3b21.png"/></Relationships>
</file>

<file path=word/_rels/header3.xml.rels><?xml version="1.0" encoding="UTF-8"?><Relationships xmlns="http://schemas.openxmlformats.org/package/2006/relationships"><Relationship Id="rId0" Type="http://schemas.openxmlformats.org/officeDocument/2006/relationships/image" Target="media/62434a8b3fb96b867f2b9e84a80cb23b5d0921f9.png"/></Relationships>
</file>

<file path=word/_rels/header4.xml.rels><?xml version="1.0" encoding="UTF-8"?><Relationships xmlns="http://schemas.openxmlformats.org/package/2006/relationships"><Relationship Id="rId0" Type="http://schemas.openxmlformats.org/officeDocument/2006/relationships/image" Target="media/62434a8b3fb96b867f2b9e84a80cb23b5d0921f9.png"/></Relationships>
</file>

<file path=word/_rels/header5.xml.rels><?xml version="1.0" encoding="UTF-8"?><Relationships xmlns="http://schemas.openxmlformats.org/package/2006/relationships"><Relationship Id="rId0" Type="http://schemas.openxmlformats.org/officeDocument/2006/relationships/image" Target="media/62434a8b3fb96b867f2b9e84a80cb23b5d0921f9.png"/></Relationships>
</file>

<file path=word/_rels/header6.xml.rels><?xml version="1.0" encoding="UTF-8"?><Relationships xmlns="http://schemas.openxmlformats.org/package/2006/relationships"><Relationship Id="rId0" Type="http://schemas.openxmlformats.org/officeDocument/2006/relationships/image" Target="media/62434a8b3fb96b867f2b9e84a80cb23b5d0921f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Departamento de Licitações – Confresa/MT</dc:creator>
  <cp:lastModifiedBy>Un-named</cp:lastModifiedBy>
  <cp:revision>1</cp:revision>
  <dcterms:created xsi:type="dcterms:W3CDTF">2026-10-30T12:33:32.797Z</dcterms:created>
  <dcterms:modified xsi:type="dcterms:W3CDTF">2026-10-30T12:33:32.800Z</dcterms:modified>
</cp:coreProperties>
</file>

<file path=docProps/custom.xml><?xml version="1.0" encoding="utf-8"?>
<Properties xmlns="http://schemas.openxmlformats.org/officeDocument/2006/custom-properties" xmlns:vt="http://schemas.openxmlformats.org/officeDocument/2006/docPropsVTypes"/>
</file>