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left"/>
        <w:rPr>
          <w:highlight w:val="none"/>
          <w:shd w:fill="DDDDDD" w:val="clear"/>
        </w:rPr>
      </w:pPr>
      <w:r>
        <w:rPr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DDDDDD" w:val="clear"/>
          <w:em w:val="none"/>
        </w:rPr>
        <w:t>ANÁLISE DE RISCOS</w:t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/>
          <w:b/>
          <w:bCs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widowControl/>
        <w:suppressAutoHyphens w:val="true"/>
        <w:bidi w:val="0"/>
        <w:spacing w:lineRule="auto" w:line="276" w:before="0" w:after="60"/>
        <w:ind w:left="0" w:right="0" w:hanging="0"/>
        <w:jc w:val="both"/>
        <w:rPr>
          <w:rFonts w:ascii="Arial" w:hAnsi="Arial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tab/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t xml:space="preserve">O mapeamento de riscos permite a identificação, avaliação e gerenciamento dos riscos que possam comprometer o sucesso da contratação e da gestão contratual. Para cada risco identificado, define-se: a probabilidade de ocorrência dos eventos, os possíveis danos potenciais, possíveis ações preventivas e contingências, bem como a identificação de responsáveis por ação. </w:t>
      </w:r>
    </w:p>
    <w:p>
      <w:pPr>
        <w:pStyle w:val="Normal"/>
        <w:widowControl/>
        <w:suppressAutoHyphens w:val="true"/>
        <w:bidi w:val="0"/>
        <w:spacing w:lineRule="auto" w:line="276" w:before="0" w:after="60"/>
        <w:ind w:left="0" w:right="0" w:hanging="0"/>
        <w:jc w:val="both"/>
        <w:rPr>
          <w:rFonts w:ascii="Calibri" w:hAnsi="Calibri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tab/>
        <w:t xml:space="preserve">Após a identificação e classificação, deve-se executar uma análise qualitativa e quantitativa dos riscos. </w:t>
      </w:r>
    </w:p>
    <w:p>
      <w:pPr>
        <w:pStyle w:val="Normal"/>
        <w:widowControl/>
        <w:suppressAutoHyphens w:val="true"/>
        <w:bidi w:val="0"/>
        <w:spacing w:lineRule="auto" w:line="276" w:before="0" w:after="60"/>
        <w:ind w:left="0" w:right="0" w:hanging="0"/>
        <w:jc w:val="both"/>
        <w:rPr>
          <w:rFonts w:ascii="Calibri" w:hAnsi="Calibri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tab/>
        <w:t>A análise quantitativa dos riscos consiste na classificação conforme a relação entre a probabilidade e o impacto. Tal classificação resultará no nível do risco e direcionará as ações relacionadas aos riscos durante a fase de planejamento e gestão do contrato.</w:t>
      </w:r>
    </w:p>
    <w:p>
      <w:pPr>
        <w:pStyle w:val="Normal"/>
        <w:widowControl/>
        <w:suppressAutoHyphens w:val="true"/>
        <w:bidi w:val="0"/>
        <w:spacing w:lineRule="auto" w:line="276" w:before="0" w:after="60"/>
        <w:ind w:left="0" w:right="0" w:hanging="0"/>
        <w:jc w:val="both"/>
        <w:rPr>
          <w:rFonts w:ascii="Calibri" w:hAnsi="Calibri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tab/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Calibri" w:hAnsi="Calibri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t>Para</w:t>
      </w:r>
      <w:bookmarkStart w:id="0" w:name="page44R_mcid9"/>
      <w:bookmarkStart w:id="1" w:name="page44R_mcid8"/>
      <w:bookmarkEnd w:id="0"/>
      <w:bookmarkEnd w:id="1"/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t xml:space="preserve"> estimar</w:t>
      </w:r>
      <w:bookmarkStart w:id="2" w:name="page44R_mcid11"/>
      <w:bookmarkStart w:id="3" w:name="page44R_mcid10"/>
      <w:bookmarkEnd w:id="2"/>
      <w:bookmarkEnd w:id="3"/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t xml:space="preserve"> o</w:t>
      </w:r>
      <w:bookmarkStart w:id="4" w:name="page44R_mcid13"/>
      <w:bookmarkStart w:id="5" w:name="page44R_mcid12"/>
      <w:bookmarkEnd w:id="4"/>
      <w:bookmarkEnd w:id="5"/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t xml:space="preserve"> nível</w:t>
      </w:r>
      <w:bookmarkStart w:id="6" w:name="page44R_mcid15"/>
      <w:bookmarkStart w:id="7" w:name="page44R_mcid14"/>
      <w:bookmarkEnd w:id="6"/>
      <w:bookmarkEnd w:id="7"/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t xml:space="preserve"> dos</w:t>
      </w:r>
      <w:bookmarkStart w:id="8" w:name="page44R_mcid17"/>
      <w:bookmarkStart w:id="9" w:name="page44R_mcid16"/>
      <w:bookmarkEnd w:id="8"/>
      <w:bookmarkEnd w:id="9"/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t xml:space="preserve"> riscos,</w:t>
      </w:r>
      <w:bookmarkStart w:id="10" w:name="page44R_mcid19"/>
      <w:bookmarkStart w:id="11" w:name="page44R_mcid18"/>
      <w:bookmarkEnd w:id="10"/>
      <w:bookmarkEnd w:id="11"/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t xml:space="preserve"> utilizou-se</w:t>
      </w:r>
      <w:bookmarkStart w:id="12" w:name="page44R_mcid21"/>
      <w:bookmarkStart w:id="13" w:name="page44R_mcid20"/>
      <w:bookmarkEnd w:id="12"/>
      <w:bookmarkEnd w:id="13"/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t xml:space="preserve"> a</w:t>
      </w:r>
      <w:bookmarkStart w:id="14" w:name="page44R_mcid23"/>
      <w:bookmarkStart w:id="15" w:name="page44R_mcid22"/>
      <w:bookmarkEnd w:id="14"/>
      <w:bookmarkEnd w:id="15"/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t xml:space="preserve"> matriz</w:t>
      </w:r>
      <w:bookmarkStart w:id="16" w:name="page44R_mcid25"/>
      <w:bookmarkStart w:id="17" w:name="page44R_mcid24"/>
      <w:bookmarkEnd w:id="16"/>
      <w:bookmarkEnd w:id="17"/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t xml:space="preserve"> abaixo:</w:t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drawing>
          <wp:anchor behindDoc="0" distT="0" distB="0" distL="0" distR="0" simplePos="0" locked="0" layoutInCell="0" allowOverlap="1" relativeHeight="10">
            <wp:simplePos x="0" y="0"/>
            <wp:positionH relativeFrom="column">
              <wp:posOffset>1313815</wp:posOffset>
            </wp:positionH>
            <wp:positionV relativeFrom="paragraph">
              <wp:posOffset>123825</wp:posOffset>
            </wp:positionV>
            <wp:extent cx="2600325" cy="1206500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20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widowControl/>
        <w:suppressAutoHyphens w:val="true"/>
        <w:bidi w:val="0"/>
        <w:spacing w:lineRule="auto" w:line="276" w:before="0" w:after="60"/>
        <w:ind w:left="0" w:right="0" w:hanging="0"/>
        <w:jc w:val="both"/>
        <w:rPr>
          <w:rFonts w:ascii="Calibri" w:hAnsi="Calibri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t xml:space="preserve">A tabela a seguir apresenta uma síntese dos riscos de planejamento e de gestão dos serviços identificados e classificados neste documento. </w:t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tbl>
      <w:tblPr>
        <w:tblW w:w="8282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3"/>
        <w:gridCol w:w="2831"/>
        <w:gridCol w:w="2618"/>
      </w:tblGrid>
      <w:tr>
        <w:trPr/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b/>
                <w:bCs/>
                <w:sz w:val="22"/>
                <w:szCs w:val="22"/>
              </w:rPr>
              <w:t>Risco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Probabilidade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Impacto</w:t>
            </w:r>
          </w:p>
        </w:tc>
      </w:tr>
      <w:tr>
        <w:trPr/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sz w:val="22"/>
                <w:szCs w:val="22"/>
              </w:rPr>
              <w:t>Atraso no processo administrativo de contratação.</w:t>
            </w:r>
          </w:p>
        </w:tc>
        <w:tc>
          <w:tcPr>
            <w:tcW w:w="283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sz w:val="22"/>
                <w:szCs w:val="22"/>
              </w:rPr>
              <w:t>Baixa</w:t>
            </w:r>
          </w:p>
        </w:tc>
        <w:tc>
          <w:tcPr>
            <w:tcW w:w="2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sz w:val="22"/>
                <w:szCs w:val="22"/>
              </w:rPr>
              <w:t>Alto</w:t>
            </w:r>
          </w:p>
        </w:tc>
      </w:tr>
      <w:tr>
        <w:trPr/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b w:val="false"/>
                <w:bCs w:val="false"/>
                <w:sz w:val="22"/>
                <w:szCs w:val="22"/>
              </w:rPr>
              <w:t>Ausência de recursos orçamentários ou financeiros</w:t>
            </w:r>
          </w:p>
        </w:tc>
        <w:tc>
          <w:tcPr>
            <w:tcW w:w="283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sz w:val="22"/>
                <w:szCs w:val="22"/>
              </w:rPr>
              <w:t>Baixa</w:t>
            </w:r>
          </w:p>
        </w:tc>
        <w:tc>
          <w:tcPr>
            <w:tcW w:w="2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sz w:val="22"/>
                <w:szCs w:val="22"/>
              </w:rPr>
              <w:t>Alto</w:t>
            </w:r>
          </w:p>
        </w:tc>
      </w:tr>
      <w:tr>
        <w:trPr/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b w:val="false"/>
                <w:bCs w:val="false"/>
                <w:sz w:val="22"/>
                <w:szCs w:val="22"/>
              </w:rPr>
              <w:t>Empresa com problemas na documentação exigida para a contratação</w:t>
            </w:r>
          </w:p>
        </w:tc>
        <w:tc>
          <w:tcPr>
            <w:tcW w:w="283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sz w:val="22"/>
                <w:szCs w:val="22"/>
              </w:rPr>
              <w:t>Baixa</w:t>
            </w:r>
          </w:p>
        </w:tc>
        <w:tc>
          <w:tcPr>
            <w:tcW w:w="2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sz w:val="22"/>
                <w:szCs w:val="22"/>
              </w:rPr>
              <w:t>Médio</w:t>
            </w:r>
          </w:p>
        </w:tc>
      </w:tr>
      <w:tr>
        <w:trPr/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sz w:val="22"/>
                <w:szCs w:val="22"/>
              </w:rPr>
              <w:t>Descumprimento contratual por parte da contratada</w:t>
            </w:r>
          </w:p>
        </w:tc>
        <w:tc>
          <w:tcPr>
            <w:tcW w:w="283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sz w:val="22"/>
                <w:szCs w:val="22"/>
              </w:rPr>
              <w:t>Baixa</w:t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sz w:val="22"/>
                <w:szCs w:val="22"/>
              </w:rPr>
              <w:t>Alto</w:t>
            </w:r>
          </w:p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tab/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widowControl/>
        <w:suppressAutoHyphens w:val="true"/>
        <w:bidi w:val="0"/>
        <w:spacing w:lineRule="auto" w:line="276" w:before="0" w:after="60"/>
        <w:ind w:left="0" w:right="0" w:hanging="0"/>
        <w:jc w:val="both"/>
        <w:rPr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widowControl/>
        <w:suppressAutoHyphens w:val="true"/>
        <w:bidi w:val="0"/>
        <w:spacing w:lineRule="auto" w:line="276" w:before="0" w:after="60"/>
        <w:ind w:left="0" w:right="0" w:hanging="0"/>
        <w:jc w:val="both"/>
        <w:rPr>
          <w:rFonts w:ascii="Calibri" w:hAnsi="Calibri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t>Tendo em vista que o mapeamento de riscos descreverá e avaliar as ameaças que possam vir a comprometer o sucesso e o objetivo da contratação, bem como definir de que formas devem ser tratadas, ela permeará todo processo de Contratação.</w:t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Calibri" w:hAnsi="Calibri"/>
          <w:b/>
          <w:b/>
          <w:bCs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highlight w:val="none"/>
          <w:shd w:fill="DDDDDD" w:val="clear"/>
        </w:rPr>
      </w:pPr>
      <w:r>
        <w:rPr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DDDDDD" w:val="clear"/>
          <w:em w:val="none"/>
        </w:rPr>
        <w:t>RISCOS DO PROCESSO DE CONTRATAÇÃO E DA EXECUÇÃO</w:t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Calibri" w:hAnsi="Calibri"/>
          <w:b/>
          <w:b/>
          <w:bCs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tbl>
      <w:tblPr>
        <w:tblW w:w="9514" w:type="dxa"/>
        <w:jc w:val="left"/>
        <w:tblInd w:w="12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744"/>
        <w:gridCol w:w="528"/>
        <w:gridCol w:w="1107"/>
        <w:gridCol w:w="5321"/>
        <w:gridCol w:w="1813"/>
      </w:tblGrid>
      <w:tr>
        <w:trPr>
          <w:trHeight w:val="621" w:hRule="atLeast"/>
        </w:trPr>
        <w:tc>
          <w:tcPr>
            <w:tcW w:w="7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lineRule="auto" w:line="276" w:before="76" w:after="0"/>
              <w:ind w:left="254" w:right="102" w:hanging="140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Risco </w:t>
            </w:r>
            <w:r>
              <w:rPr>
                <w:b/>
                <w:spacing w:val="-6"/>
                <w:sz w:val="24"/>
              </w:rPr>
              <w:t>01</w:t>
            </w:r>
          </w:p>
        </w:tc>
        <w:tc>
          <w:tcPr>
            <w:tcW w:w="16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6" w:after="0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Risco:</w:t>
            </w:r>
          </w:p>
        </w:tc>
        <w:tc>
          <w:tcPr>
            <w:tcW w:w="7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Atraso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no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processo administrativo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de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contratação.</w:t>
            </w:r>
          </w:p>
        </w:tc>
      </w:tr>
      <w:tr>
        <w:trPr>
          <w:trHeight w:val="445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Probabilidade:</w:t>
            </w:r>
          </w:p>
        </w:tc>
        <w:tc>
          <w:tcPr>
            <w:tcW w:w="7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sz w:val="24"/>
              </w:rPr>
            </w:pPr>
            <w:r>
              <w:rPr/>
              <w:t xml:space="preserve"> </w:t>
            </w:r>
            <w:r>
              <w:rPr/>
              <w:t>Baixa</w:t>
            </w:r>
          </w:p>
        </w:tc>
      </w:tr>
      <w:tr>
        <w:trPr>
          <w:trHeight w:val="450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Impacto:</w:t>
            </w:r>
          </w:p>
        </w:tc>
        <w:tc>
          <w:tcPr>
            <w:tcW w:w="7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sz w:val="24"/>
              </w:rPr>
            </w:pPr>
            <w:r>
              <w:rPr/>
              <w:t xml:space="preserve"> </w:t>
            </w:r>
            <w:r>
              <w:rPr/>
              <w:t>Alto</w:t>
            </w:r>
          </w:p>
        </w:tc>
      </w:tr>
      <w:tr>
        <w:trPr>
          <w:trHeight w:val="804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244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 xml:space="preserve">Dano </w:t>
            </w:r>
            <w:r>
              <w:rPr>
                <w:b/>
                <w:spacing w:val="-5"/>
                <w:sz w:val="24"/>
              </w:rPr>
              <w:t>1:</w:t>
            </w:r>
          </w:p>
        </w:tc>
        <w:tc>
          <w:tcPr>
            <w:tcW w:w="7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rFonts w:ascii="Calibri" w:hAnsi="Calibri"/>
              </w:rPr>
            </w:pPr>
            <w:r>
              <w:rPr/>
              <w:t xml:space="preserve"> </w:t>
            </w:r>
            <w:r>
              <w:rPr/>
              <w:t>Adiamento ou cancelamento do evento, além de desgaste da imagem afetando a reputação da eficiência perante as contratadas.</w:t>
            </w:r>
          </w:p>
        </w:tc>
      </w:tr>
      <w:tr>
        <w:trPr>
          <w:trHeight w:val="503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6" w:after="0"/>
              <w:ind w:left="115" w:right="0" w:hanging="0"/>
              <w:rPr>
                <w:b/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Id</w:t>
            </w:r>
          </w:p>
        </w:tc>
        <w:tc>
          <w:tcPr>
            <w:tcW w:w="6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6" w:after="0"/>
              <w:ind w:left="7" w:right="1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 xml:space="preserve">Ação </w:t>
            </w:r>
            <w:r>
              <w:rPr>
                <w:b/>
                <w:spacing w:val="-2"/>
                <w:sz w:val="24"/>
              </w:rPr>
              <w:t>Preventiva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6" w:after="0"/>
              <w:ind w:left="11" w:right="133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Responsável</w:t>
            </w:r>
          </w:p>
        </w:tc>
      </w:tr>
      <w:tr>
        <w:trPr>
          <w:trHeight w:val="740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65" w:right="0" w:hanging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6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rFonts w:ascii="Calibri" w:hAnsi="Calibri"/>
              </w:rPr>
            </w:pPr>
            <w:r>
              <w:rPr/>
              <w:t>Abertura de processo devidamente com tempo suficiente para tramitar em todas as secretarias pertinentes.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jc w:val="center"/>
              <w:rPr/>
            </w:pPr>
            <w:r>
              <w:rPr/>
              <w:t>SEDTUR</w:t>
            </w:r>
          </w:p>
        </w:tc>
      </w:tr>
      <w:tr>
        <w:trPr>
          <w:trHeight w:val="514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6" w:after="0"/>
              <w:ind w:left="115" w:right="0" w:hanging="0"/>
              <w:rPr>
                <w:b/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Id</w:t>
            </w:r>
          </w:p>
        </w:tc>
        <w:tc>
          <w:tcPr>
            <w:tcW w:w="6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6" w:after="0"/>
              <w:ind w:left="7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Ação 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Contingência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6" w:after="0"/>
              <w:ind w:left="11" w:right="133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Responsável</w:t>
            </w:r>
          </w:p>
        </w:tc>
      </w:tr>
      <w:tr>
        <w:trPr>
          <w:trHeight w:val="522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ind w:left="165" w:right="0" w:hanging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6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rFonts w:ascii="Calibri" w:hAnsi="Calibri"/>
              </w:rPr>
            </w:pPr>
            <w:r>
              <w:rPr/>
              <w:t>Processo devidamente instruído.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jc w:val="center"/>
              <w:rPr/>
            </w:pPr>
            <w:r>
              <w:rPr/>
              <w:t>SEDTUR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/>
          <w:b/>
          <w:bCs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  <w:t xml:space="preserve"> </w:t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/>
          <w:b/>
          <w:bCs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tbl>
      <w:tblPr>
        <w:tblW w:w="9514" w:type="dxa"/>
        <w:jc w:val="left"/>
        <w:tblInd w:w="12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744"/>
        <w:gridCol w:w="528"/>
        <w:gridCol w:w="1224"/>
        <w:gridCol w:w="5204"/>
        <w:gridCol w:w="1813"/>
      </w:tblGrid>
      <w:tr>
        <w:trPr>
          <w:trHeight w:val="616" w:hRule="atLeast"/>
        </w:trPr>
        <w:tc>
          <w:tcPr>
            <w:tcW w:w="7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0" w:after="0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pacing w:before="30" w:after="0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pacing w:lineRule="auto" w:line="276" w:before="0" w:after="0"/>
              <w:ind w:left="254" w:right="102" w:hanging="140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Risco </w:t>
            </w:r>
            <w:r>
              <w:rPr>
                <w:b/>
                <w:spacing w:val="-6"/>
                <w:sz w:val="24"/>
              </w:rPr>
              <w:t>02</w:t>
            </w:r>
          </w:p>
        </w:tc>
        <w:tc>
          <w:tcPr>
            <w:tcW w:w="17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Risco:</w:t>
            </w:r>
          </w:p>
        </w:tc>
        <w:tc>
          <w:tcPr>
            <w:tcW w:w="70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sz w:val="24"/>
              </w:rPr>
            </w:pPr>
            <w:r>
              <w:rPr/>
              <w:t xml:space="preserve"> </w:t>
            </w:r>
            <w:r>
              <w:rPr/>
              <w:t>Ausência de recursos orçamentários ou financeiros</w:t>
            </w:r>
          </w:p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614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6" w:after="0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Probabilidade:</w:t>
            </w:r>
          </w:p>
        </w:tc>
        <w:tc>
          <w:tcPr>
            <w:tcW w:w="70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sz w:val="24"/>
              </w:rPr>
            </w:pPr>
            <w:r>
              <w:rPr>
                <w:spacing w:val="-2"/>
                <w:sz w:val="22"/>
                <w:szCs w:val="22"/>
              </w:rPr>
              <w:t>Baixa</w:t>
            </w:r>
          </w:p>
        </w:tc>
      </w:tr>
      <w:tr>
        <w:trPr>
          <w:trHeight w:val="614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Impacto:</w:t>
            </w:r>
          </w:p>
        </w:tc>
        <w:tc>
          <w:tcPr>
            <w:tcW w:w="70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sz w:val="24"/>
              </w:rPr>
            </w:pPr>
            <w:r>
              <w:rPr/>
              <w:t>Alto</w:t>
            </w:r>
          </w:p>
        </w:tc>
      </w:tr>
      <w:tr>
        <w:trPr>
          <w:trHeight w:val="636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246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 xml:space="preserve">Dano </w:t>
            </w:r>
            <w:r>
              <w:rPr>
                <w:b/>
                <w:spacing w:val="-5"/>
                <w:sz w:val="24"/>
              </w:rPr>
              <w:t>1:</w:t>
            </w:r>
          </w:p>
        </w:tc>
        <w:tc>
          <w:tcPr>
            <w:tcW w:w="70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rFonts w:ascii="Calibri" w:hAnsi="Calibri"/>
              </w:rPr>
            </w:pPr>
            <w:r>
              <w:rPr/>
              <w:t>Impossibilidade e/ou atraso na contratação do serviço.</w:t>
            </w:r>
          </w:p>
        </w:tc>
      </w:tr>
      <w:tr>
        <w:trPr>
          <w:trHeight w:val="514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ind w:left="115" w:right="0" w:hanging="0"/>
              <w:rPr>
                <w:b/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Id</w:t>
            </w:r>
          </w:p>
        </w:tc>
        <w:tc>
          <w:tcPr>
            <w:tcW w:w="6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ind w:left="7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Ação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Preventiva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ind w:left="219" w:right="0" w:hanging="0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Responsável</w:t>
            </w:r>
          </w:p>
        </w:tc>
      </w:tr>
      <w:tr>
        <w:trPr>
          <w:trHeight w:val="621" w:hRule="atLeast"/>
        </w:trPr>
        <w:tc>
          <w:tcPr>
            <w:tcW w:w="7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0" w:after="0"/>
              <w:ind w:left="0" w:right="0" w:hang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65" w:right="0" w:hanging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6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rFonts w:ascii="Calibri" w:hAnsi="Calibri"/>
              </w:rPr>
            </w:pPr>
            <w:bookmarkStart w:id="18" w:name="page20R_mcid761"/>
            <w:bookmarkEnd w:id="18"/>
            <w:r>
              <w:rPr/>
              <w:t>Reservar dotação orçamentária adequada.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jc w:val="center"/>
              <w:rPr/>
            </w:pPr>
            <w:r>
              <w:rPr/>
              <w:t>SEMFAZ</w:t>
            </w:r>
          </w:p>
        </w:tc>
      </w:tr>
      <w:tr>
        <w:trPr>
          <w:trHeight w:val="461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6" w:after="0"/>
              <w:ind w:left="115" w:right="0" w:hanging="0"/>
              <w:rPr>
                <w:b/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Id</w:t>
            </w:r>
          </w:p>
        </w:tc>
        <w:tc>
          <w:tcPr>
            <w:tcW w:w="6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6" w:after="0"/>
              <w:ind w:left="7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Ação 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Contingência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6" w:after="0"/>
              <w:ind w:left="11" w:right="133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Responsável</w:t>
            </w:r>
          </w:p>
        </w:tc>
      </w:tr>
      <w:tr>
        <w:trPr>
          <w:trHeight w:val="953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47" w:after="0"/>
              <w:ind w:left="165" w:right="0" w:hanging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6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rFonts w:ascii="Calibri" w:hAnsi="Calibri"/>
              </w:rPr>
            </w:pPr>
            <w:bookmarkStart w:id="19" w:name="page20R_mcid851"/>
            <w:bookmarkEnd w:id="19"/>
            <w:r>
              <w:rPr>
                <w:sz w:val="22"/>
                <w:szCs w:val="22"/>
              </w:rPr>
              <w:t xml:space="preserve">Realizar </w:t>
            </w:r>
            <w:r>
              <w:rPr>
                <w:sz w:val="22"/>
                <w:szCs w:val="22"/>
                <w:lang w:val="pt-BR" w:eastAsia="en-US" w:bidi="ar-SA"/>
              </w:rPr>
              <w:t>planejamento</w:t>
            </w:r>
            <w:r>
              <w:rPr>
                <w:sz w:val="22"/>
                <w:szCs w:val="22"/>
              </w:rPr>
              <w:t xml:space="preserve"> orçamentário a fim de realizar a contratação do serviço pretendido.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jc w:val="center"/>
              <w:rPr/>
            </w:pPr>
            <w:r>
              <w:rPr/>
              <w:t>SEGEP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/>
          <w:b/>
          <w:bCs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/>
          <w:b/>
          <w:bCs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tbl>
      <w:tblPr>
        <w:tblW w:w="9514" w:type="dxa"/>
        <w:jc w:val="left"/>
        <w:tblInd w:w="12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744"/>
        <w:gridCol w:w="528"/>
        <w:gridCol w:w="1154"/>
        <w:gridCol w:w="5274"/>
        <w:gridCol w:w="1813"/>
      </w:tblGrid>
      <w:tr>
        <w:trPr>
          <w:trHeight w:val="614" w:hRule="atLeast"/>
        </w:trPr>
        <w:tc>
          <w:tcPr>
            <w:tcW w:w="7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lineRule="auto" w:line="276" w:before="76" w:after="0"/>
              <w:ind w:left="254" w:right="102" w:hanging="140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Risco </w:t>
            </w:r>
            <w:r>
              <w:rPr>
                <w:b/>
                <w:spacing w:val="-6"/>
                <w:sz w:val="24"/>
              </w:rPr>
              <w:t>03</w:t>
            </w:r>
          </w:p>
        </w:tc>
        <w:tc>
          <w:tcPr>
            <w:tcW w:w="1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6" w:after="0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Risco: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rFonts w:ascii="Calibri" w:hAnsi="Calibri"/>
                <w:b w:val="false"/>
                <w:b w:val="false"/>
                <w:bCs w:val="false"/>
              </w:rPr>
            </w:pPr>
            <w:r>
              <w:rPr/>
              <w:t>Empresa com problemas na documentação exigida para a contratação</w:t>
            </w:r>
          </w:p>
        </w:tc>
      </w:tr>
      <w:tr>
        <w:trPr>
          <w:trHeight w:val="614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Probabilidade: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sz w:val="24"/>
              </w:rPr>
            </w:pPr>
            <w:r>
              <w:rPr/>
              <w:t>Baixa</w:t>
            </w:r>
          </w:p>
        </w:tc>
      </w:tr>
      <w:tr>
        <w:trPr>
          <w:trHeight w:val="617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9" w:after="0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Impacto: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sz w:val="24"/>
              </w:rPr>
            </w:pPr>
            <w:r>
              <w:rPr/>
              <w:t>Médio</w:t>
            </w:r>
          </w:p>
        </w:tc>
      </w:tr>
      <w:tr>
        <w:trPr>
          <w:trHeight w:val="614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6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 xml:space="preserve">Dano </w:t>
            </w:r>
            <w:r>
              <w:rPr>
                <w:b/>
                <w:spacing w:val="-5"/>
                <w:sz w:val="24"/>
              </w:rPr>
              <w:t>1: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rFonts w:ascii="Calibri" w:hAnsi="Calibri"/>
              </w:rPr>
            </w:pPr>
            <w:r>
              <w:rPr/>
              <w:t>Não contratação do serviço.</w:t>
            </w:r>
          </w:p>
        </w:tc>
      </w:tr>
      <w:tr>
        <w:trPr>
          <w:trHeight w:val="616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ind w:left="115" w:right="0" w:hanging="0"/>
              <w:rPr>
                <w:b/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Id</w:t>
            </w:r>
          </w:p>
        </w:tc>
        <w:tc>
          <w:tcPr>
            <w:tcW w:w="6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ind w:left="7" w:right="1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 xml:space="preserve">Ação </w:t>
            </w:r>
            <w:r>
              <w:rPr>
                <w:b/>
                <w:spacing w:val="-2"/>
                <w:sz w:val="24"/>
              </w:rPr>
              <w:t>Preventiva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ind w:left="11" w:right="133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Responsável</w:t>
            </w:r>
          </w:p>
        </w:tc>
      </w:tr>
      <w:tr>
        <w:trPr>
          <w:trHeight w:val="950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44" w:after="0"/>
              <w:ind w:left="165" w:right="0" w:hanging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6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rFonts w:ascii="Calibri" w:hAnsi="Calibri"/>
              </w:rPr>
            </w:pPr>
            <w:r>
              <w:rPr/>
              <w:t>Exigência de documentos atualizados sob pena de</w:t>
              <w:br/>
              <w:t>não contratação do serviço.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jc w:val="center"/>
              <w:rPr/>
            </w:pPr>
            <w:r>
              <w:rPr/>
              <w:t>SEDTUR</w:t>
            </w:r>
          </w:p>
        </w:tc>
      </w:tr>
      <w:tr>
        <w:trPr>
          <w:trHeight w:val="616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ind w:left="115" w:right="0" w:hanging="0"/>
              <w:rPr>
                <w:b/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Id</w:t>
            </w:r>
          </w:p>
        </w:tc>
        <w:tc>
          <w:tcPr>
            <w:tcW w:w="6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ind w:left="7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Ação 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Contingência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ind w:left="11" w:right="133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Responsável</w:t>
            </w:r>
          </w:p>
        </w:tc>
      </w:tr>
      <w:tr>
        <w:trPr>
          <w:trHeight w:val="950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44" w:after="0"/>
              <w:ind w:left="165" w:right="0" w:hanging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6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rFonts w:ascii="Calibri" w:hAnsi="Calibri"/>
              </w:rPr>
            </w:pPr>
            <w:r>
              <w:rPr>
                <w:spacing w:val="-2"/>
                <w:sz w:val="22"/>
                <w:szCs w:val="22"/>
              </w:rPr>
              <w:t xml:space="preserve">Não contratação do serviço com a </w:t>
            </w:r>
            <w:r>
              <w:rPr>
                <w:spacing w:val="-2"/>
                <w:sz w:val="22"/>
                <w:szCs w:val="22"/>
                <w:lang w:val="pt-BR" w:eastAsia="en-US" w:bidi="ar-SA"/>
              </w:rPr>
              <w:t>respectiva</w:t>
            </w:r>
            <w:r>
              <w:rPr>
                <w:spacing w:val="-2"/>
                <w:sz w:val="22"/>
                <w:szCs w:val="22"/>
              </w:rPr>
              <w:br/>
              <w:t>empresa.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jc w:val="center"/>
              <w:rPr/>
            </w:pPr>
            <w:r>
              <w:rPr/>
              <w:t>SEMACI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/>
          <w:b/>
          <w:bCs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/>
          <w:b/>
          <w:bCs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tbl>
      <w:tblPr>
        <w:tblW w:w="9514" w:type="dxa"/>
        <w:jc w:val="left"/>
        <w:tblInd w:w="12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744"/>
        <w:gridCol w:w="528"/>
        <w:gridCol w:w="1150"/>
        <w:gridCol w:w="5278"/>
        <w:gridCol w:w="1813"/>
      </w:tblGrid>
      <w:tr>
        <w:trPr>
          <w:trHeight w:val="616" w:hRule="atLeast"/>
        </w:trPr>
        <w:tc>
          <w:tcPr>
            <w:tcW w:w="7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lineRule="auto" w:line="276" w:before="78" w:after="0"/>
              <w:ind w:left="254" w:right="102" w:hanging="140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Risco </w:t>
            </w:r>
            <w:r>
              <w:rPr>
                <w:b/>
                <w:spacing w:val="-6"/>
                <w:sz w:val="24"/>
              </w:rPr>
              <w:t>04</w:t>
            </w:r>
          </w:p>
        </w:tc>
        <w:tc>
          <w:tcPr>
            <w:tcW w:w="1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Risco:</w:t>
            </w:r>
          </w:p>
        </w:tc>
        <w:tc>
          <w:tcPr>
            <w:tcW w:w="70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rFonts w:ascii="Calibri" w:hAnsi="Calibri"/>
                <w:b w:val="false"/>
                <w:b w:val="false"/>
                <w:bCs w:val="false"/>
              </w:rPr>
            </w:pPr>
            <w:r>
              <w:rPr/>
              <w:t>Descumprimento contratual por parte da contratada.</w:t>
            </w:r>
          </w:p>
        </w:tc>
      </w:tr>
      <w:tr>
        <w:trPr>
          <w:trHeight w:val="614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6" w:after="0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Probabilidade:</w:t>
            </w:r>
          </w:p>
        </w:tc>
        <w:tc>
          <w:tcPr>
            <w:tcW w:w="70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sz w:val="24"/>
              </w:rPr>
            </w:pPr>
            <w:r>
              <w:rPr/>
              <w:t>Baixa</w:t>
            </w:r>
          </w:p>
        </w:tc>
      </w:tr>
      <w:tr>
        <w:trPr>
          <w:trHeight w:val="614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Impacto:</w:t>
            </w:r>
          </w:p>
        </w:tc>
        <w:tc>
          <w:tcPr>
            <w:tcW w:w="70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sz w:val="24"/>
              </w:rPr>
            </w:pPr>
            <w:r>
              <w:rPr/>
              <w:t>Alto</w:t>
            </w:r>
          </w:p>
        </w:tc>
      </w:tr>
      <w:tr>
        <w:trPr>
          <w:trHeight w:val="931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 xml:space="preserve">Dano </w:t>
            </w:r>
            <w:r>
              <w:rPr>
                <w:b/>
                <w:spacing w:val="-5"/>
                <w:sz w:val="24"/>
              </w:rPr>
              <w:t>1:</w:t>
            </w:r>
          </w:p>
        </w:tc>
        <w:tc>
          <w:tcPr>
            <w:tcW w:w="70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rFonts w:ascii="Calibri" w:hAnsi="Calibri"/>
              </w:rPr>
            </w:pPr>
            <w:r>
              <w:rPr>
                <w:spacing w:val="-2"/>
                <w:sz w:val="22"/>
                <w:szCs w:val="22"/>
              </w:rPr>
              <w:t xml:space="preserve">Comprometimento em diversos </w:t>
            </w:r>
            <w:r>
              <w:rPr>
                <w:spacing w:val="-2"/>
                <w:sz w:val="22"/>
                <w:szCs w:val="22"/>
                <w:lang w:val="pt-BR" w:eastAsia="en-US" w:bidi="ar-SA"/>
              </w:rPr>
              <w:t>aspectos</w:t>
            </w:r>
            <w:r>
              <w:rPr>
                <w:spacing w:val="-2"/>
                <w:sz w:val="22"/>
                <w:szCs w:val="22"/>
              </w:rPr>
              <w:t xml:space="preserve"> do evento, podendo inclusive resultar no cancelamento do mesmo.</w:t>
            </w:r>
          </w:p>
        </w:tc>
      </w:tr>
      <w:tr>
        <w:trPr>
          <w:trHeight w:val="614" w:hRule="atLeast"/>
        </w:trPr>
        <w:tc>
          <w:tcPr>
            <w:tcW w:w="7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ind w:left="115" w:right="0" w:hanging="0"/>
              <w:rPr>
                <w:b/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Id</w:t>
            </w:r>
          </w:p>
        </w:tc>
        <w:tc>
          <w:tcPr>
            <w:tcW w:w="6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ind w:left="7" w:right="1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 xml:space="preserve">Ação </w:t>
            </w:r>
            <w:r>
              <w:rPr>
                <w:b/>
                <w:spacing w:val="-2"/>
                <w:sz w:val="24"/>
              </w:rPr>
              <w:t>Preventiva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ind w:left="11" w:right="133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Responsável</w:t>
            </w:r>
          </w:p>
        </w:tc>
      </w:tr>
      <w:tr>
        <w:trPr>
          <w:trHeight w:val="972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21" w:after="0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pacing w:before="0" w:after="0"/>
              <w:ind w:left="165" w:right="0" w:hanging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6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rFonts w:ascii="Calibri" w:hAnsi="Calibri"/>
              </w:rPr>
            </w:pPr>
            <w:r>
              <w:rPr/>
            </w:r>
          </w:p>
          <w:p>
            <w:pPr>
              <w:pStyle w:val="TableParagraph"/>
              <w:widowControl w:val="false"/>
              <w:rPr>
                <w:rFonts w:ascii="Calibri" w:hAnsi="Calibri"/>
              </w:rPr>
            </w:pPr>
            <w:r>
              <w:rPr/>
              <w:t>Definir punição no contrato para empresa.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jc w:val="center"/>
              <w:rPr/>
            </w:pPr>
            <w:r>
              <w:rPr/>
            </w:r>
          </w:p>
          <w:p>
            <w:pPr>
              <w:pStyle w:val="TableParagraph"/>
              <w:widowControl w:val="false"/>
              <w:jc w:val="center"/>
              <w:rPr/>
            </w:pPr>
            <w:r>
              <w:rPr/>
              <w:t>PGM</w:t>
            </w:r>
          </w:p>
        </w:tc>
      </w:tr>
      <w:tr>
        <w:trPr>
          <w:trHeight w:val="616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ind w:left="115" w:right="0" w:hanging="0"/>
              <w:rPr>
                <w:b/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Id</w:t>
            </w:r>
          </w:p>
        </w:tc>
        <w:tc>
          <w:tcPr>
            <w:tcW w:w="6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ind w:left="7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Ação 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Contingência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TableParagraph"/>
              <w:widowControl w:val="false"/>
              <w:spacing w:before="78" w:after="0"/>
              <w:ind w:left="11" w:right="133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Responsável</w:t>
            </w:r>
          </w:p>
        </w:tc>
      </w:tr>
      <w:tr>
        <w:trPr>
          <w:trHeight w:val="614" w:hRule="atLeast"/>
        </w:trPr>
        <w:tc>
          <w:tcPr>
            <w:tcW w:w="74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DEDED" w:val="clear"/>
          </w:tcPr>
          <w:p>
            <w:pPr>
              <w:pStyle w:val="Normal"/>
              <w:widowControl w:val="false"/>
              <w:spacing w:before="0" w:after="16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6" w:after="0"/>
              <w:ind w:left="165" w:right="0" w:hanging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6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rFonts w:ascii="Calibri" w:hAnsi="Calibri"/>
              </w:rPr>
            </w:pPr>
            <w:r>
              <w:rPr/>
              <w:t>Realizar reunião inicial do contrato para clareza acerca da prestação do serviço.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jc w:val="center"/>
              <w:rPr/>
            </w:pPr>
            <w:r>
              <w:rPr/>
              <w:t>SEDTUR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/>
          <w:b/>
          <w:bCs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/>
          <w:b/>
          <w:bCs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/>
          <w:b/>
          <w:bCs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/>
          <w:b/>
          <w:bCs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/>
          <w:b/>
          <w:bCs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widowControl/>
        <w:suppressAutoHyphens w:val="true"/>
        <w:bidi w:val="0"/>
        <w:spacing w:lineRule="auto" w:line="259" w:before="0" w:after="60"/>
        <w:ind w:left="0" w:right="0" w:hanging="0"/>
        <w:jc w:val="both"/>
        <w:rPr>
          <w:rFonts w:ascii="Arial" w:hAnsi="Arial"/>
          <w:b/>
          <w:b/>
          <w:bCs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pP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em w:val="none"/>
        </w:rPr>
      </w:r>
    </w:p>
    <w:p>
      <w:pPr>
        <w:pStyle w:val="Normal"/>
        <w:rPr/>
      </w:pPr>
      <w:r>
        <w:rPr/>
      </w:r>
    </w:p>
    <w:tbl>
      <w:tblPr>
        <w:tblW w:w="9011" w:type="dxa"/>
        <w:jc w:val="left"/>
        <w:tblInd w:w="26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649"/>
        <w:gridCol w:w="4361"/>
      </w:tblGrid>
      <w:tr>
        <w:trPr/>
        <w:tc>
          <w:tcPr>
            <w:tcW w:w="4649" w:type="dxa"/>
            <w:tcBorders>
              <w:top w:val="single" w:sz="2" w:space="0" w:color="000000"/>
              <w:left w:val="single" w:sz="2" w:space="0" w:color="000000"/>
            </w:tcBorders>
            <w:shd w:fill="EEEEEE" w:val="clear"/>
          </w:tcPr>
          <w:p>
            <w:pPr>
              <w:pStyle w:val="TableParagraph"/>
              <w:widowControl w:val="false"/>
              <w:spacing w:before="78" w:after="0"/>
              <w:jc w:val="center"/>
              <w:rPr>
                <w:b/>
                <w:b/>
                <w:bCs/>
              </w:rPr>
            </w:pPr>
            <w:bookmarkStart w:id="20" w:name="_GoBack"/>
            <w:bookmarkEnd w:id="20"/>
            <w:r>
              <w:rPr>
                <w:b/>
                <w:bCs/>
              </w:rPr>
              <w:t>INTEGRANTE TÉCNICO</w:t>
            </w:r>
          </w:p>
        </w:tc>
        <w:tc>
          <w:tcPr>
            <w:tcW w:w="43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fill="EEEEEE" w:val="clear"/>
          </w:tcPr>
          <w:p>
            <w:pPr>
              <w:pStyle w:val="TableParagraph"/>
              <w:widowControl w:val="false"/>
              <w:spacing w:before="78" w:after="0"/>
              <w:jc w:val="center"/>
              <w:rPr/>
            </w:pPr>
            <w:r>
              <w:rPr/>
              <w:t>I</w:t>
            </w:r>
            <w:r>
              <w:rPr>
                <w:b/>
                <w:bCs/>
              </w:rPr>
              <w:t>NTEGRANTE REQUISITANTE</w:t>
            </w:r>
          </w:p>
        </w:tc>
      </w:tr>
      <w:tr>
        <w:trPr>
          <w:trHeight w:val="2358" w:hRule="atLeast"/>
        </w:trPr>
        <w:tc>
          <w:tcPr>
            <w:tcW w:w="4649" w:type="dxa"/>
            <w:tcBorders>
              <w:left w:val="single" w:sz="2" w:space="0" w:color="000000"/>
              <w:bottom w:val="single" w:sz="2" w:space="0" w:color="000000"/>
            </w:tcBorders>
            <w:shd w:fill="FFFFFF" w:val="clear"/>
          </w:tcPr>
          <w:p>
            <w:pPr>
              <w:pStyle w:val="TableParagraph"/>
              <w:widowControl w:val="false"/>
              <w:spacing w:before="78" w:after="0"/>
              <w:jc w:val="center"/>
              <w:rPr/>
            </w:pPr>
            <w:r>
              <w:rPr/>
            </w:r>
          </w:p>
          <w:p>
            <w:pPr>
              <w:pStyle w:val="TableParagraph"/>
              <w:widowControl w:val="false"/>
              <w:jc w:val="center"/>
              <w:rPr/>
            </w:pPr>
            <w:r>
              <w:rPr/>
              <w:t>_____________________________</w:t>
            </w:r>
          </w:p>
          <w:p>
            <w:pPr>
              <w:pStyle w:val="TableParagraph"/>
              <w:widowControl w:val="false"/>
              <w:jc w:val="center"/>
              <w:rPr/>
            </w:pPr>
            <w:r>
              <w:rPr/>
              <w:t>Melina Olga de Araújo</w:t>
            </w:r>
          </w:p>
          <w:p>
            <w:pPr>
              <w:pStyle w:val="TableParagraph"/>
              <w:widowControl w:val="false"/>
              <w:jc w:val="center"/>
              <w:rPr/>
            </w:pPr>
            <w:r>
              <w:rPr>
                <w:rFonts w:cs="Arial"/>
                <w:b/>
                <w:bCs/>
                <w:sz w:val="22"/>
                <w:szCs w:val="22"/>
                <w:shd w:fill="auto" w:val="clear"/>
              </w:rPr>
              <w:t>Matrícula:</w:t>
            </w:r>
            <w:r>
              <w:rPr>
                <w:rFonts w:cs="Arial"/>
                <w:bCs/>
                <w:sz w:val="22"/>
                <w:szCs w:val="22"/>
                <w:shd w:fill="auto" w:val="clear"/>
              </w:rPr>
              <w:t xml:space="preserve"> 6501-3</w:t>
            </w:r>
          </w:p>
          <w:p>
            <w:pPr>
              <w:pStyle w:val="TableParagraph"/>
              <w:widowControl w:val="false"/>
              <w:jc w:val="center"/>
              <w:rPr/>
            </w:pPr>
            <w:r>
              <w:rPr/>
              <w:t>Rio das Ostras, 1</w:t>
            </w:r>
            <w:r>
              <w:rPr/>
              <w:t>8</w:t>
            </w:r>
            <w:r>
              <w:rPr/>
              <w:t xml:space="preserve"> de janeiro de 2024</w:t>
            </w:r>
          </w:p>
        </w:tc>
        <w:tc>
          <w:tcPr>
            <w:tcW w:w="4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TableParagraph"/>
              <w:widowControl w:val="false"/>
              <w:spacing w:before="78" w:after="0"/>
              <w:jc w:val="center"/>
              <w:rPr/>
            </w:pPr>
            <w:r>
              <w:rPr/>
            </w:r>
          </w:p>
          <w:p>
            <w:pPr>
              <w:pStyle w:val="TableParagraph"/>
              <w:widowControl w:val="false"/>
              <w:jc w:val="center"/>
              <w:rPr/>
            </w:pPr>
            <w:r>
              <w:rPr/>
              <w:t>______________________________</w:t>
            </w:r>
          </w:p>
          <w:p>
            <w:pPr>
              <w:pStyle w:val="TableParagraph"/>
              <w:widowControl w:val="false"/>
              <w:jc w:val="center"/>
              <w:rPr/>
            </w:pPr>
            <w:r>
              <w:rPr/>
              <w:t>Igor Risperi Gonçalves</w:t>
            </w:r>
          </w:p>
          <w:p>
            <w:pPr>
              <w:pStyle w:val="TableParagraph"/>
              <w:widowControl w:val="false"/>
              <w:jc w:val="center"/>
              <w:rPr/>
            </w:pPr>
            <w:r>
              <w:rPr>
                <w:rFonts w:cs="Arial"/>
                <w:b/>
                <w:bCs/>
                <w:sz w:val="22"/>
                <w:szCs w:val="22"/>
                <w:shd w:fill="auto" w:val="clear"/>
              </w:rPr>
              <w:t xml:space="preserve">Matrícula: </w:t>
            </w:r>
            <w:r>
              <w:rPr>
                <w:rFonts w:cs="Arial"/>
                <w:b w:val="false"/>
                <w:bCs w:val="false"/>
                <w:sz w:val="22"/>
                <w:szCs w:val="22"/>
                <w:shd w:fill="auto" w:val="clear"/>
              </w:rPr>
              <w:t>15646-9</w:t>
            </w:r>
          </w:p>
          <w:p>
            <w:pPr>
              <w:pStyle w:val="TableParagraph"/>
              <w:widowControl w:val="false"/>
              <w:jc w:val="center"/>
              <w:rPr/>
            </w:pPr>
            <w:r>
              <w:rPr>
                <w:rFonts w:cs="Arial"/>
                <w:sz w:val="22"/>
                <w:szCs w:val="22"/>
                <w:shd w:fill="auto" w:val="clear"/>
              </w:rPr>
              <w:t>Rio das Ostras, 1</w:t>
            </w:r>
            <w:r>
              <w:rPr>
                <w:rFonts w:cs="Arial"/>
                <w:sz w:val="22"/>
                <w:szCs w:val="22"/>
                <w:shd w:fill="auto" w:val="clear"/>
              </w:rPr>
              <w:t>8</w:t>
            </w:r>
            <w:r>
              <w:rPr>
                <w:rFonts w:cs="Arial"/>
                <w:sz w:val="22"/>
                <w:szCs w:val="22"/>
                <w:shd w:fill="auto" w:val="clear"/>
              </w:rPr>
              <w:t xml:space="preserve"> de janeiro</w:t>
            </w:r>
            <w:r>
              <w:rPr>
                <w:rFonts w:cs="Arial"/>
                <w:color w:val="000000"/>
                <w:sz w:val="22"/>
                <w:szCs w:val="22"/>
                <w:shd w:fill="auto" w:val="clear"/>
              </w:rPr>
              <w:t xml:space="preserve"> de 2024</w:t>
            </w:r>
          </w:p>
        </w:tc>
      </w:tr>
      <w:tr>
        <w:trPr>
          <w:trHeight w:val="625" w:hRule="atLeast"/>
        </w:trPr>
        <w:tc>
          <w:tcPr>
            <w:tcW w:w="9010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fill="EEEEEE" w:val="clear"/>
          </w:tcPr>
          <w:p>
            <w:pPr>
              <w:pStyle w:val="TableParagraph"/>
              <w:widowControl w:val="false"/>
              <w:spacing w:before="78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AUTORIDADE MÁXIMA REQUISITANTE</w:t>
            </w:r>
          </w:p>
        </w:tc>
      </w:tr>
      <w:tr>
        <w:trPr>
          <w:trHeight w:val="2889" w:hRule="atLeast"/>
        </w:trPr>
        <w:tc>
          <w:tcPr>
            <w:tcW w:w="901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TableParagraph"/>
              <w:widowControl w:val="false"/>
              <w:spacing w:before="78" w:after="0"/>
              <w:jc w:val="center"/>
              <w:rPr/>
            </w:pPr>
            <w:r>
              <w:rPr/>
            </w:r>
          </w:p>
          <w:p>
            <w:pPr>
              <w:pStyle w:val="TableParagraph"/>
              <w:widowControl w:val="false"/>
              <w:jc w:val="center"/>
              <w:rPr/>
            </w:pPr>
            <w:r>
              <w:rPr/>
              <w:t>______________________</w:t>
            </w:r>
          </w:p>
          <w:p>
            <w:pPr>
              <w:pStyle w:val="TableParagraph"/>
              <w:widowControl w:val="false"/>
              <w:jc w:val="center"/>
              <w:rPr/>
            </w:pPr>
            <w:r>
              <w:rPr/>
              <w:t xml:space="preserve">Aurora Cristina </w:t>
            </w:r>
            <w:r>
              <w:rPr>
                <w:lang w:val="pt-BR" w:eastAsia="en-US" w:bidi="ar-SA"/>
              </w:rPr>
              <w:t>Siqueira</w:t>
            </w:r>
            <w:r>
              <w:rPr/>
              <w:t xml:space="preserve"> Ferreira Pereira</w:t>
            </w:r>
          </w:p>
          <w:p>
            <w:pPr>
              <w:pStyle w:val="TableParagraph"/>
              <w:widowControl w:val="false"/>
              <w:jc w:val="center"/>
              <w:rPr/>
            </w:pPr>
            <w:r>
              <w:rPr/>
              <w:t xml:space="preserve">Secretária Municipal de Desenvolvimento </w:t>
            </w:r>
            <w:r>
              <w:rPr>
                <w:lang w:val="pt-BR" w:eastAsia="en-US" w:bidi="ar-SA"/>
              </w:rPr>
              <w:t>Econômico</w:t>
            </w:r>
            <w:r>
              <w:rPr/>
              <w:t xml:space="preserve"> e Turismo</w:t>
            </w:r>
          </w:p>
          <w:p>
            <w:pPr>
              <w:pStyle w:val="TableParagraph"/>
              <w:widowControl w:val="false"/>
              <w:jc w:val="center"/>
              <w:rPr/>
            </w:pPr>
            <w:r>
              <w:rPr>
                <w:b/>
                <w:bCs/>
              </w:rPr>
              <w:t xml:space="preserve">Matrícula: </w:t>
            </w:r>
            <w:r>
              <w:rPr/>
              <w:t>18.321-0</w:t>
            </w:r>
          </w:p>
          <w:p>
            <w:pPr>
              <w:pStyle w:val="TableParagraph"/>
              <w:widowControl w:val="false"/>
              <w:jc w:val="center"/>
              <w:rPr/>
            </w:pPr>
            <w:r>
              <w:rPr/>
            </w:r>
          </w:p>
          <w:p>
            <w:pPr>
              <w:pStyle w:val="TableParagraph"/>
              <w:widowControl w:val="false"/>
              <w:jc w:val="center"/>
              <w:rPr/>
            </w:pPr>
            <w:r>
              <w:rPr/>
              <w:t>Rio das Ostras, 1</w:t>
            </w:r>
            <w:r>
              <w:rPr/>
              <w:t>8</w:t>
            </w:r>
            <w:r>
              <w:rPr/>
              <w:t xml:space="preserve"> de janeiro de 2024</w:t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right"/>
      <w:rPr/>
    </w:pPr>
    <w:r>
      <w:rPr/>
      <w:drawing>
        <wp:inline distT="0" distB="0" distL="0" distR="0">
          <wp:extent cx="4448810" cy="445770"/>
          <wp:effectExtent l="0" t="0" r="0" b="0"/>
          <wp:docPr id="3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0" t="-2074" r="-250" b="-2074"/>
                  <a:stretch>
                    <a:fillRect/>
                  </a:stretch>
                </pic:blipFill>
                <pic:spPr bwMode="auto">
                  <a:xfrm>
                    <a:off x="0" y="0"/>
                    <a:ext cx="4448810" cy="445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w:drawing>
        <wp:inline distT="0" distB="0" distL="0" distR="0">
          <wp:extent cx="5400040" cy="764540"/>
          <wp:effectExtent l="0" t="0" r="0" b="0"/>
          <wp:docPr id="2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64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59" w:before="0" w:after="160"/>
      <w:jc w:val="left"/>
    </w:pPr>
    <w:rPr>
      <w:rFonts w:ascii="Calibri" w:hAnsi="Calibri" w:eastAsia="Calibri" w:cs="Tahoma"/>
      <w:color w:val="auto"/>
      <w:kern w:val="0"/>
      <w:sz w:val="22"/>
      <w:szCs w:val="22"/>
      <w:lang w:val="pt-BR" w:eastAsia="en-US" w:bidi="ar-SA"/>
    </w:rPr>
  </w:style>
  <w:style w:type="character" w:styleId="DefaultParagraphFont">
    <w:name w:val="Default Paragraph Font"/>
    <w:qFormat/>
    <w:rPr/>
  </w:style>
  <w:style w:type="character" w:styleId="CabealhoChar">
    <w:name w:val="Cabeçalho Char"/>
    <w:basedOn w:val="DefaultParagraphFont"/>
    <w:qFormat/>
    <w:rPr/>
  </w:style>
  <w:style w:type="character" w:styleId="RodapChar">
    <w:name w:val="Rodapé Char"/>
    <w:basedOn w:val="DefaultParagraphFont"/>
    <w:qFormat/>
    <w:rPr/>
  </w:style>
  <w:style w:type="character" w:styleId="TextodebaloChar">
    <w:name w:val="Texto de balão Char"/>
    <w:basedOn w:val="DefaultParagraphFont"/>
    <w:link w:val="BalloonText"/>
    <w:qFormat/>
    <w:rPr>
      <w:rFonts w:ascii="Segoe UI" w:hAnsi="Segoe UI" w:cs="Segoe UI"/>
      <w:sz w:val="18"/>
      <w:szCs w:val="18"/>
    </w:rPr>
  </w:style>
  <w:style w:type="character" w:styleId="Caracteresdenotaderodap">
    <w:name w:val="Caracteres de nota de rodapé"/>
    <w:qFormat/>
    <w:rPr/>
  </w:style>
  <w:style w:type="character" w:styleId="Ncoradanotaderodap">
    <w:name w:val="Âncora da nota de rodapé"/>
    <w:rPr>
      <w:vertAlign w:val="superscript"/>
    </w:rPr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Default">
    <w:name w:val="Default"/>
    <w:qFormat/>
    <w:pPr>
      <w:widowControl/>
      <w:suppressAutoHyphens w:val="true"/>
      <w:overflowPunct w:val="false"/>
      <w:bidi w:val="0"/>
      <w:spacing w:lineRule="auto" w:line="240" w:before="0" w:after="0"/>
      <w:jc w:val="left"/>
    </w:pPr>
    <w:rPr>
      <w:rFonts w:ascii="Verdana" w:hAnsi="Verdana" w:eastAsia="Calibri" w:cs="Verdana"/>
      <w:color w:val="000000"/>
      <w:kern w:val="0"/>
      <w:sz w:val="24"/>
      <w:szCs w:val="24"/>
      <w:lang w:val="pt-BR" w:eastAsia="en-US" w:bidi="ar-SA"/>
    </w:rPr>
  </w:style>
  <w:style w:type="paragraph" w:styleId="BalloonText">
    <w:name w:val="Balloon Text"/>
    <w:basedOn w:val="Normal"/>
    <w:link w:val="TextodebaloChar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Notaderodap">
    <w:name w:val="Footnote Text"/>
    <w:basedOn w:val="Normal"/>
    <w:pPr>
      <w:suppressLineNumbers/>
      <w:ind w:left="340" w:right="0" w:hanging="340"/>
    </w:pPr>
    <w:rPr>
      <w:sz w:val="20"/>
      <w:szCs w:val="20"/>
    </w:rPr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widowControl w:val="false"/>
      <w:spacing w:before="0" w:after="0"/>
      <w:ind w:left="720" w:hanging="0"/>
      <w:contextualSpacing/>
    </w:pPr>
    <w:rPr>
      <w:rFonts w:eastAsia="Arial Unicode MS"/>
      <w:szCs w:val="20"/>
      <w:lang w:val="en-US" w:eastAsia="pt-BR"/>
    </w:rPr>
  </w:style>
  <w:style w:type="paragraph" w:styleId="TableParagraph">
    <w:name w:val="Table Paragraph"/>
    <w:basedOn w:val="Normal"/>
    <w:qFormat/>
    <w:pPr>
      <w:spacing w:before="78" w:after="0"/>
      <w:ind w:left="72" w:right="0" w:hanging="0"/>
    </w:pPr>
    <w:rPr>
      <w:rFonts w:ascii="Calibri" w:hAnsi="Calibri" w:eastAsia="Calibri" w:cs="Calibri"/>
      <w:lang w:val="pt-PT" w:eastAsia="en-US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2377</TotalTime>
  <Application>LibreOffice/7.3.3.2$Windows_X86_64 LibreOffice_project/d1d0ea68f081ee2800a922cac8f79445e4603348</Application>
  <AppVersion>15.0000</AppVersion>
  <Pages>4</Pages>
  <Words>511</Words>
  <Characters>3106</Characters>
  <CharactersWithSpaces>3511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2023-01-02T13:29:00Z</dcterms:created>
  <dc:creator>CAROLINA PRADO PEIXOTO LOPES DE SOUZA</dc:creator>
  <dc:description/>
  <dc:language>pt-BR</dc:language>
  <cp:lastModifiedBy/>
  <dcterms:modified xsi:type="dcterms:W3CDTF">2024-01-18T10:14:54Z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