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AA25C" w14:textId="77777777" w:rsidR="00A31FF1" w:rsidRDefault="00D622F2">
      <w:pPr>
        <w:pStyle w:val="Standard"/>
        <w:spacing w:line="360" w:lineRule="auto"/>
        <w:ind w:left="-426"/>
        <w:jc w:val="center"/>
        <w:rPr>
          <w:rFonts w:ascii="Arial" w:eastAsia="Arial" w:hAnsi="Arial"/>
          <w:b/>
          <w:shd w:val="clear" w:color="auto" w:fill="FFFFFF"/>
        </w:rPr>
      </w:pPr>
      <w:r>
        <w:rPr>
          <w:rFonts w:ascii="Arial" w:eastAsia="Arial" w:hAnsi="Arial"/>
          <w:b/>
          <w:shd w:val="clear" w:color="auto" w:fill="FFFFFF"/>
        </w:rPr>
        <w:t>TERMO DE REFERÊNCIA</w:t>
      </w:r>
    </w:p>
    <w:p w14:paraId="72137265" w14:textId="77777777" w:rsidR="00A31FF1" w:rsidRDefault="00A31FF1">
      <w:pPr>
        <w:pStyle w:val="Standard"/>
        <w:ind w:left="-426"/>
        <w:jc w:val="both"/>
        <w:rPr>
          <w:rFonts w:ascii="Arial" w:hAnsi="Arial"/>
        </w:rPr>
      </w:pPr>
    </w:p>
    <w:p w14:paraId="6F1877C3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1 – DO OBJETO</w:t>
      </w:r>
    </w:p>
    <w:p w14:paraId="18B76369" w14:textId="0CEACED9" w:rsidR="00A31FF1" w:rsidRDefault="00D622F2">
      <w:pPr>
        <w:pStyle w:val="Standard"/>
        <w:numPr>
          <w:ilvl w:val="1"/>
          <w:numId w:val="2"/>
        </w:numPr>
        <w:spacing w:line="360" w:lineRule="auto"/>
        <w:ind w:left="0" w:firstLine="0"/>
        <w:jc w:val="both"/>
        <w:rPr>
          <w:rFonts w:ascii="Arial" w:eastAsia="Arial" w:hAnsi="Arial"/>
          <w:kern w:val="0"/>
        </w:rPr>
      </w:pPr>
      <w:r>
        <w:rPr>
          <w:rFonts w:ascii="Arial" w:hAnsi="Arial"/>
        </w:rPr>
        <w:t>Contratação d</w:t>
      </w:r>
      <w:r>
        <w:rPr>
          <w:rFonts w:ascii="Arial" w:eastAsia="Arial" w:hAnsi="Arial"/>
        </w:rPr>
        <w:t>a DM PROJETOS ESPECIAIS EIRELI - ME</w:t>
      </w:r>
      <w:r>
        <w:rPr>
          <w:rFonts w:ascii="Arial" w:hAnsi="Arial"/>
        </w:rPr>
        <w:t xml:space="preserve">, para realização de palestra com o educador Daniel Munduruku, nos dias </w:t>
      </w:r>
      <w:r w:rsidR="00AC7955">
        <w:rPr>
          <w:rFonts w:ascii="Arial" w:hAnsi="Arial"/>
        </w:rPr>
        <w:t>17 e 18 de junho</w:t>
      </w:r>
      <w:r>
        <w:rPr>
          <w:rFonts w:ascii="Arial" w:hAnsi="Arial"/>
        </w:rPr>
        <w:t xml:space="preserve"> de 2024, na V</w:t>
      </w:r>
      <w:r>
        <w:rPr>
          <w:rFonts w:ascii="Arial" w:eastAsia="Arial" w:hAnsi="Arial"/>
        </w:rPr>
        <w:t xml:space="preserve"> Jornada Pedagógica do Município de Rio das Ostras</w:t>
      </w:r>
      <w:r>
        <w:rPr>
          <w:rFonts w:ascii="Arial" w:eastAsia="Arial" w:hAnsi="Arial"/>
          <w:kern w:val="0"/>
        </w:rPr>
        <w:t>.</w:t>
      </w:r>
    </w:p>
    <w:p w14:paraId="4E6D7874" w14:textId="77777777" w:rsidR="00A31FF1" w:rsidRDefault="00A31FF1">
      <w:pPr>
        <w:pStyle w:val="Standard"/>
        <w:spacing w:line="360" w:lineRule="auto"/>
        <w:ind w:left="390"/>
        <w:jc w:val="both"/>
        <w:rPr>
          <w:rFonts w:ascii="Arial" w:hAnsi="Arial"/>
          <w:color w:val="FF0000"/>
        </w:rPr>
      </w:pPr>
    </w:p>
    <w:p w14:paraId="58B2D4A7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2 – DA JUSTIFICATIVA</w:t>
      </w:r>
    </w:p>
    <w:p w14:paraId="5F94F4B1" w14:textId="77777777" w:rsidR="00A31FF1" w:rsidRDefault="00D622F2">
      <w:pPr>
        <w:spacing w:after="200" w:line="360" w:lineRule="auto"/>
        <w:jc w:val="both"/>
        <w:rPr>
          <w:rFonts w:ascii="Arial" w:eastAsia="Arial" w:hAnsi="Arial"/>
          <w:color w:val="000000"/>
        </w:rPr>
      </w:pPr>
      <w:r>
        <w:rPr>
          <w:rFonts w:ascii="Arial" w:hAnsi="Arial"/>
          <w:color w:val="000000"/>
        </w:rPr>
        <w:t>2.1 – Considerando</w:t>
      </w:r>
      <w:bookmarkStart w:id="0" w:name="_Hlk163721283"/>
      <w:r>
        <w:rPr>
          <w:rFonts w:ascii="Arial" w:eastAsia="Arial" w:hAnsi="Arial"/>
          <w:color w:val="000000"/>
        </w:rPr>
        <w:t xml:space="preserve"> o § 1º, do art. 62 da Lei de </w:t>
      </w:r>
      <w:r>
        <w:rPr>
          <w:rFonts w:ascii="Arial" w:eastAsia="Arial" w:hAnsi="Arial"/>
          <w:color w:val="000000"/>
          <w:shd w:val="clear" w:color="auto" w:fill="FFFFFF"/>
        </w:rPr>
        <w:t xml:space="preserve">Diretrizes e Bases da Educação Nacional - </w:t>
      </w:r>
      <w:r>
        <w:rPr>
          <w:rFonts w:ascii="Arial" w:eastAsia="Arial" w:hAnsi="Arial"/>
          <w:color w:val="000000"/>
        </w:rPr>
        <w:t>LDB, que estabelece à União, ao Distrito Federal, aos Estados e aos Municípios a responsabilidade de promover a formação inicial, continuada e capacitação dos profissionais de magistério;</w:t>
      </w:r>
    </w:p>
    <w:p w14:paraId="707C04F6" w14:textId="77777777" w:rsidR="00A31FF1" w:rsidRDefault="00D622F2">
      <w:pPr>
        <w:pStyle w:val="LO-normal"/>
        <w:spacing w:after="113" w:line="360" w:lineRule="auto"/>
        <w:rPr>
          <w:rFonts w:ascii="Arial" w:eastAsia="Arial MT" w:hAnsi="Arial"/>
          <w:color w:val="000000"/>
          <w:highlight w:val="white"/>
          <w:shd w:val="clear" w:color="auto" w:fill="FFFFFF"/>
          <w:lang w:val="pt-PT" w:eastAsia="en-US" w:bidi="ar-SA"/>
        </w:rPr>
      </w:pPr>
      <w:r>
        <w:rPr>
          <w:rFonts w:ascii="Arial" w:eastAsia="Arial MT" w:hAnsi="Arial"/>
          <w:color w:val="000000"/>
          <w:highlight w:val="white"/>
          <w:shd w:val="clear" w:color="auto" w:fill="FFFFFF"/>
          <w:lang w:val="pt-PT" w:eastAsia="en-US" w:bidi="ar-SA"/>
        </w:rPr>
        <w:t>Considerando o Plano Municipal de Educação -PME, instituído por meio da Lei nº 2506/2021, que altera o anexo da Lei 1898/2025 e define ações para garantir a formação continuada dos professores, a saber:</w:t>
      </w:r>
    </w:p>
    <w:p w14:paraId="60D74953" w14:textId="77777777" w:rsidR="00A31FF1" w:rsidRDefault="00D622F2">
      <w:pPr>
        <w:pStyle w:val="LO-normal"/>
        <w:overflowPunct w:val="0"/>
        <w:spacing w:line="276" w:lineRule="auto"/>
        <w:ind w:left="3005" w:firstLine="57"/>
      </w:pPr>
      <w:r>
        <w:rPr>
          <w:rFonts w:ascii="Arial" w:eastAsia="Arial MT" w:hAnsi="Arial"/>
          <w:color w:val="000000"/>
          <w:sz w:val="21"/>
          <w:szCs w:val="21"/>
          <w:lang w:val="pt-PT" w:eastAsia="en-US" w:bidi="ar-SA"/>
        </w:rPr>
        <w:t>“</w:t>
      </w:r>
      <w:r>
        <w:rPr>
          <w:rFonts w:ascii="Arial" w:eastAsia="Arial" w:hAnsi="Arial"/>
          <w:color w:val="000000"/>
          <w:sz w:val="21"/>
          <w:szCs w:val="21"/>
          <w:lang w:val="pt-PT" w:eastAsia="en-US" w:bidi="ar-SA"/>
        </w:rPr>
        <w:t xml:space="preserve">META 16B. Garantir a todos os profissionais a serviço da Educação Básica formação continuada, preferencialmente, em horário de trabalho, em sua área de atuação, considerando as necessidades, demandas e contextualizações do Sistema Municipal de Ensino.” </w:t>
      </w:r>
    </w:p>
    <w:p w14:paraId="3E24EE03" w14:textId="77777777" w:rsidR="00A31FF1" w:rsidRDefault="00A31FF1">
      <w:pPr>
        <w:pStyle w:val="LO-normal"/>
        <w:overflowPunct w:val="0"/>
        <w:spacing w:line="276" w:lineRule="auto"/>
        <w:ind w:left="3005" w:firstLine="57"/>
        <w:rPr>
          <w:rFonts w:ascii="Arial" w:eastAsia="Arial" w:hAnsi="Arial"/>
          <w:color w:val="000000"/>
          <w:sz w:val="21"/>
          <w:szCs w:val="21"/>
          <w:lang w:val="pt-PT" w:eastAsia="en-US" w:bidi="ar-SA"/>
        </w:rPr>
      </w:pPr>
    </w:p>
    <w:p w14:paraId="29CBC268" w14:textId="77777777" w:rsidR="00A31FF1" w:rsidRDefault="00D622F2">
      <w:pPr>
        <w:pStyle w:val="LO-normal"/>
        <w:overflowPunct w:val="0"/>
        <w:spacing w:line="276" w:lineRule="auto"/>
        <w:ind w:left="3005" w:firstLine="57"/>
      </w:pPr>
      <w:r>
        <w:rPr>
          <w:rFonts w:ascii="Arial" w:eastAsia="Arial" w:hAnsi="Arial"/>
          <w:color w:val="000000"/>
          <w:sz w:val="21"/>
          <w:szCs w:val="21"/>
          <w:lang w:val="pt-PT" w:eastAsia="en-US" w:bidi="ar-SA"/>
        </w:rPr>
        <w:t>“ESTRATÉGIA: 16B.1. Consolidar e ampliar a política municipal de formação continuada dos profissionais da Educação Básica, definindo diretrizes, áreas prioritárias, instituições formadoras e processos de certificação das atividades formativas.”</w:t>
      </w:r>
    </w:p>
    <w:p w14:paraId="08EDD70B" w14:textId="77777777" w:rsidR="00A31FF1" w:rsidRDefault="00A31FF1">
      <w:pPr>
        <w:pStyle w:val="LO-normal"/>
        <w:overflowPunct w:val="0"/>
        <w:spacing w:line="276" w:lineRule="auto"/>
        <w:ind w:left="3005" w:firstLine="57"/>
        <w:rPr>
          <w:rFonts w:ascii="Arial" w:eastAsia="Arial" w:hAnsi="Arial"/>
          <w:color w:val="000000"/>
        </w:rPr>
      </w:pPr>
    </w:p>
    <w:bookmarkEnd w:id="0"/>
    <w:p w14:paraId="275F6A82" w14:textId="77777777" w:rsidR="00A31FF1" w:rsidRDefault="00D622F2">
      <w:pPr>
        <w:spacing w:after="200" w:line="360" w:lineRule="auto"/>
        <w:jc w:val="both"/>
        <w:rPr>
          <w:shd w:val="clear" w:color="auto" w:fill="FFFFFF"/>
        </w:rPr>
      </w:pPr>
      <w:r>
        <w:rPr>
          <w:rFonts w:ascii="Arial" w:eastAsia="Arial" w:hAnsi="Arial"/>
          <w:color w:val="000000"/>
          <w:shd w:val="clear" w:color="auto" w:fill="FFFFFF"/>
        </w:rPr>
        <w:t>Considerando</w:t>
      </w:r>
      <w:bookmarkStart w:id="1" w:name="_Hlk163721260"/>
      <w:r>
        <w:rPr>
          <w:rFonts w:ascii="Arial" w:eastAsia="Arial" w:hAnsi="Arial"/>
          <w:color w:val="000000"/>
          <w:shd w:val="clear" w:color="auto" w:fill="FFFFFF"/>
        </w:rPr>
        <w:t xml:space="preserve"> a Lei nº 10.639, de 9 de janeiro de 2003, que altera a Lei n</w:t>
      </w:r>
      <w:r>
        <w:rPr>
          <w:rFonts w:ascii="Arial" w:eastAsia="Arial" w:hAnsi="Arial"/>
          <w:color w:val="000000"/>
          <w:u w:val="single"/>
          <w:shd w:val="clear" w:color="auto" w:fill="FFFFFF"/>
          <w:vertAlign w:val="superscript"/>
        </w:rPr>
        <w:t>o</w:t>
      </w:r>
      <w:r>
        <w:rPr>
          <w:rFonts w:ascii="Arial" w:eastAsia="Arial" w:hAnsi="Arial"/>
          <w:color w:val="000000"/>
          <w:shd w:val="clear" w:color="auto" w:fill="FFFFFF"/>
        </w:rPr>
        <w:t xml:space="preserve"> 9.394, de 20 de dezembro de 1996, a qual estabelece as Diretrizes e Bases da Educação Nacional, incluindo no currículo oficial da Rede de Ensino a obrigatoriedade da temática </w:t>
      </w:r>
      <w:r>
        <w:rPr>
          <w:rFonts w:ascii="Arial" w:eastAsia="Arial" w:hAnsi="Arial"/>
          <w:b/>
          <w:bCs/>
          <w:color w:val="000000"/>
          <w:shd w:val="clear" w:color="auto" w:fill="FFFFFF"/>
        </w:rPr>
        <w:t>"História e Cultura Afro-Brasileira",</w:t>
      </w:r>
      <w:r>
        <w:rPr>
          <w:rFonts w:ascii="Arial" w:eastAsia="Arial" w:hAnsi="Arial"/>
          <w:color w:val="000000"/>
          <w:shd w:val="clear" w:color="auto" w:fill="FFFFFF"/>
        </w:rPr>
        <w:t xml:space="preserve"> passando a vigorar</w:t>
      </w:r>
      <w:r>
        <w:rPr>
          <w:rFonts w:ascii="Arial" w:eastAsia="Arial" w:hAnsi="Arial"/>
          <w:color w:val="000000"/>
          <w:sz w:val="22"/>
          <w:szCs w:val="22"/>
          <w:shd w:val="clear" w:color="auto" w:fill="FFFFFF"/>
        </w:rPr>
        <w:t xml:space="preserve"> a</w:t>
      </w:r>
      <w:r>
        <w:rPr>
          <w:rFonts w:ascii="Arial" w:eastAsia="Arial" w:hAnsi="Arial"/>
          <w:color w:val="000000"/>
          <w:shd w:val="clear" w:color="auto" w:fill="FFFFFF"/>
        </w:rPr>
        <w:t xml:space="preserve">crescida dos seguintes </w:t>
      </w:r>
      <w:proofErr w:type="spellStart"/>
      <w:r>
        <w:rPr>
          <w:rFonts w:ascii="Arial" w:eastAsia="Arial" w:hAnsi="Arial"/>
          <w:color w:val="000000"/>
          <w:shd w:val="clear" w:color="auto" w:fill="FFFFFF"/>
        </w:rPr>
        <w:t>arts</w:t>
      </w:r>
      <w:proofErr w:type="spellEnd"/>
      <w:r>
        <w:rPr>
          <w:rFonts w:ascii="Arial" w:eastAsia="Arial" w:hAnsi="Arial"/>
          <w:color w:val="000000"/>
          <w:shd w:val="clear" w:color="auto" w:fill="FFFFFF"/>
        </w:rPr>
        <w:t>. 26-A, 79-A e 79-B:</w:t>
      </w:r>
      <w:bookmarkEnd w:id="1"/>
    </w:p>
    <w:p w14:paraId="1285C8D5" w14:textId="77777777" w:rsidR="00A31FF1" w:rsidRDefault="00E36AE8">
      <w:pPr>
        <w:keepLines/>
        <w:spacing w:after="200"/>
        <w:ind w:left="3119"/>
        <w:jc w:val="both"/>
      </w:pPr>
      <w:hyperlink r:id="rId7" w:anchor="art26a" w:history="1">
        <w:r w:rsidR="00D622F2">
          <w:rPr>
            <w:rFonts w:ascii="Arial" w:eastAsia="Arial" w:hAnsi="Arial"/>
            <w:color w:val="1155CC"/>
            <w:sz w:val="21"/>
            <w:szCs w:val="21"/>
            <w:u w:val="single"/>
          </w:rPr>
          <w:t>"Art. 26-A.</w:t>
        </w:r>
      </w:hyperlink>
      <w:r w:rsidR="00D622F2">
        <w:rPr>
          <w:rFonts w:ascii="Arial" w:eastAsia="Arial" w:hAnsi="Arial"/>
          <w:color w:val="000000"/>
          <w:sz w:val="21"/>
          <w:szCs w:val="21"/>
        </w:rPr>
        <w:t xml:space="preserve"> Nos estabelecimentos de ensino fundamental e médio, oficiais e particulares, torna-se obrigatório o ensino sobre História e Cultura Afro-Brasileira.</w:t>
      </w:r>
    </w:p>
    <w:p w14:paraId="3176516C" w14:textId="77777777" w:rsidR="00A31FF1" w:rsidRDefault="00D622F2">
      <w:pPr>
        <w:keepLines/>
        <w:spacing w:before="240" w:after="240"/>
        <w:ind w:left="3118"/>
        <w:jc w:val="both"/>
        <w:rPr>
          <w:sz w:val="21"/>
          <w:szCs w:val="21"/>
        </w:rPr>
      </w:pPr>
      <w:r>
        <w:rPr>
          <w:rFonts w:ascii="Arial" w:eastAsia="Arial" w:hAnsi="Arial"/>
          <w:color w:val="000000"/>
          <w:sz w:val="21"/>
          <w:szCs w:val="21"/>
        </w:rPr>
        <w:lastRenderedPageBreak/>
        <w:t>§ 1</w:t>
      </w:r>
      <w:r>
        <w:rPr>
          <w:rFonts w:ascii="Arial" w:eastAsia="Arial" w:hAnsi="Arial"/>
          <w:color w:val="000000"/>
          <w:sz w:val="21"/>
          <w:szCs w:val="21"/>
          <w:u w:val="single"/>
          <w:vertAlign w:val="superscript"/>
        </w:rPr>
        <w:t>o</w:t>
      </w:r>
      <w:r>
        <w:rPr>
          <w:rFonts w:ascii="Arial" w:eastAsia="Arial" w:hAnsi="Arial"/>
          <w:color w:val="000000"/>
          <w:sz w:val="21"/>
          <w:szCs w:val="21"/>
        </w:rPr>
        <w:t xml:space="preserve"> O conteúdo programático a que se refere o </w:t>
      </w:r>
      <w:r>
        <w:rPr>
          <w:rFonts w:ascii="Arial" w:eastAsia="Arial" w:hAnsi="Arial"/>
          <w:b/>
          <w:color w:val="000000"/>
          <w:sz w:val="21"/>
          <w:szCs w:val="21"/>
        </w:rPr>
        <w:t>caput</w:t>
      </w:r>
      <w:r>
        <w:rPr>
          <w:rFonts w:ascii="Arial" w:eastAsia="Arial" w:hAnsi="Arial"/>
          <w:color w:val="000000"/>
          <w:sz w:val="21"/>
          <w:szCs w:val="21"/>
        </w:rPr>
        <w:t xml:space="preserve"> deste artigo incluirá o estudo da História da África e dos Africanos, a luta dos negros no Brasil, a cultura negra brasileira e o negro na formação da sociedade nacional, resgatando a contribuição do povo negro nas áreas social, econômica e política pertinentes à História do Brasil.</w:t>
      </w:r>
    </w:p>
    <w:p w14:paraId="231E5EFF" w14:textId="77777777" w:rsidR="00A31FF1" w:rsidRDefault="00D622F2">
      <w:pPr>
        <w:keepLines/>
        <w:spacing w:before="240" w:after="240"/>
        <w:ind w:left="3118"/>
        <w:jc w:val="both"/>
        <w:rPr>
          <w:sz w:val="21"/>
          <w:szCs w:val="21"/>
        </w:rPr>
      </w:pPr>
      <w:r>
        <w:rPr>
          <w:rFonts w:ascii="Arial" w:eastAsia="Arial" w:hAnsi="Arial"/>
          <w:color w:val="000000"/>
          <w:sz w:val="21"/>
          <w:szCs w:val="21"/>
        </w:rPr>
        <w:t>§ 2</w:t>
      </w:r>
      <w:r>
        <w:rPr>
          <w:rFonts w:ascii="Arial" w:eastAsia="Arial" w:hAnsi="Arial"/>
          <w:color w:val="000000"/>
          <w:sz w:val="21"/>
          <w:szCs w:val="21"/>
          <w:u w:val="single"/>
          <w:vertAlign w:val="superscript"/>
        </w:rPr>
        <w:t>o</w:t>
      </w:r>
      <w:r>
        <w:rPr>
          <w:rFonts w:ascii="Arial" w:eastAsia="Arial" w:hAnsi="Arial"/>
          <w:color w:val="000000"/>
          <w:sz w:val="21"/>
          <w:szCs w:val="21"/>
        </w:rPr>
        <w:t xml:space="preserve"> Os conteúdos referentes à História e Cultura Afro-Brasileira serão ministrados no âmbito de todo o currículo escolar, em especial nas áreas de Educação Artística e de Literatura e História Brasileiras.</w:t>
      </w:r>
    </w:p>
    <w:p w14:paraId="5F2F3068" w14:textId="77777777" w:rsidR="00A31FF1" w:rsidRDefault="00D622F2">
      <w:pPr>
        <w:keepLines/>
        <w:spacing w:before="227" w:after="397"/>
        <w:ind w:left="3118"/>
        <w:jc w:val="both"/>
        <w:rPr>
          <w:sz w:val="21"/>
          <w:szCs w:val="21"/>
        </w:rPr>
      </w:pPr>
      <w:r>
        <w:rPr>
          <w:rFonts w:ascii="Arial" w:eastAsia="Arial" w:hAnsi="Arial"/>
          <w:color w:val="000000"/>
          <w:sz w:val="21"/>
          <w:szCs w:val="21"/>
        </w:rPr>
        <w:t>"Art. 79-B. O calendário escolar incluirá o dia 20 de novembro como ‘Dia Nacional da Consciência Negra’."</w:t>
      </w:r>
    </w:p>
    <w:p w14:paraId="3060E278" w14:textId="77777777" w:rsidR="00A31FF1" w:rsidRDefault="00D622F2">
      <w:pPr>
        <w:spacing w:after="200" w:line="360" w:lineRule="auto"/>
        <w:jc w:val="both"/>
        <w:rPr>
          <w:rFonts w:ascii="Arial" w:eastAsia="Arial" w:hAnsi="Arial"/>
          <w:color w:val="000000"/>
          <w:sz w:val="20"/>
          <w:szCs w:val="20"/>
        </w:rPr>
      </w:pPr>
      <w:r>
        <w:rPr>
          <w:rFonts w:ascii="Arial" w:eastAsia="Arial" w:hAnsi="Arial"/>
          <w:color w:val="000000"/>
        </w:rPr>
        <w:t>Considerando a Lei nº 11.645, de 10 de março de 2008, que altera a Lei 9</w:t>
      </w:r>
      <w:r>
        <w:rPr>
          <w:rFonts w:ascii="Arial" w:eastAsia="Arial" w:hAnsi="Arial"/>
          <w:color w:val="000000"/>
          <w:u w:val="single"/>
          <w:vertAlign w:val="superscript"/>
        </w:rPr>
        <w:t>o</w:t>
      </w:r>
      <w:r>
        <w:rPr>
          <w:rFonts w:ascii="Arial" w:eastAsia="Arial" w:hAnsi="Arial"/>
          <w:color w:val="000000"/>
        </w:rPr>
        <w:t xml:space="preserve"> 9.394, de 20 de dezembro de 1996, modificada pela Lei n</w:t>
      </w:r>
      <w:r>
        <w:rPr>
          <w:rFonts w:ascii="Arial" w:eastAsia="Arial" w:hAnsi="Arial"/>
          <w:color w:val="000000"/>
          <w:u w:val="single"/>
          <w:vertAlign w:val="superscript"/>
        </w:rPr>
        <w:t>o</w:t>
      </w:r>
      <w:r>
        <w:rPr>
          <w:rFonts w:ascii="Arial" w:eastAsia="Arial" w:hAnsi="Arial"/>
          <w:color w:val="000000"/>
        </w:rPr>
        <w:t xml:space="preserve"> 10.639, de 9 de janeiro de 2003, que estabelece as </w:t>
      </w:r>
      <w:r>
        <w:rPr>
          <w:rFonts w:ascii="Arial" w:eastAsia="Arial" w:hAnsi="Arial"/>
          <w:color w:val="000000"/>
          <w:shd w:val="clear" w:color="auto" w:fill="FFFFFF"/>
        </w:rPr>
        <w:t>Diretrizes e Bases da Educação Nacional</w:t>
      </w:r>
      <w:r>
        <w:rPr>
          <w:rFonts w:ascii="Arial" w:eastAsia="Arial" w:hAnsi="Arial"/>
          <w:color w:val="000000"/>
        </w:rPr>
        <w:t xml:space="preserve">, para incluir no currículo oficial da rede de ensino a obrigatoriedade da temática </w:t>
      </w:r>
      <w:r>
        <w:rPr>
          <w:rFonts w:ascii="Arial" w:eastAsia="Arial" w:hAnsi="Arial"/>
          <w:b/>
          <w:bCs/>
          <w:color w:val="000000"/>
        </w:rPr>
        <w:t>“História e Cultura Afro-Brasileira e Indígena”:</w:t>
      </w:r>
    </w:p>
    <w:p w14:paraId="0FDCE386" w14:textId="77777777" w:rsidR="00A31FF1" w:rsidRDefault="00D622F2">
      <w:pPr>
        <w:spacing w:before="200" w:after="200"/>
        <w:ind w:left="3118" w:right="5"/>
        <w:jc w:val="both"/>
      </w:pPr>
      <w:r>
        <w:rPr>
          <w:rFonts w:ascii="Arial" w:eastAsia="Arial" w:hAnsi="Arial"/>
          <w:color w:val="000000"/>
          <w:sz w:val="21"/>
          <w:szCs w:val="21"/>
        </w:rPr>
        <w:t>“</w:t>
      </w:r>
      <w:hyperlink r:id="rId8" w:anchor="art26a." w:history="1">
        <w:r>
          <w:rPr>
            <w:rFonts w:ascii="Arial" w:eastAsia="Arial" w:hAnsi="Arial"/>
            <w:color w:val="000000"/>
            <w:sz w:val="21"/>
            <w:szCs w:val="21"/>
            <w:u w:val="single"/>
          </w:rPr>
          <w:t>Art. 26-A.</w:t>
        </w:r>
      </w:hyperlink>
      <w:r>
        <w:rPr>
          <w:rFonts w:ascii="Arial" w:eastAsia="Arial" w:hAnsi="Arial"/>
          <w:color w:val="000000"/>
          <w:sz w:val="21"/>
          <w:szCs w:val="21"/>
        </w:rPr>
        <w:t xml:space="preserve">  Nos estabelecimentos de ensino fundamental e de ensino médio, públicos e privados, torna-se obrigatório o estudo da história e cultura afro-brasileira e indígena.</w:t>
      </w:r>
    </w:p>
    <w:p w14:paraId="28113B90" w14:textId="77777777" w:rsidR="00A31FF1" w:rsidRDefault="00D622F2">
      <w:pPr>
        <w:spacing w:before="200" w:after="200"/>
        <w:ind w:left="3118" w:right="5"/>
        <w:jc w:val="both"/>
        <w:rPr>
          <w:rFonts w:ascii="Arial" w:eastAsia="Arial" w:hAnsi="Arial"/>
          <w:color w:val="000000"/>
          <w:sz w:val="21"/>
          <w:szCs w:val="21"/>
        </w:rPr>
      </w:pPr>
      <w:r>
        <w:rPr>
          <w:rFonts w:ascii="Arial" w:eastAsia="Arial" w:hAnsi="Arial"/>
          <w:color w:val="000000"/>
          <w:sz w:val="21"/>
          <w:szCs w:val="21"/>
        </w:rPr>
        <w:t>§ 1</w:t>
      </w:r>
      <w:r>
        <w:rPr>
          <w:rFonts w:ascii="Arial" w:eastAsia="Arial" w:hAnsi="Arial"/>
          <w:color w:val="000000"/>
          <w:sz w:val="21"/>
          <w:szCs w:val="21"/>
          <w:u w:val="single"/>
          <w:vertAlign w:val="superscript"/>
        </w:rPr>
        <w:t>o</w:t>
      </w:r>
      <w:r>
        <w:rPr>
          <w:rFonts w:ascii="Arial" w:eastAsia="Arial" w:hAnsi="Arial"/>
          <w:color w:val="000000"/>
          <w:sz w:val="21"/>
          <w:szCs w:val="21"/>
        </w:rPr>
        <w:t xml:space="preserve">  O conteúdo programático a que se refere este artigo incluirá diversos aspectos da história e da cultura que caracterizam a formação da população brasileira, a partir desses dois grupos étnicos, tais como o estudo da história da África e dos africanos, a luta dos negros e dos povos indígenas no Brasil, a cultura negra e indígena brasileira e o negro e o índio na formação da sociedade nacional, resgatando as suas contribuições nas áreas social, econômica e política, pertinentes à história do Brasil.</w:t>
      </w:r>
    </w:p>
    <w:p w14:paraId="3826B969" w14:textId="77777777" w:rsidR="00A31FF1" w:rsidRDefault="00D622F2">
      <w:pPr>
        <w:spacing w:before="200" w:after="200"/>
        <w:ind w:left="3119" w:right="5"/>
        <w:jc w:val="both"/>
        <w:rPr>
          <w:rFonts w:ascii="Arial" w:eastAsia="Arial" w:hAnsi="Arial"/>
          <w:color w:val="000000"/>
          <w:sz w:val="21"/>
          <w:szCs w:val="21"/>
        </w:rPr>
      </w:pPr>
      <w:r>
        <w:rPr>
          <w:rFonts w:ascii="Arial" w:eastAsia="Arial" w:hAnsi="Arial"/>
          <w:color w:val="000000"/>
          <w:sz w:val="21"/>
          <w:szCs w:val="21"/>
        </w:rPr>
        <w:t>§ 2</w:t>
      </w:r>
      <w:proofErr w:type="gramStart"/>
      <w:r>
        <w:rPr>
          <w:rFonts w:ascii="Arial" w:eastAsia="Arial" w:hAnsi="Arial"/>
          <w:color w:val="000000"/>
          <w:sz w:val="21"/>
          <w:szCs w:val="21"/>
          <w:u w:val="single"/>
          <w:vertAlign w:val="superscript"/>
        </w:rPr>
        <w:t>o</w:t>
      </w:r>
      <w:r>
        <w:rPr>
          <w:rFonts w:ascii="Arial" w:eastAsia="Arial" w:hAnsi="Arial"/>
          <w:color w:val="000000"/>
          <w:sz w:val="21"/>
          <w:szCs w:val="21"/>
        </w:rPr>
        <w:t xml:space="preserve">  Os</w:t>
      </w:r>
      <w:proofErr w:type="gramEnd"/>
      <w:r>
        <w:rPr>
          <w:rFonts w:ascii="Arial" w:eastAsia="Arial" w:hAnsi="Arial"/>
          <w:color w:val="000000"/>
          <w:sz w:val="21"/>
          <w:szCs w:val="21"/>
        </w:rPr>
        <w:t xml:space="preserve"> conteúdos referentes à história e cultura afro-brasileira e dos povos indígenas brasileiros serão ministrados no âmbito de todo o currículo escolar, em especial nas áreas de educação artística e de literatura e história brasileiras.” (NR).</w:t>
      </w:r>
    </w:p>
    <w:p w14:paraId="40A3D087" w14:textId="77777777" w:rsidR="00A31FF1" w:rsidRDefault="00A31FF1">
      <w:pPr>
        <w:spacing w:before="200" w:after="200"/>
        <w:ind w:left="3119" w:right="5"/>
        <w:jc w:val="both"/>
        <w:rPr>
          <w:rFonts w:ascii="Arial" w:eastAsia="Arial" w:hAnsi="Arial"/>
          <w:color w:val="000000"/>
          <w:sz w:val="21"/>
          <w:szCs w:val="21"/>
        </w:rPr>
      </w:pPr>
    </w:p>
    <w:p w14:paraId="6783ADA6" w14:textId="77777777" w:rsidR="00A31FF1" w:rsidRDefault="00D622F2">
      <w:pPr>
        <w:spacing w:after="200" w:line="360" w:lineRule="auto"/>
        <w:jc w:val="both"/>
      </w:pPr>
      <w:r>
        <w:rPr>
          <w:rFonts w:ascii="Arial" w:eastAsia="Arial" w:hAnsi="Arial"/>
          <w:color w:val="000000"/>
        </w:rPr>
        <w:t xml:space="preserve">Considerando a realização da V Jornada Pedagógica do Município de Rio das Ostras, com o tema: </w:t>
      </w:r>
      <w:r>
        <w:rPr>
          <w:rFonts w:ascii="Arial" w:eastAsia="Arial" w:hAnsi="Arial"/>
          <w:b/>
          <w:color w:val="000000"/>
        </w:rPr>
        <w:t xml:space="preserve">"Olhares que aproximam: Conhecer e respeitar nossas raízes faz parte do aprender!", </w:t>
      </w:r>
      <w:r>
        <w:rPr>
          <w:rFonts w:ascii="Arial" w:eastAsia="Arial" w:hAnsi="Arial"/>
          <w:color w:val="000000"/>
        </w:rPr>
        <w:t>que será promovida pela Secretaria de Educação, Esporte e Lazer nos meses de maio e junho de 2024, onde serão oferecidas aos profissionais da educação palestras motivacionais e temáticas, ministradas por conceituados mestres da área e onde se espera um público considerável;</w:t>
      </w:r>
    </w:p>
    <w:p w14:paraId="41A994A4" w14:textId="77777777" w:rsidR="00A31FF1" w:rsidRDefault="00A31FF1">
      <w:pPr>
        <w:spacing w:after="200" w:line="360" w:lineRule="auto"/>
        <w:jc w:val="both"/>
        <w:rPr>
          <w:rFonts w:ascii="Arial" w:eastAsia="Arial" w:hAnsi="Arial"/>
          <w:color w:val="212529"/>
          <w:highlight w:val="white"/>
        </w:rPr>
      </w:pPr>
    </w:p>
    <w:p w14:paraId="21B84187" w14:textId="77777777" w:rsidR="00A31FF1" w:rsidRDefault="00D622F2">
      <w:pPr>
        <w:spacing w:after="200" w:line="360" w:lineRule="auto"/>
        <w:jc w:val="both"/>
        <w:rPr>
          <w:rFonts w:ascii="Arial" w:eastAsia="Arial" w:hAnsi="Arial"/>
          <w:color w:val="212529"/>
          <w:highlight w:val="white"/>
        </w:rPr>
      </w:pPr>
      <w:r>
        <w:rPr>
          <w:rFonts w:ascii="Arial" w:eastAsia="Arial" w:hAnsi="Arial"/>
          <w:color w:val="000000"/>
        </w:rPr>
        <w:lastRenderedPageBreak/>
        <w:t xml:space="preserve">Considerando que evento é de grande importância para a Formação Continuada dos profissionais de educação, oportunizando a atualização e aquisição de novos conhecimentos </w:t>
      </w:r>
      <w:r>
        <w:rPr>
          <w:rFonts w:ascii="Arial" w:eastAsia="Arial" w:hAnsi="Arial"/>
          <w:color w:val="000000"/>
          <w:highlight w:val="white"/>
        </w:rPr>
        <w:t>em relação às novas práticas pedagógicas e tendências de ensino, contribuindo para a manutenção e ampliação da qualidade de ensino em nosso município;</w:t>
      </w:r>
    </w:p>
    <w:p w14:paraId="34B6ABBD" w14:textId="77777777" w:rsidR="00A31FF1" w:rsidRDefault="00D622F2">
      <w:pPr>
        <w:spacing w:after="140" w:line="360" w:lineRule="auto"/>
        <w:jc w:val="both"/>
        <w:rPr>
          <w:rFonts w:ascii="Arial" w:eastAsia="Arial" w:hAnsi="Arial"/>
          <w:color w:val="000000"/>
          <w:highlight w:val="white"/>
        </w:rPr>
      </w:pPr>
      <w:bookmarkStart w:id="2" w:name="_Hlk163721553"/>
      <w:r>
        <w:rPr>
          <w:rFonts w:ascii="Arial" w:eastAsia="Arial" w:hAnsi="Arial"/>
          <w:color w:val="212529"/>
          <w:highlight w:val="white"/>
        </w:rPr>
        <w:t xml:space="preserve">Considerando que </w:t>
      </w:r>
      <w:r>
        <w:rPr>
          <w:rFonts w:ascii="Arial" w:eastAsia="Arial" w:hAnsi="Arial"/>
          <w:color w:val="000000"/>
          <w:highlight w:val="white"/>
        </w:rPr>
        <w:t>a Secretaria Municipal de Educação, Esporte e Lazer de Rio das Ostras entende a educação antirracista como compromisso e reconhece a necessidade de contar com o esforço de todos os envolvidos no processo de ensino e aprendizagem para promoção de práticas e estratégias de enfrentamento ao racismo estrutural e institucional, buscando garantir o desenvolvimento pleno de nossas crianças em suas potencialidades</w:t>
      </w:r>
      <w:bookmarkEnd w:id="2"/>
      <w:r>
        <w:rPr>
          <w:rFonts w:ascii="Arial" w:eastAsia="Arial" w:hAnsi="Arial"/>
          <w:color w:val="000000"/>
          <w:highlight w:val="white"/>
        </w:rPr>
        <w:t>;</w:t>
      </w:r>
    </w:p>
    <w:p w14:paraId="5EE74760" w14:textId="77777777" w:rsidR="00A31FF1" w:rsidRDefault="00D622F2">
      <w:pPr>
        <w:spacing w:after="140" w:line="360" w:lineRule="auto"/>
        <w:jc w:val="both"/>
        <w:rPr>
          <w:rFonts w:ascii="Arial" w:eastAsia="Arial" w:hAnsi="Arial"/>
          <w:color w:val="000000"/>
          <w:highlight w:val="white"/>
        </w:rPr>
      </w:pPr>
      <w:r>
        <w:rPr>
          <w:rFonts w:ascii="Arial" w:eastAsia="Arial" w:hAnsi="Arial"/>
          <w:color w:val="000000"/>
          <w:highlight w:val="white"/>
        </w:rPr>
        <w:t xml:space="preserve">Considerando a escola como um dos espaços que interfere na construção da identidade negra e que a educação antirracista e o ensino de história e da cultura afro-brasileira nas escolas </w:t>
      </w:r>
      <w:proofErr w:type="gramStart"/>
      <w:r>
        <w:rPr>
          <w:rFonts w:ascii="Arial" w:eastAsia="Arial" w:hAnsi="Arial"/>
          <w:color w:val="000000"/>
          <w:highlight w:val="white"/>
        </w:rPr>
        <w:t>é</w:t>
      </w:r>
      <w:proofErr w:type="gramEnd"/>
      <w:r>
        <w:rPr>
          <w:rFonts w:ascii="Arial" w:eastAsia="Arial" w:hAnsi="Arial"/>
          <w:color w:val="000000"/>
          <w:highlight w:val="white"/>
        </w:rPr>
        <w:t xml:space="preserve"> essencial para, dentre outras coisas, reconhecer e evidenciar as contribuições positivas dessas populações para a sociedade, incentivando os estudantes a investigarem a própria identidade; </w:t>
      </w:r>
    </w:p>
    <w:p w14:paraId="69AA2648" w14:textId="77777777" w:rsidR="00A31FF1" w:rsidRDefault="00D622F2">
      <w:pPr>
        <w:spacing w:after="140" w:line="360" w:lineRule="auto"/>
        <w:jc w:val="both"/>
        <w:rPr>
          <w:rFonts w:ascii="Arial" w:eastAsia="Arial" w:hAnsi="Arial"/>
          <w:color w:val="000000"/>
          <w:sz w:val="12"/>
          <w:szCs w:val="12"/>
          <w:highlight w:val="white"/>
        </w:rPr>
      </w:pPr>
      <w:bookmarkStart w:id="3" w:name="_Hlk163721585"/>
      <w:r>
        <w:rPr>
          <w:rFonts w:ascii="Arial" w:eastAsia="Arial" w:hAnsi="Arial"/>
          <w:color w:val="000000"/>
          <w:highlight w:val="white"/>
        </w:rPr>
        <w:t xml:space="preserve">Considerando que a construção de uma educação antirracista é necessária, urgente e estratégica para uma sociedade mais igualitária, bem como para combater a exclusão escolar, garantindo o direito à </w:t>
      </w:r>
      <w:r>
        <w:rPr>
          <w:rFonts w:ascii="Arial" w:eastAsia="Arial" w:hAnsi="Arial"/>
          <w:color w:val="000000"/>
        </w:rPr>
        <w:t>educação</w:t>
      </w:r>
      <w:r>
        <w:rPr>
          <w:rFonts w:ascii="Arial" w:eastAsia="Arial" w:hAnsi="Arial"/>
          <w:color w:val="000000"/>
          <w:highlight w:val="white"/>
        </w:rPr>
        <w:t xml:space="preserve"> e ao desenvolvimento integral de todos os estudantes;</w:t>
      </w:r>
      <w:bookmarkEnd w:id="3"/>
    </w:p>
    <w:p w14:paraId="3F8B9463" w14:textId="77777777" w:rsidR="00A31FF1" w:rsidRDefault="00D622F2">
      <w:pPr>
        <w:spacing w:line="360" w:lineRule="auto"/>
        <w:jc w:val="both"/>
      </w:pPr>
      <w:r>
        <w:rPr>
          <w:rFonts w:ascii="Arial" w:eastAsia="Arial MT" w:hAnsi="Arial"/>
          <w:color w:val="000000"/>
          <w:kern w:val="0"/>
          <w:highlight w:val="white"/>
          <w:shd w:val="clear" w:color="auto" w:fill="FFFFFF"/>
          <w:lang w:val="pt-PT" w:eastAsia="en-US" w:bidi="ar-SA"/>
        </w:rPr>
        <w:t xml:space="preserve">Ante o exposto, a Secretaria Municipal de Educação, Esporte e Lazer, por intermédio do Núcleo de Gestão Pedagógica, realizará a V Jornada Pedagógica da Rede Pública Municipal de Ensino. O evento, destinado aos profissionais da educação, promoverá </w:t>
      </w:r>
      <w:r>
        <w:rPr>
          <w:rFonts w:ascii="Arial" w:eastAsia="Arial" w:hAnsi="Arial"/>
          <w:color w:val="000000"/>
          <w:kern w:val="0"/>
          <w:highlight w:val="white"/>
          <w:shd w:val="clear" w:color="auto" w:fill="FFFFFF"/>
          <w:lang w:val="pt-PT" w:eastAsia="en-US" w:bidi="ar-SA"/>
        </w:rPr>
        <w:t xml:space="preserve">o fomento de ações que coloquem em pauta as diferenças e diversidades, por meio de palestras que propiciem </w:t>
      </w:r>
      <w:r>
        <w:rPr>
          <w:rFonts w:ascii="Arial" w:eastAsia="Arial MT" w:hAnsi="Arial"/>
          <w:color w:val="000000"/>
          <w:kern w:val="0"/>
          <w:highlight w:val="white"/>
          <w:shd w:val="clear" w:color="auto" w:fill="FFFFFF"/>
          <w:lang w:val="pt-PT" w:eastAsia="en-US" w:bidi="ar-SA"/>
        </w:rPr>
        <w:t>momentos de reflexão e trocas de experiências, a fim de oportunizar o aprimoramento de habilidades e competências acerca das especificidades que permeiam as legislações que envolvem as temáticas aqui referenciadas.</w:t>
      </w:r>
    </w:p>
    <w:p w14:paraId="68C879F2" w14:textId="77777777" w:rsidR="00A31FF1" w:rsidRDefault="00A31FF1">
      <w:pPr>
        <w:spacing w:after="200" w:line="360" w:lineRule="auto"/>
        <w:ind w:firstLine="680"/>
        <w:jc w:val="both"/>
        <w:rPr>
          <w:rFonts w:ascii="Arial" w:hAnsi="Arial"/>
          <w:b/>
          <w:bCs/>
        </w:rPr>
      </w:pPr>
    </w:p>
    <w:p w14:paraId="6DFB2CE7" w14:textId="77777777" w:rsidR="00A31FF1" w:rsidRDefault="00D622F2">
      <w:pPr>
        <w:pStyle w:val="Standard"/>
        <w:spacing w:line="360" w:lineRule="auto"/>
        <w:ind w:left="-42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3 – DA JUSTIFICATIVA DO PREÇO</w:t>
      </w:r>
    </w:p>
    <w:p w14:paraId="57F67AA6" w14:textId="77777777" w:rsidR="00A31FF1" w:rsidRDefault="00D622F2">
      <w:pPr>
        <w:pStyle w:val="Standard"/>
        <w:spacing w:line="360" w:lineRule="auto"/>
        <w:ind w:left="-426"/>
        <w:jc w:val="both"/>
        <w:rPr>
          <w:rFonts w:ascii="Arial" w:eastAsia="Arial" w:hAnsi="Arial"/>
          <w:color w:val="000000"/>
          <w:lang w:eastAsia="pt-BR"/>
        </w:rPr>
      </w:pPr>
      <w:r>
        <w:rPr>
          <w:rFonts w:ascii="Arial" w:hAnsi="Arial"/>
          <w:color w:val="000000"/>
        </w:rPr>
        <w:t xml:space="preserve">3.1 – Considerando </w:t>
      </w:r>
      <w:r>
        <w:rPr>
          <w:rFonts w:ascii="Arial" w:hAnsi="Arial"/>
        </w:rPr>
        <w:t xml:space="preserve">que a proposta feita pela </w:t>
      </w:r>
      <w:r>
        <w:rPr>
          <w:rFonts w:ascii="Arial" w:eastAsia="Arial" w:hAnsi="Arial"/>
        </w:rPr>
        <w:t>DM PROJETOS ESPECIAIS EIRELI - ME</w:t>
      </w:r>
      <w:r>
        <w:rPr>
          <w:rFonts w:ascii="Arial" w:eastAsia="Arial" w:hAnsi="Arial"/>
          <w:color w:val="FF0000"/>
        </w:rPr>
        <w:t xml:space="preserve"> </w:t>
      </w:r>
      <w:r>
        <w:rPr>
          <w:rFonts w:ascii="Arial" w:eastAsia="Arial" w:hAnsi="Arial"/>
        </w:rPr>
        <w:t xml:space="preserve">ao Município de Rio das Ostras, encontra-se com valor abaixo das demais notas fiscais apresentadas, como demonstrado na Planilha de Economicidade – Anexo III, e que </w:t>
      </w:r>
      <w:r>
        <w:rPr>
          <w:rFonts w:ascii="Arial" w:hAnsi="Arial"/>
          <w:color w:val="000000"/>
        </w:rPr>
        <w:t xml:space="preserve">o objetivo da </w:t>
      </w:r>
      <w:r>
        <w:rPr>
          <w:rFonts w:ascii="Arial" w:eastAsia="Arial" w:hAnsi="Arial"/>
          <w:color w:val="000000"/>
          <w:kern w:val="0"/>
        </w:rPr>
        <w:t>V Jornada Pedagógica do Município de Rio das Ostras,</w:t>
      </w:r>
      <w:r>
        <w:rPr>
          <w:rFonts w:ascii="Arial" w:hAnsi="Arial"/>
          <w:color w:val="000000"/>
        </w:rPr>
        <w:t xml:space="preserve"> é garanti</w:t>
      </w:r>
      <w:r>
        <w:rPr>
          <w:rFonts w:ascii="Arial" w:eastAsia="Times New Roman" w:hAnsi="Arial"/>
          <w:color w:val="000000"/>
          <w:lang w:eastAsia="pt-BR"/>
        </w:rPr>
        <w:t xml:space="preserve">r aos profissionais da </w:t>
      </w:r>
      <w:r>
        <w:rPr>
          <w:rFonts w:ascii="Arial" w:eastAsia="Times New Roman" w:hAnsi="Arial"/>
          <w:color w:val="000000"/>
          <w:lang w:eastAsia="pt-BR"/>
        </w:rPr>
        <w:lastRenderedPageBreak/>
        <w:t xml:space="preserve">Rede Municipal de Ensino uma </w:t>
      </w:r>
      <w:r>
        <w:rPr>
          <w:rFonts w:ascii="Arial" w:eastAsia="Arial" w:hAnsi="Arial"/>
          <w:color w:val="000000"/>
          <w:lang w:eastAsia="pt-BR"/>
        </w:rPr>
        <w:t xml:space="preserve">melhor qualificação e capacitação para adaptação às novas tendências educacionais e consequentemente melhoria da qualidade das práticas pedagógicas, entende-se </w:t>
      </w:r>
      <w:r>
        <w:rPr>
          <w:rFonts w:ascii="Arial" w:eastAsia="Arial" w:hAnsi="Arial"/>
          <w:i/>
          <w:iCs/>
          <w:color w:val="000000"/>
          <w:lang w:eastAsia="pt-BR"/>
        </w:rPr>
        <w:t>s.m.j.</w:t>
      </w:r>
      <w:r>
        <w:rPr>
          <w:rFonts w:ascii="Arial" w:eastAsia="Arial" w:hAnsi="Arial"/>
          <w:color w:val="000000"/>
          <w:lang w:eastAsia="pt-BR"/>
        </w:rPr>
        <w:t xml:space="preserve"> que a contratação é vantajosa.</w:t>
      </w:r>
    </w:p>
    <w:p w14:paraId="25CC1F54" w14:textId="77777777" w:rsidR="00A31FF1" w:rsidRDefault="00A31FF1">
      <w:pPr>
        <w:pStyle w:val="Standard"/>
        <w:ind w:left="-426"/>
        <w:jc w:val="both"/>
        <w:rPr>
          <w:rFonts w:ascii="Arial" w:eastAsia="Times New Roman" w:hAnsi="Arial"/>
          <w:color w:val="000000"/>
          <w:lang w:eastAsia="pt-BR"/>
        </w:rPr>
      </w:pPr>
    </w:p>
    <w:p w14:paraId="22DA9802" w14:textId="77777777" w:rsidR="00A31FF1" w:rsidRDefault="00D622F2">
      <w:pPr>
        <w:pStyle w:val="Standard"/>
        <w:spacing w:before="57" w:after="277" w:line="360" w:lineRule="auto"/>
        <w:ind w:left="-42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4 – DA EXECUÇÃO DO SERVIÇO</w:t>
      </w:r>
    </w:p>
    <w:p w14:paraId="37064AEF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4.1 – A empresa CONTRATADA iniciará o serviço após o recebimento da Ordem de Execução do Serviço, que será emitida pela Secretaria Municipal de Educação, Esporte e Lazer, após a assinatura de contrato e empenhamento da despesa, devendo executá-la com estrita observância a todas as exigências, quantitativos, prazos, normas, itens, subitens, elementos, especificações, condições gerais e especiais, contidas neste instrumento, no Contrato e seus anexos.</w:t>
      </w:r>
    </w:p>
    <w:p w14:paraId="0775943C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4.2 – A empresa CONTRATADA se responsabilizará por todas as despesas de viagem aérea e terrestre, hospedagem e alimentação da escritora e sua equipe.</w:t>
      </w:r>
    </w:p>
    <w:p w14:paraId="44C47A5E" w14:textId="77777777" w:rsidR="00A31FF1" w:rsidRDefault="00D622F2">
      <w:pPr>
        <w:pStyle w:val="Standard"/>
        <w:spacing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4.3 – A empresa CONTRATADA deverá executar o serviço conforme cronograma abaixo:</w:t>
      </w:r>
    </w:p>
    <w:p w14:paraId="4097474F" w14:textId="77777777" w:rsidR="00A31FF1" w:rsidRDefault="00A31FF1">
      <w:pPr>
        <w:pStyle w:val="Standard"/>
        <w:spacing w:line="360" w:lineRule="auto"/>
        <w:ind w:left="-426"/>
        <w:jc w:val="both"/>
        <w:rPr>
          <w:rFonts w:ascii="Arial" w:hAnsi="Arial"/>
        </w:rPr>
      </w:pPr>
    </w:p>
    <w:tbl>
      <w:tblPr>
        <w:tblpPr w:leftFromText="180" w:rightFromText="180" w:topFromText="180" w:bottomFromText="180" w:vertAnchor="text" w:tblpX="-289"/>
        <w:tblW w:w="9455" w:type="dxa"/>
        <w:tblLayout w:type="fixed"/>
        <w:tblLook w:val="0400" w:firstRow="0" w:lastRow="0" w:firstColumn="0" w:lastColumn="0" w:noHBand="0" w:noVBand="1"/>
      </w:tblPr>
      <w:tblGrid>
        <w:gridCol w:w="2065"/>
        <w:gridCol w:w="1791"/>
        <w:gridCol w:w="2685"/>
        <w:gridCol w:w="2914"/>
      </w:tblGrid>
      <w:tr w:rsidR="00A31FF1" w14:paraId="7A9983C1" w14:textId="77777777">
        <w:trPr>
          <w:trHeight w:val="240"/>
        </w:trPr>
        <w:tc>
          <w:tcPr>
            <w:tcW w:w="945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E2F3"/>
          </w:tcPr>
          <w:p w14:paraId="06976F67" w14:textId="77777777" w:rsidR="00A31FF1" w:rsidRDefault="00D622F2">
            <w:pPr>
              <w:widowControl w:val="0"/>
              <w:spacing w:line="360" w:lineRule="auto"/>
              <w:ind w:right="-163"/>
              <w:jc w:val="center"/>
              <w:rPr>
                <w:rFonts w:ascii="Arial" w:eastAsia="Arial" w:hAnsi="Arial"/>
                <w:b/>
              </w:rPr>
            </w:pPr>
            <w:r>
              <w:rPr>
                <w:rFonts w:ascii="Arial" w:eastAsia="Arial" w:hAnsi="Arial"/>
                <w:b/>
              </w:rPr>
              <w:t>PALESTRAS</w:t>
            </w:r>
          </w:p>
        </w:tc>
      </w:tr>
      <w:tr w:rsidR="00A31FF1" w14:paraId="1A2159CC" w14:textId="77777777">
        <w:trPr>
          <w:trHeight w:val="329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06BEF" w14:textId="77777777" w:rsidR="00A31FF1" w:rsidRDefault="00D622F2">
            <w:pPr>
              <w:widowControl w:val="0"/>
              <w:spacing w:line="360" w:lineRule="auto"/>
              <w:jc w:val="center"/>
              <w:rPr>
                <w:rFonts w:ascii="Arial" w:eastAsia="Arial" w:hAnsi="Arial"/>
                <w:b/>
                <w:sz w:val="20"/>
                <w:szCs w:val="20"/>
              </w:rPr>
            </w:pPr>
            <w:r>
              <w:rPr>
                <w:rFonts w:ascii="Arial" w:eastAsia="Arial" w:hAnsi="Arial"/>
                <w:b/>
                <w:sz w:val="20"/>
                <w:szCs w:val="20"/>
              </w:rPr>
              <w:t>DATA/ TURNO/HORÁRIO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19B487" w14:textId="77777777" w:rsidR="00A31FF1" w:rsidRDefault="00D622F2">
            <w:pPr>
              <w:widowControl w:val="0"/>
              <w:spacing w:line="360" w:lineRule="auto"/>
              <w:jc w:val="center"/>
              <w:rPr>
                <w:rFonts w:ascii="Arial" w:eastAsia="Arial" w:hAnsi="Arial"/>
                <w:b/>
                <w:sz w:val="20"/>
                <w:szCs w:val="20"/>
              </w:rPr>
            </w:pPr>
            <w:r>
              <w:rPr>
                <w:rFonts w:ascii="Arial" w:eastAsia="Arial" w:hAnsi="Arial"/>
                <w:b/>
                <w:sz w:val="20"/>
                <w:szCs w:val="20"/>
              </w:rPr>
              <w:t>PALESTRANTE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2F4687" w14:textId="77777777" w:rsidR="00A31FF1" w:rsidRDefault="00D622F2">
            <w:pPr>
              <w:widowControl w:val="0"/>
              <w:spacing w:line="360" w:lineRule="auto"/>
              <w:jc w:val="center"/>
              <w:rPr>
                <w:rFonts w:ascii="Arial" w:eastAsia="Arial" w:hAnsi="Arial"/>
                <w:b/>
                <w:sz w:val="20"/>
                <w:szCs w:val="20"/>
              </w:rPr>
            </w:pPr>
            <w:r>
              <w:rPr>
                <w:rFonts w:ascii="Arial" w:eastAsia="Arial" w:hAnsi="Arial"/>
                <w:b/>
                <w:sz w:val="20"/>
                <w:szCs w:val="20"/>
              </w:rPr>
              <w:t>TEMA: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B19EAE" w14:textId="77777777" w:rsidR="00A31FF1" w:rsidRDefault="00D622F2">
            <w:pPr>
              <w:widowControl w:val="0"/>
              <w:spacing w:line="360" w:lineRule="auto"/>
              <w:jc w:val="center"/>
              <w:rPr>
                <w:rFonts w:ascii="Arial" w:eastAsia="Arial" w:hAnsi="Arial"/>
                <w:b/>
                <w:sz w:val="20"/>
                <w:szCs w:val="20"/>
              </w:rPr>
            </w:pPr>
            <w:r>
              <w:rPr>
                <w:rFonts w:ascii="Arial" w:eastAsia="Arial" w:hAnsi="Arial"/>
                <w:b/>
                <w:sz w:val="20"/>
                <w:szCs w:val="20"/>
              </w:rPr>
              <w:t>PÚBLICO-ALVO</w:t>
            </w:r>
          </w:p>
        </w:tc>
      </w:tr>
      <w:tr w:rsidR="00A31FF1" w14:paraId="70281632" w14:textId="77777777">
        <w:trPr>
          <w:trHeight w:val="329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E9FC2" w14:textId="7661BA75" w:rsidR="00A31FF1" w:rsidRDefault="00AC7955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sz w:val="20"/>
                <w:szCs w:val="20"/>
              </w:rPr>
              <w:t>17/06</w:t>
            </w:r>
          </w:p>
          <w:p w14:paraId="70C3953D" w14:textId="77777777" w:rsidR="00A31FF1" w:rsidRDefault="00D622F2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sz w:val="20"/>
                <w:szCs w:val="20"/>
              </w:rPr>
              <w:t>Tarde - 15h às 17h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41351B" w14:textId="77777777" w:rsidR="00A31FF1" w:rsidRDefault="00D622F2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sz w:val="20"/>
                <w:szCs w:val="20"/>
              </w:rPr>
              <w:t>Daniel Munduruku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F0EAB" w14:textId="77777777" w:rsidR="00A31FF1" w:rsidRDefault="00D622F2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color w:val="212529"/>
                <w:sz w:val="20"/>
                <w:szCs w:val="20"/>
                <w:highlight w:val="white"/>
              </w:rPr>
              <w:t>Conversas indígenas sobre o ato de educar-se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2A95D" w14:textId="77777777" w:rsidR="00A31FF1" w:rsidRDefault="00D622F2">
            <w:pPr>
              <w:widowControl w:val="0"/>
              <w:shd w:val="clear" w:color="auto" w:fill="FFFFFF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sz w:val="20"/>
                <w:szCs w:val="20"/>
              </w:rPr>
              <w:t xml:space="preserve">Profissionais de Educação que atuam nos Anos Iniciais (4º e 5º anos) e Anos Finais (6º e 9º anos) </w:t>
            </w:r>
          </w:p>
        </w:tc>
      </w:tr>
      <w:tr w:rsidR="00A31FF1" w14:paraId="4254E385" w14:textId="77777777">
        <w:trPr>
          <w:trHeight w:val="704"/>
        </w:trPr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86BF5" w14:textId="5E2ABAD5" w:rsidR="00A31FF1" w:rsidRDefault="00AC7955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sz w:val="20"/>
                <w:szCs w:val="20"/>
              </w:rPr>
              <w:t>18/06</w:t>
            </w:r>
          </w:p>
          <w:p w14:paraId="0B827025" w14:textId="77777777" w:rsidR="00A31FF1" w:rsidRDefault="00D622F2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sz w:val="20"/>
                <w:szCs w:val="20"/>
              </w:rPr>
              <w:t>Manhã - 10h - 12h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1502A0" w14:textId="77777777" w:rsidR="00A31FF1" w:rsidRDefault="00D622F2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sz w:val="20"/>
                <w:szCs w:val="20"/>
              </w:rPr>
              <w:t>Daniel Munduruku</w:t>
            </w:r>
          </w:p>
        </w:tc>
        <w:tc>
          <w:tcPr>
            <w:tcW w:w="2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127D09" w14:textId="77777777" w:rsidR="00A31FF1" w:rsidRDefault="00D622F2">
            <w:pPr>
              <w:widowControl w:val="0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color w:val="212529"/>
                <w:sz w:val="20"/>
                <w:szCs w:val="20"/>
                <w:highlight w:val="white"/>
              </w:rPr>
              <w:t>Conversas indígenas sobre o ato de educar-se</w:t>
            </w: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36BA1" w14:textId="77777777" w:rsidR="00A31FF1" w:rsidRDefault="00D622F2">
            <w:pPr>
              <w:widowControl w:val="0"/>
              <w:shd w:val="clear" w:color="auto" w:fill="FFFFFF"/>
              <w:spacing w:line="360" w:lineRule="auto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eastAsia="Arial" w:hAnsi="Arial"/>
                <w:sz w:val="20"/>
                <w:szCs w:val="20"/>
              </w:rPr>
              <w:t xml:space="preserve">Profissionais de Educação que atuam nos Anos Iniciais (4º e 5º anos) e Anos Finais (6º e 9º anos) </w:t>
            </w:r>
          </w:p>
        </w:tc>
      </w:tr>
    </w:tbl>
    <w:p w14:paraId="4DA92B99" w14:textId="77777777" w:rsidR="00A31FF1" w:rsidRDefault="00A31FF1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</w:p>
    <w:p w14:paraId="6DFA74F4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5 – DA INEXIGIBILIDADE</w:t>
      </w:r>
    </w:p>
    <w:p w14:paraId="3C65B5D1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  <w:color w:val="333333"/>
        </w:rPr>
        <w:t xml:space="preserve">5.1 – É inexigível a Licitação por se tratar de profissional com notórias publicações de livros direcionados ao público infantojuvenil, com fulcro no Art. 74, inciso III, alínea </w:t>
      </w:r>
      <w:r>
        <w:rPr>
          <w:rFonts w:ascii="Arial" w:hAnsi="Arial"/>
          <w:i/>
          <w:iCs/>
          <w:color w:val="333333"/>
        </w:rPr>
        <w:t>f</w:t>
      </w:r>
      <w:r>
        <w:rPr>
          <w:rFonts w:ascii="Arial" w:hAnsi="Arial"/>
          <w:color w:val="333333"/>
        </w:rPr>
        <w:t xml:space="preserve"> da Lei 14.133/2021 e seu § 1º, in </w:t>
      </w:r>
      <w:proofErr w:type="spellStart"/>
      <w:r>
        <w:rPr>
          <w:rFonts w:ascii="Arial" w:hAnsi="Arial"/>
          <w:color w:val="333333"/>
        </w:rPr>
        <w:t>verbis</w:t>
      </w:r>
      <w:proofErr w:type="spellEnd"/>
      <w:r>
        <w:rPr>
          <w:rFonts w:ascii="Arial" w:hAnsi="Arial"/>
          <w:color w:val="333333"/>
        </w:rPr>
        <w:t>:</w:t>
      </w:r>
    </w:p>
    <w:p w14:paraId="24FCF276" w14:textId="77777777" w:rsidR="00A31FF1" w:rsidRDefault="00D622F2">
      <w:pPr>
        <w:pStyle w:val="Standard"/>
        <w:tabs>
          <w:tab w:val="left" w:pos="4203"/>
        </w:tabs>
        <w:spacing w:line="360" w:lineRule="auto"/>
        <w:ind w:left="2268"/>
        <w:jc w:val="both"/>
        <w:rPr>
          <w:rFonts w:ascii="Arial" w:hAnsi="Arial"/>
          <w:color w:val="333333"/>
          <w:sz w:val="22"/>
          <w:szCs w:val="22"/>
        </w:rPr>
      </w:pPr>
      <w:r>
        <w:rPr>
          <w:rFonts w:ascii="Arial" w:hAnsi="Arial"/>
          <w:color w:val="333333"/>
          <w:sz w:val="22"/>
          <w:szCs w:val="22"/>
        </w:rPr>
        <w:lastRenderedPageBreak/>
        <w:t>“Art. 74. É inexigível a licitação quando houver inviabilidade de competição, em especial nos casos de: […]”</w:t>
      </w:r>
    </w:p>
    <w:p w14:paraId="16EE630D" w14:textId="77777777" w:rsidR="00A31FF1" w:rsidRDefault="00D622F2">
      <w:pPr>
        <w:pStyle w:val="Standard"/>
        <w:tabs>
          <w:tab w:val="left" w:pos="4203"/>
        </w:tabs>
        <w:spacing w:line="360" w:lineRule="auto"/>
        <w:ind w:left="226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333333"/>
          <w:sz w:val="22"/>
          <w:szCs w:val="22"/>
        </w:rPr>
        <w:t xml:space="preserve">“[…] </w:t>
      </w:r>
      <w:r>
        <w:rPr>
          <w:rFonts w:ascii="Arial" w:hAnsi="Arial"/>
          <w:sz w:val="22"/>
          <w:szCs w:val="22"/>
        </w:rPr>
        <w:t xml:space="preserve">III - contratação dos seguintes </w:t>
      </w:r>
      <w:r>
        <w:rPr>
          <w:rFonts w:ascii="Arial" w:hAnsi="Arial"/>
          <w:b/>
          <w:bCs/>
          <w:sz w:val="22"/>
          <w:szCs w:val="22"/>
        </w:rPr>
        <w:t>serviços técnicos especializados de</w:t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b/>
          <w:bCs/>
          <w:sz w:val="22"/>
          <w:szCs w:val="22"/>
        </w:rPr>
        <w:t>natureza predominantemente intelectual com profissionais ou empresas de notória especialização</w:t>
      </w:r>
      <w:r>
        <w:rPr>
          <w:rFonts w:ascii="Arial" w:hAnsi="Arial"/>
          <w:sz w:val="22"/>
          <w:szCs w:val="22"/>
        </w:rPr>
        <w:t>, vedada a inexigibilidade para serviços de publicidade e divulgação:</w:t>
      </w:r>
    </w:p>
    <w:p w14:paraId="525A9674" w14:textId="77777777" w:rsidR="00A31FF1" w:rsidRDefault="00D622F2">
      <w:pPr>
        <w:pStyle w:val="Default"/>
        <w:spacing w:line="360" w:lineRule="auto"/>
        <w:ind w:left="2268"/>
        <w:rPr>
          <w:rFonts w:ascii="Arial" w:hAnsi="Arial"/>
          <w:sz w:val="22"/>
          <w:szCs w:val="22"/>
          <w:lang w:val="pt-BR"/>
        </w:rPr>
      </w:pPr>
      <w:r>
        <w:rPr>
          <w:rFonts w:ascii="Arial" w:hAnsi="Arial"/>
          <w:sz w:val="22"/>
          <w:szCs w:val="22"/>
          <w:lang w:val="pt-BR"/>
        </w:rPr>
        <w:t>a) estudos técnicos, planejamentos, projetos básicos ou projetos executivos;</w:t>
      </w:r>
    </w:p>
    <w:p w14:paraId="784ACAD6" w14:textId="77777777" w:rsidR="00A31FF1" w:rsidRDefault="00D622F2">
      <w:pPr>
        <w:pStyle w:val="Default"/>
        <w:spacing w:line="360" w:lineRule="auto"/>
        <w:ind w:left="2268"/>
        <w:rPr>
          <w:rFonts w:ascii="Arial" w:hAnsi="Arial"/>
          <w:sz w:val="22"/>
          <w:szCs w:val="22"/>
          <w:lang w:val="pt-BR"/>
        </w:rPr>
      </w:pPr>
      <w:r>
        <w:rPr>
          <w:rFonts w:ascii="Arial" w:hAnsi="Arial"/>
          <w:sz w:val="22"/>
          <w:szCs w:val="22"/>
          <w:lang w:val="pt-BR"/>
        </w:rPr>
        <w:t>b) pareceres, perícias e avaliações em geral;</w:t>
      </w:r>
    </w:p>
    <w:p w14:paraId="685466C1" w14:textId="77777777" w:rsidR="00A31FF1" w:rsidRDefault="00D622F2">
      <w:pPr>
        <w:pStyle w:val="Default"/>
        <w:spacing w:line="360" w:lineRule="auto"/>
        <w:ind w:left="2268"/>
        <w:rPr>
          <w:rFonts w:ascii="Arial" w:hAnsi="Arial"/>
          <w:sz w:val="22"/>
          <w:szCs w:val="22"/>
          <w:lang w:val="pt-BR"/>
        </w:rPr>
      </w:pPr>
      <w:r>
        <w:rPr>
          <w:rFonts w:ascii="Arial" w:hAnsi="Arial"/>
          <w:sz w:val="22"/>
          <w:szCs w:val="22"/>
          <w:lang w:val="pt-BR"/>
        </w:rPr>
        <w:t>c) assessorias ou consultorias técnicas e auditorias financeiras ou tributárias;</w:t>
      </w:r>
    </w:p>
    <w:p w14:paraId="08F6F36D" w14:textId="77777777" w:rsidR="00A31FF1" w:rsidRDefault="00D622F2">
      <w:pPr>
        <w:pStyle w:val="Default"/>
        <w:spacing w:line="360" w:lineRule="auto"/>
        <w:ind w:left="2268"/>
        <w:rPr>
          <w:rFonts w:ascii="Arial" w:hAnsi="Arial"/>
          <w:sz w:val="22"/>
          <w:szCs w:val="22"/>
          <w:lang w:val="pt-BR"/>
        </w:rPr>
      </w:pPr>
      <w:r>
        <w:rPr>
          <w:rFonts w:ascii="Arial" w:hAnsi="Arial"/>
          <w:sz w:val="22"/>
          <w:szCs w:val="22"/>
          <w:lang w:val="pt-BR"/>
        </w:rPr>
        <w:t>d) fiscalização, supervisão ou gerenciamento de obras ou serviços;</w:t>
      </w:r>
    </w:p>
    <w:p w14:paraId="04E55300" w14:textId="77777777" w:rsidR="00A31FF1" w:rsidRDefault="00D622F2">
      <w:pPr>
        <w:pStyle w:val="Default"/>
        <w:spacing w:line="360" w:lineRule="auto"/>
        <w:ind w:left="2268"/>
        <w:rPr>
          <w:rFonts w:ascii="Arial" w:hAnsi="Arial"/>
          <w:sz w:val="22"/>
          <w:szCs w:val="22"/>
          <w:lang w:val="pt-BR"/>
        </w:rPr>
      </w:pPr>
      <w:r>
        <w:rPr>
          <w:rFonts w:ascii="Arial" w:hAnsi="Arial"/>
          <w:sz w:val="22"/>
          <w:szCs w:val="22"/>
          <w:lang w:val="pt-BR"/>
        </w:rPr>
        <w:t>e) patrocínio ou defesa de causas judiciais ou administrativas;</w:t>
      </w:r>
    </w:p>
    <w:p w14:paraId="6CADD587" w14:textId="77777777" w:rsidR="00A31FF1" w:rsidRDefault="00D622F2">
      <w:pPr>
        <w:pStyle w:val="Default"/>
        <w:spacing w:line="360" w:lineRule="auto"/>
        <w:ind w:left="2268"/>
        <w:rPr>
          <w:rFonts w:ascii="Arial" w:hAnsi="Arial"/>
          <w:b/>
          <w:bCs/>
          <w:sz w:val="22"/>
          <w:szCs w:val="22"/>
          <w:lang w:val="pt-BR"/>
        </w:rPr>
      </w:pPr>
      <w:r>
        <w:rPr>
          <w:rFonts w:ascii="Arial" w:hAnsi="Arial"/>
          <w:b/>
          <w:bCs/>
          <w:sz w:val="22"/>
          <w:szCs w:val="22"/>
          <w:lang w:val="pt-BR"/>
        </w:rPr>
        <w:t>f) treinamento e aperfeiçoamento de pessoal;</w:t>
      </w:r>
    </w:p>
    <w:p w14:paraId="63E59487" w14:textId="77777777" w:rsidR="00A31FF1" w:rsidRDefault="00D622F2">
      <w:pPr>
        <w:pStyle w:val="Default"/>
        <w:spacing w:line="360" w:lineRule="auto"/>
        <w:ind w:left="2268"/>
        <w:rPr>
          <w:rFonts w:ascii="Arial" w:hAnsi="Arial"/>
          <w:sz w:val="22"/>
          <w:szCs w:val="22"/>
          <w:lang w:val="pt-BR"/>
        </w:rPr>
      </w:pPr>
      <w:r>
        <w:rPr>
          <w:rFonts w:ascii="Arial" w:hAnsi="Arial"/>
          <w:sz w:val="22"/>
          <w:szCs w:val="22"/>
          <w:lang w:val="pt-BR"/>
        </w:rPr>
        <w:t>g) restauração de obras de arte e de bens de valor histórico;</w:t>
      </w:r>
    </w:p>
    <w:p w14:paraId="797FDBE0" w14:textId="77777777" w:rsidR="00A31FF1" w:rsidRDefault="00D622F2">
      <w:pPr>
        <w:pStyle w:val="Standard"/>
        <w:tabs>
          <w:tab w:val="left" w:pos="4203"/>
        </w:tabs>
        <w:spacing w:line="360" w:lineRule="auto"/>
        <w:ind w:left="2268"/>
        <w:jc w:val="both"/>
      </w:pPr>
      <w:r>
        <w:rPr>
          <w:rFonts w:ascii="Arial" w:hAnsi="Arial"/>
          <w:sz w:val="22"/>
          <w:szCs w:val="22"/>
        </w:rPr>
        <w:t xml:space="preserve">h) controles de qualidade e tecnológico, análises, testes e ensaios de campo e laboratoriais, instrumentação e monitoramento de parâmetros específicos de obras e do meio ambiente e demais serviços de engenharia que se enquadrem no disposto neste inciso; </w:t>
      </w:r>
      <w:r>
        <w:rPr>
          <w:rFonts w:ascii="Arial" w:hAnsi="Arial"/>
          <w:color w:val="333333"/>
          <w:sz w:val="22"/>
          <w:szCs w:val="22"/>
        </w:rPr>
        <w:t>[…]”</w:t>
      </w:r>
    </w:p>
    <w:p w14:paraId="3923229A" w14:textId="77777777" w:rsidR="00A31FF1" w:rsidRDefault="00D622F2">
      <w:pPr>
        <w:pStyle w:val="Standard"/>
        <w:tabs>
          <w:tab w:val="left" w:pos="4203"/>
        </w:tabs>
        <w:spacing w:after="49" w:line="360" w:lineRule="auto"/>
        <w:ind w:left="2268" w:hanging="57"/>
        <w:jc w:val="right"/>
        <w:rPr>
          <w:rFonts w:ascii="Arial" w:hAnsi="Arial"/>
          <w:color w:val="333333"/>
          <w:sz w:val="22"/>
          <w:szCs w:val="22"/>
        </w:rPr>
      </w:pPr>
      <w:r>
        <w:rPr>
          <w:rFonts w:ascii="Arial" w:hAnsi="Arial"/>
          <w:color w:val="333333"/>
          <w:sz w:val="22"/>
          <w:szCs w:val="22"/>
        </w:rPr>
        <w:t>(grifo próprio).</w:t>
      </w:r>
    </w:p>
    <w:p w14:paraId="13F33C19" w14:textId="77777777" w:rsidR="00A31FF1" w:rsidRDefault="00D622F2">
      <w:pPr>
        <w:pStyle w:val="Standard"/>
        <w:tabs>
          <w:tab w:val="left" w:pos="4203"/>
        </w:tabs>
        <w:spacing w:after="49" w:line="360" w:lineRule="auto"/>
        <w:ind w:left="2268" w:hanging="57"/>
        <w:jc w:val="both"/>
      </w:pPr>
      <w:r>
        <w:rPr>
          <w:rFonts w:ascii="Arial" w:hAnsi="Arial"/>
          <w:color w:val="333333"/>
          <w:sz w:val="22"/>
          <w:szCs w:val="22"/>
        </w:rPr>
        <w:t xml:space="preserve"> “[…] § 3º Para fins do disposto no inciso III do </w:t>
      </w:r>
      <w:r>
        <w:rPr>
          <w:rFonts w:ascii="Arial" w:hAnsi="Arial"/>
          <w:b/>
          <w:sz w:val="22"/>
          <w:szCs w:val="22"/>
        </w:rPr>
        <w:t xml:space="preserve">caput </w:t>
      </w:r>
      <w:r>
        <w:rPr>
          <w:rFonts w:ascii="Arial" w:hAnsi="Arial"/>
          <w:sz w:val="22"/>
          <w:szCs w:val="22"/>
        </w:rPr>
        <w:t>deste artigo, considera-se de notória especialização o profissional ou a empresa cujo conceito no campo de sua especialidade, decorrente de desempenho anterior, estudos, experiência, publicações, organização, aparelhamento, equipe técnica ou outros requisitos relacionados com suas atividades, permita inferir que o seu trabalho é essencial e reconhecidamente adequado à plena satisfação do objeto do contrato.”</w:t>
      </w:r>
    </w:p>
    <w:p w14:paraId="75554FDD" w14:textId="77777777" w:rsidR="00A31FF1" w:rsidRDefault="00A31FF1">
      <w:pPr>
        <w:pStyle w:val="Standard"/>
        <w:tabs>
          <w:tab w:val="left" w:pos="4146"/>
        </w:tabs>
        <w:spacing w:line="360" w:lineRule="auto"/>
        <w:ind w:left="2211"/>
        <w:jc w:val="both"/>
        <w:rPr>
          <w:rFonts w:ascii="Arial" w:hAnsi="Arial"/>
          <w:color w:val="333333"/>
          <w:sz w:val="22"/>
          <w:szCs w:val="22"/>
        </w:rPr>
      </w:pPr>
    </w:p>
    <w:p w14:paraId="64E5C7BF" w14:textId="77777777" w:rsidR="00A31FF1" w:rsidRDefault="00D622F2">
      <w:pPr>
        <w:pStyle w:val="Standard"/>
        <w:spacing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5.2 – Considerando</w:t>
      </w:r>
      <w:r>
        <w:rPr>
          <w:rFonts w:ascii="Arial" w:hAnsi="Arial"/>
          <w:b/>
          <w:bCs/>
        </w:rPr>
        <w:t xml:space="preserve"> </w:t>
      </w:r>
      <w:r>
        <w:rPr>
          <w:rFonts w:ascii="Arial" w:hAnsi="Arial"/>
        </w:rPr>
        <w:t>que o profissional em questão apresenta notório saber, conforme justificativa apresentada pelo Núcleo de Gestão Pedagógica – NUGEPE e documentos comprobatórios anexos.</w:t>
      </w:r>
    </w:p>
    <w:p w14:paraId="5E2CCAF8" w14:textId="77777777" w:rsidR="00A31FF1" w:rsidRDefault="00A31FF1">
      <w:pPr>
        <w:pStyle w:val="Standard"/>
        <w:spacing w:line="360" w:lineRule="auto"/>
        <w:ind w:left="-426"/>
        <w:jc w:val="both"/>
        <w:rPr>
          <w:rFonts w:ascii="Arial" w:hAnsi="Arial"/>
        </w:rPr>
      </w:pPr>
    </w:p>
    <w:p w14:paraId="77736B1A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6 – DO RECURSO ORÇAMENTÁRIO</w:t>
      </w:r>
    </w:p>
    <w:p w14:paraId="21E0AA93" w14:textId="77777777" w:rsidR="00A31FF1" w:rsidRDefault="00D622F2">
      <w:pPr>
        <w:pStyle w:val="Standard"/>
        <w:spacing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6.1 – O recurso necessário à realização da despesa segue na Planilha de Distribuição por Programa de Trabalho, anexa.</w:t>
      </w:r>
    </w:p>
    <w:p w14:paraId="42FC930F" w14:textId="77777777" w:rsidR="00A31FF1" w:rsidRDefault="00A31FF1">
      <w:pPr>
        <w:pStyle w:val="Standard"/>
        <w:spacing w:line="360" w:lineRule="auto"/>
        <w:ind w:left="-426"/>
        <w:jc w:val="both"/>
        <w:rPr>
          <w:rFonts w:ascii="Arial" w:hAnsi="Arial"/>
        </w:rPr>
      </w:pPr>
    </w:p>
    <w:p w14:paraId="6EA26F21" w14:textId="77777777" w:rsidR="00A31FF1" w:rsidRDefault="00D622F2">
      <w:pPr>
        <w:pStyle w:val="Standard"/>
        <w:spacing w:before="57" w:after="163" w:line="360" w:lineRule="auto"/>
        <w:ind w:left="-42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7 – DO PRAZO</w:t>
      </w:r>
    </w:p>
    <w:p w14:paraId="688E262B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7.1 – O prazo de duração do contrato, visando a execução do serviço será de até 30 (trinta) dias contados da emissão da Ordem de Execução de Serviços.</w:t>
      </w:r>
    </w:p>
    <w:p w14:paraId="305B3017" w14:textId="77777777" w:rsidR="00A31FF1" w:rsidRDefault="00D622F2">
      <w:pPr>
        <w:pStyle w:val="Standard"/>
        <w:spacing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7.2 – A Ordem de Execução de Serviços será emitida pela Secretaria Municipal de Educação, Esporte e Lazer – SEMEDE, após a assinatura do Contrato e o Empenho da despesa.</w:t>
      </w:r>
    </w:p>
    <w:p w14:paraId="3550AE7C" w14:textId="77777777" w:rsidR="00A31FF1" w:rsidRDefault="00A31FF1">
      <w:pPr>
        <w:pStyle w:val="Standard"/>
        <w:spacing w:line="360" w:lineRule="auto"/>
        <w:ind w:left="-426"/>
        <w:jc w:val="both"/>
        <w:rPr>
          <w:rFonts w:ascii="Arial" w:hAnsi="Arial"/>
        </w:rPr>
      </w:pPr>
    </w:p>
    <w:p w14:paraId="73429380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8 – DAS OBRIGAÇÕES CONTRATUAIS</w:t>
      </w:r>
    </w:p>
    <w:p w14:paraId="5C218824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8.1 – A CONTRATADA obriga-se a cumprir o dispositivo no inciso XXXIII do art. 7º da Constituição Federal;</w:t>
      </w:r>
    </w:p>
    <w:p w14:paraId="0D70A3A0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8.2 – A CONTRATADA será responsável por todos os ônus e obrigações decorrentes da legislação civil, social, secundária, trabalhista, previdenciária, comercial, fiscal e tributária, que direta ou indiretamente incidam ou venham a incidir sobre o objeto do contrato a ser firmado, inclusive ICMS, bem como pelas demais legislações aplicadas aos seus empregados;</w:t>
      </w:r>
    </w:p>
    <w:p w14:paraId="3541DCBC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8.3 – A CONTRATADA deverá observar todas as quantidades, exigências, prazos, normas, itens, subitens, elementos, especificações, condições gerais e especiais contidas na Ordem de Fornecimento, no Contrato e neste termo de referência e seus anexos;</w:t>
      </w:r>
    </w:p>
    <w:p w14:paraId="3ABDE732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8.4 - A CONTRATADA durante a vigência do Contrato, será a única responsável, perante terceiros, pelos atos praticados pelo seu pessoal, propostos ou subordinados, além dos riscos a que estiverem sujeitas, excluídas a Municipalidade de quaisquer reclamações e indenizações;</w:t>
      </w:r>
    </w:p>
    <w:p w14:paraId="225B4D45" w14:textId="77777777" w:rsidR="00A31FF1" w:rsidRDefault="00D622F2">
      <w:pPr>
        <w:pStyle w:val="Standard"/>
        <w:spacing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8.5 – A CONTRATADA será a única responsável por quaisquer compromissos assumidos com terceiros, ainda que vinculados à execução do presente Contrato.</w:t>
      </w:r>
    </w:p>
    <w:p w14:paraId="23B01D52" w14:textId="77777777" w:rsidR="00A31FF1" w:rsidRDefault="00A31FF1">
      <w:pPr>
        <w:pStyle w:val="Standard"/>
        <w:rPr>
          <w:rFonts w:ascii="Arial" w:hAnsi="Arial"/>
        </w:rPr>
      </w:pPr>
    </w:p>
    <w:p w14:paraId="366190AE" w14:textId="77777777" w:rsidR="00A31FF1" w:rsidRDefault="00D622F2">
      <w:pPr>
        <w:pStyle w:val="Standard"/>
        <w:spacing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8.6 - A CONTRATADA será responsável pelos danos causados diretamente à Administração ou a terceiros em razão da execução do contrato, e não excluirá nem reduzirá essa responsabilidade a fiscalização ou o acompanhamento pelo contratante, conforme prescreve o art. 120, da Lei Federal 14.133/2021.</w:t>
      </w:r>
    </w:p>
    <w:p w14:paraId="57F83E66" w14:textId="77777777" w:rsidR="00A31FF1" w:rsidRDefault="00A31FF1">
      <w:pPr>
        <w:pStyle w:val="Standard"/>
        <w:spacing w:line="360" w:lineRule="auto"/>
        <w:ind w:left="-426"/>
        <w:jc w:val="both"/>
        <w:rPr>
          <w:rFonts w:ascii="Arial" w:hAnsi="Arial"/>
          <w:b/>
          <w:bCs/>
        </w:rPr>
      </w:pPr>
    </w:p>
    <w:p w14:paraId="697EAB10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9 – DAS OBRIGAÇÕES DO MUNICÍPIO</w:t>
      </w:r>
    </w:p>
    <w:p w14:paraId="3B75871D" w14:textId="77777777" w:rsidR="00A31FF1" w:rsidRDefault="00D622F2">
      <w:pPr>
        <w:pStyle w:val="Standard"/>
        <w:spacing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9.1 – Caberá ao Município fiscalizar a execução do Contrato, de forma imediata através da Secretaria Municipal de Educação, Esporte e Lazer – SEMEDE. Incumbe à fiscalização a prática de todos os atos que lhe são próprios, definidos na Legislação pertinente, nas especificações dos serviços, no Contrato, inclusive quanto à aplicação das penalidades previstas no Contrato e na Legislação em vigor, observado o contraditório e a ampla defesa;</w:t>
      </w:r>
    </w:p>
    <w:p w14:paraId="26CD3881" w14:textId="77777777" w:rsidR="00A31FF1" w:rsidRDefault="00D622F2">
      <w:pPr>
        <w:pStyle w:val="Standard"/>
        <w:spacing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9.2 - Designar um servidor especialmente para acompanhar e fiscalizar a execução do contrato.</w:t>
      </w:r>
    </w:p>
    <w:p w14:paraId="29FD85F4" w14:textId="77777777" w:rsidR="00A31FF1" w:rsidRDefault="00D622F2">
      <w:pPr>
        <w:pStyle w:val="Standard"/>
        <w:spacing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9.3 – Proporcionar todas as condições pa</w:t>
      </w:r>
      <w:r>
        <w:rPr>
          <w:rFonts w:ascii="Arial" w:hAnsi="Arial"/>
        </w:rPr>
        <w:t>ra que a CONTRATADA possa desempenhar seus serviços de acordo com as determinações do contrato, especialmente deste Termo de Referência.</w:t>
      </w:r>
    </w:p>
    <w:p w14:paraId="7E08BA5A" w14:textId="77777777" w:rsidR="00A31FF1" w:rsidRDefault="00A31FF1">
      <w:pPr>
        <w:pStyle w:val="Standard"/>
        <w:spacing w:line="360" w:lineRule="auto"/>
        <w:ind w:left="-426"/>
        <w:jc w:val="both"/>
        <w:rPr>
          <w:rFonts w:ascii="Arial" w:hAnsi="Arial"/>
        </w:rPr>
      </w:pPr>
    </w:p>
    <w:p w14:paraId="2FE2114C" w14:textId="77777777" w:rsidR="00A31FF1" w:rsidRDefault="00D622F2">
      <w:pPr>
        <w:pStyle w:val="Standard"/>
        <w:spacing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9.4 - Notificar o fornecedor, por escrito, sobre imperfeições, falhas ou irregularidades constatadas nos serviços prestados.</w:t>
      </w:r>
    </w:p>
    <w:p w14:paraId="0EBE5B2B" w14:textId="77777777" w:rsidR="00A31FF1" w:rsidRDefault="00A31FF1">
      <w:pPr>
        <w:pStyle w:val="Standard"/>
        <w:spacing w:line="360" w:lineRule="auto"/>
        <w:ind w:left="-426"/>
        <w:jc w:val="both"/>
        <w:rPr>
          <w:rFonts w:ascii="Arial" w:hAnsi="Arial"/>
        </w:rPr>
      </w:pPr>
    </w:p>
    <w:p w14:paraId="37BC29D5" w14:textId="77777777" w:rsidR="00A31FF1" w:rsidRDefault="00D622F2">
      <w:pPr>
        <w:pStyle w:val="Standard"/>
        <w:spacing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  <w:color w:val="000000"/>
        </w:rPr>
        <w:t>9.5 - Suspender q</w:t>
      </w:r>
      <w:r>
        <w:rPr>
          <w:rFonts w:ascii="Arial" w:hAnsi="Arial"/>
        </w:rPr>
        <w:t>ualquer serviço que esteja sendo executado em desacordo com o especificado, sempre que essa medida se tornar necessária.</w:t>
      </w:r>
    </w:p>
    <w:p w14:paraId="489DA679" w14:textId="77777777" w:rsidR="00A31FF1" w:rsidRDefault="00A31FF1">
      <w:pPr>
        <w:pStyle w:val="Standard"/>
        <w:spacing w:line="360" w:lineRule="auto"/>
        <w:ind w:left="-426"/>
        <w:jc w:val="both"/>
        <w:rPr>
          <w:rFonts w:ascii="Arial" w:hAnsi="Arial"/>
        </w:rPr>
      </w:pPr>
    </w:p>
    <w:p w14:paraId="63083E7B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10 – DA FORMA DE PAGAMENTO</w:t>
      </w:r>
    </w:p>
    <w:p w14:paraId="4E51DC4F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10.1 – Os pagamentos serão efetuados em moeda corrente de País, pela Secretaria Municipal de Fazenda – SEMFAZ, no prazo máximo de 30 dias, contados </w:t>
      </w:r>
      <w:r>
        <w:rPr>
          <w:rFonts w:ascii="Arial" w:hAnsi="Arial"/>
          <w:color w:val="000000"/>
        </w:rPr>
        <w:t>da data de entrada da nota fiscal na SEMFAZ;</w:t>
      </w:r>
    </w:p>
    <w:p w14:paraId="357DA48E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10.2 – A secretaria Municipal de Educação, Esporte e Lazer encaminhará no prazo máximo de </w:t>
      </w:r>
      <w:r>
        <w:rPr>
          <w:rFonts w:ascii="Arial" w:hAnsi="Arial"/>
          <w:b/>
          <w:bCs/>
        </w:rPr>
        <w:t>10 dias úteis</w:t>
      </w:r>
      <w:r>
        <w:rPr>
          <w:rFonts w:ascii="Arial" w:hAnsi="Arial"/>
        </w:rPr>
        <w:t>, contados a partir de seu recebimento, a respectiva Nota Fiscal/Fatura, isenta de erros e devidamente atestada, com todas as certidões e guias de pagamento atualizados, à Secretaria Municipal de Fazenda – SEMFAZ;</w:t>
      </w:r>
    </w:p>
    <w:p w14:paraId="301EBDF8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10.3 – Caso se faça necessária a representação de qualquer fatura por culpa da CONTRATADA, para que a Secretaria de Fazenda efetue o pagamento, será suspensa a contagem do prazo fixado neste item, devendo esta ser retomada pelo restante do prazo, iniciando-se novamente sua contagem a partir da data da apresentação da respectiva fatura, escoimadas dos problemas que levaram sua suspensão;</w:t>
      </w:r>
    </w:p>
    <w:p w14:paraId="266A9987" w14:textId="77777777" w:rsidR="00A31FF1" w:rsidRDefault="00D622F2">
      <w:pPr>
        <w:pStyle w:val="Standard"/>
        <w:spacing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10.4 – O pagamento será efetuado através de depósito bancário, mediante informações apresentadas pela CONTRATADA no corpo da Nota Fiscal/Fatura (nome do banco, nº da agência e conta corrente).</w:t>
      </w:r>
    </w:p>
    <w:p w14:paraId="62909FFD" w14:textId="77777777" w:rsidR="00A31FF1" w:rsidRDefault="00A31FF1">
      <w:pPr>
        <w:pStyle w:val="Standard"/>
        <w:spacing w:line="360" w:lineRule="auto"/>
        <w:ind w:left="-426"/>
        <w:jc w:val="both"/>
        <w:rPr>
          <w:rFonts w:ascii="Arial" w:hAnsi="Arial"/>
        </w:rPr>
      </w:pPr>
    </w:p>
    <w:p w14:paraId="6156A5D8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11 – DA FISCALIZAÇÃO CONTRATUAL</w:t>
      </w:r>
    </w:p>
    <w:p w14:paraId="54252FC0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11.1 – A execução do contrato deverá ser acompanhada e fiscalizada por 1 (um) ou mais fiscais do contrato, representantes da Administração especialmente designados conforme requisitos estabelecidos no art. 7º desta Lei Federal nº 14.133/2021, ou pelos respectivos substitutos, permitida a contratação de terceiros para assisti-los e subsidiá-los com informações pertinentes a essa atribuição, na forma prescrita no art. 117, da referida Lei.</w:t>
      </w:r>
    </w:p>
    <w:p w14:paraId="31A5C240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11.2 - Incumbe à fiscalização contratual a prática de todos os atos que lhe são próprios, definidos na Legislação pertinente, no Edital e seus Anexos, nas especificações dos serviços, no CONTRATO, inclusive quanto à aplicação das penalidades previstas no CONTRATO e na Legislação em vigor, em especial as previstas no art. 156 da Lei Federal nº 14.133/2021 e suas alterações e no Decreto Municipal 2.092/2019 e suas alterações e demais legislações municipais, observado o contraditório e a ampla defesa.</w:t>
      </w:r>
    </w:p>
    <w:p w14:paraId="3F19E180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11.3 - O fiscal do contrato anotará em registro próprio todas as ocorrências relacionadas à execução do contrato, determinando o que for necessário para a regularização das faltas ou dos defeitos observados.</w:t>
      </w:r>
    </w:p>
    <w:p w14:paraId="5EECB394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11.4 - O fiscal do contrato informará a seus superiores, em tempo hábil para a adoção das medidas convenientes, a situação que demandar decisão ou providência que ultrapasse sua competência.</w:t>
      </w:r>
    </w:p>
    <w:p w14:paraId="39B22AEE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11.5 - O fiscal do contrato será auxiliado pelos órgãos de assessoramento jurídico e de controle interno da Administração, que deverão dirimir dúvidas e subsidiá-lo com informações relevantes para prevenir riscos na execução contratual.</w:t>
      </w:r>
    </w:p>
    <w:p w14:paraId="0325B119" w14:textId="77777777" w:rsidR="00A31FF1" w:rsidRDefault="00D622F2">
      <w:pPr>
        <w:pStyle w:val="Standard"/>
        <w:spacing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  <w:shd w:val="clear" w:color="auto" w:fill="FFFFFF"/>
        </w:rPr>
        <w:t xml:space="preserve">11.6 - Os servidores </w:t>
      </w:r>
      <w:r>
        <w:rPr>
          <w:rFonts w:ascii="Arial" w:eastAsia="Arial" w:hAnsi="Arial"/>
        </w:rPr>
        <w:t>Yuri da Silva Ribeiro Bonilha, matrícula nº 200140 e Jéssica de Souza Borges, matrícula 199575</w:t>
      </w:r>
      <w:r>
        <w:rPr>
          <w:rFonts w:ascii="Arial" w:hAnsi="Arial"/>
          <w:shd w:val="clear" w:color="auto" w:fill="FFFFFF"/>
        </w:rPr>
        <w:t xml:space="preserve"> ficarão responsáveis pelo acompanhamento e fiscalização da </w:t>
      </w:r>
      <w:r>
        <w:rPr>
          <w:rFonts w:ascii="Arial" w:hAnsi="Arial"/>
        </w:rPr>
        <w:t>execução do contrato.</w:t>
      </w:r>
    </w:p>
    <w:p w14:paraId="5807CE3E" w14:textId="77777777" w:rsidR="00A31FF1" w:rsidRDefault="00A31FF1">
      <w:pPr>
        <w:pStyle w:val="Standard"/>
        <w:spacing w:line="360" w:lineRule="auto"/>
        <w:ind w:left="-426"/>
        <w:jc w:val="both"/>
        <w:rPr>
          <w:rFonts w:ascii="Arial" w:hAnsi="Arial"/>
        </w:rPr>
      </w:pPr>
    </w:p>
    <w:p w14:paraId="3E800947" w14:textId="77777777" w:rsidR="00A31FF1" w:rsidRDefault="00D622F2">
      <w:pPr>
        <w:pStyle w:val="Standard"/>
        <w:spacing w:line="360" w:lineRule="auto"/>
        <w:ind w:left="-426"/>
        <w:jc w:val="both"/>
        <w:rPr>
          <w:rFonts w:ascii="Arial" w:hAnsi="Arial"/>
          <w:b/>
          <w:bCs/>
        </w:rPr>
      </w:pPr>
      <w:r>
        <w:rPr>
          <w:rFonts w:ascii="Arial" w:hAnsi="Arial"/>
          <w:b/>
          <w:bCs/>
        </w:rPr>
        <w:t>12 - DAS INFRAÇÕES E SANÇÕES ADMINISTRATIVAS</w:t>
      </w:r>
    </w:p>
    <w:p w14:paraId="50F0B0B9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12.1 - De acordo com a previsão expressa do art. 155, da Lei Federal nº 14.133/2021 o licitante ou o contratado será responsabilizado administrativamente pelas seguintes infrações:</w:t>
      </w:r>
      <w:bookmarkStart w:id="4" w:name="art155i"/>
      <w:bookmarkEnd w:id="4"/>
    </w:p>
    <w:p w14:paraId="3CB8916F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I - </w:t>
      </w:r>
      <w:proofErr w:type="gramStart"/>
      <w:r>
        <w:rPr>
          <w:rFonts w:ascii="Arial" w:hAnsi="Arial"/>
        </w:rPr>
        <w:t>dar</w:t>
      </w:r>
      <w:proofErr w:type="gramEnd"/>
      <w:r>
        <w:rPr>
          <w:rFonts w:ascii="Arial" w:hAnsi="Arial"/>
        </w:rPr>
        <w:t xml:space="preserve"> causa à inexecução parcial do contrato;</w:t>
      </w:r>
      <w:bookmarkStart w:id="5" w:name="art155ii"/>
      <w:bookmarkEnd w:id="5"/>
    </w:p>
    <w:p w14:paraId="0FB01C34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II - </w:t>
      </w:r>
      <w:proofErr w:type="gramStart"/>
      <w:r>
        <w:rPr>
          <w:rFonts w:ascii="Arial" w:hAnsi="Arial"/>
        </w:rPr>
        <w:t>dar</w:t>
      </w:r>
      <w:proofErr w:type="gramEnd"/>
      <w:r>
        <w:rPr>
          <w:rFonts w:ascii="Arial" w:hAnsi="Arial"/>
        </w:rPr>
        <w:t xml:space="preserve"> causa à inexecução parcial do contrato que cause grave dano à Administração, ao funcionamento dos serviços públicos ou ao interesse coletivo;</w:t>
      </w:r>
      <w:bookmarkStart w:id="6" w:name="art155iii"/>
      <w:bookmarkEnd w:id="6"/>
    </w:p>
    <w:p w14:paraId="7236B84D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III - dar causa à inexecução total do contrato;</w:t>
      </w:r>
      <w:bookmarkStart w:id="7" w:name="art155iv"/>
      <w:bookmarkEnd w:id="7"/>
    </w:p>
    <w:p w14:paraId="384951C4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IV - </w:t>
      </w:r>
      <w:proofErr w:type="gramStart"/>
      <w:r>
        <w:rPr>
          <w:rFonts w:ascii="Arial" w:hAnsi="Arial"/>
        </w:rPr>
        <w:t>deixar</w:t>
      </w:r>
      <w:proofErr w:type="gramEnd"/>
      <w:r>
        <w:rPr>
          <w:rFonts w:ascii="Arial" w:hAnsi="Arial"/>
        </w:rPr>
        <w:t xml:space="preserve"> de entregar a documentação exigida para o certame;</w:t>
      </w:r>
      <w:bookmarkStart w:id="8" w:name="art155v"/>
      <w:bookmarkEnd w:id="8"/>
    </w:p>
    <w:p w14:paraId="6FD2A657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V - </w:t>
      </w:r>
      <w:proofErr w:type="gramStart"/>
      <w:r>
        <w:rPr>
          <w:rFonts w:ascii="Arial" w:hAnsi="Arial"/>
        </w:rPr>
        <w:t>não</w:t>
      </w:r>
      <w:proofErr w:type="gramEnd"/>
      <w:r>
        <w:rPr>
          <w:rFonts w:ascii="Arial" w:hAnsi="Arial"/>
        </w:rPr>
        <w:t xml:space="preserve"> manter a proposta, salvo em decorrência de fato superveniente devidamente justificado;</w:t>
      </w:r>
      <w:bookmarkStart w:id="9" w:name="art155vi"/>
      <w:bookmarkEnd w:id="9"/>
    </w:p>
    <w:p w14:paraId="7F444526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VI - </w:t>
      </w:r>
      <w:proofErr w:type="gramStart"/>
      <w:r>
        <w:rPr>
          <w:rFonts w:ascii="Arial" w:hAnsi="Arial"/>
        </w:rPr>
        <w:t>não</w:t>
      </w:r>
      <w:proofErr w:type="gramEnd"/>
      <w:r>
        <w:rPr>
          <w:rFonts w:ascii="Arial" w:hAnsi="Arial"/>
        </w:rPr>
        <w:t xml:space="preserve"> celebrar o contrato ou não entregar a documentação exigida para a contratação, quando convocado dentro do prazo de validade de sua proposta;</w:t>
      </w:r>
      <w:bookmarkStart w:id="10" w:name="art155vii"/>
      <w:bookmarkEnd w:id="10"/>
    </w:p>
    <w:p w14:paraId="791DB238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VII - ensejar o retardamento da execução ou da entrega do objeto da licitação sem motivo justificado;</w:t>
      </w:r>
      <w:bookmarkStart w:id="11" w:name="art155viii"/>
      <w:bookmarkEnd w:id="11"/>
    </w:p>
    <w:p w14:paraId="034B1272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VIII - apresentar declaração ou documentação falsa exigida para o certame ou prestar declaração falsa durante a licitação ou a execução do contrato;</w:t>
      </w:r>
      <w:bookmarkStart w:id="12" w:name="art155ix"/>
      <w:bookmarkEnd w:id="12"/>
    </w:p>
    <w:p w14:paraId="720F5BE1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IX - </w:t>
      </w:r>
      <w:proofErr w:type="gramStart"/>
      <w:r>
        <w:rPr>
          <w:rFonts w:ascii="Arial" w:hAnsi="Arial"/>
        </w:rPr>
        <w:t>fraudar</w:t>
      </w:r>
      <w:proofErr w:type="gramEnd"/>
      <w:r>
        <w:rPr>
          <w:rFonts w:ascii="Arial" w:hAnsi="Arial"/>
        </w:rPr>
        <w:t xml:space="preserve"> a licitação ou praticar ato fraudulento na execução do contrato;</w:t>
      </w:r>
      <w:bookmarkStart w:id="13" w:name="art155x"/>
      <w:bookmarkEnd w:id="13"/>
    </w:p>
    <w:p w14:paraId="5244B6FB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X - </w:t>
      </w:r>
      <w:proofErr w:type="gramStart"/>
      <w:r>
        <w:rPr>
          <w:rFonts w:ascii="Arial" w:hAnsi="Arial"/>
        </w:rPr>
        <w:t>comportar-se</w:t>
      </w:r>
      <w:proofErr w:type="gramEnd"/>
      <w:r>
        <w:rPr>
          <w:rFonts w:ascii="Arial" w:hAnsi="Arial"/>
        </w:rPr>
        <w:t xml:space="preserve"> de modo inidôneo ou cometer fraude de qualquer natureza;</w:t>
      </w:r>
      <w:bookmarkStart w:id="14" w:name="art155xi"/>
      <w:bookmarkEnd w:id="14"/>
    </w:p>
    <w:p w14:paraId="312CAFD9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XI - praticar atos ilícitos com vistas a frustrar os objetivos da licitação;</w:t>
      </w:r>
      <w:bookmarkStart w:id="15" w:name="art155xii"/>
      <w:bookmarkEnd w:id="15"/>
    </w:p>
    <w:p w14:paraId="1A62EA8E" w14:textId="77777777" w:rsidR="00A31FF1" w:rsidRDefault="00D622F2">
      <w:pPr>
        <w:pStyle w:val="Standard"/>
        <w:spacing w:after="220" w:line="276" w:lineRule="auto"/>
        <w:ind w:left="-426"/>
        <w:jc w:val="both"/>
        <w:rPr>
          <w:rStyle w:val="LinkdaInternet"/>
          <w:rFonts w:ascii="Arial" w:hAnsi="Arial"/>
        </w:rPr>
      </w:pPr>
      <w:r>
        <w:rPr>
          <w:rFonts w:ascii="Arial" w:hAnsi="Arial"/>
        </w:rPr>
        <w:t xml:space="preserve">XII - praticar ato lesivo previsto no </w:t>
      </w:r>
      <w:hyperlink r:id="rId9" w:anchor="art5" w:history="1">
        <w:r>
          <w:rPr>
            <w:rStyle w:val="LinkdaInternet"/>
            <w:rFonts w:ascii="Arial" w:hAnsi="Arial"/>
          </w:rPr>
          <w:t>art. 5º da Lei nº 12.846, de 1º de agosto de 2013.</w:t>
        </w:r>
      </w:hyperlink>
    </w:p>
    <w:p w14:paraId="5FCD1171" w14:textId="77777777" w:rsidR="00A31FF1" w:rsidRDefault="00A31FF1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</w:p>
    <w:p w14:paraId="5922FD4E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12.2 - De acordo com o art. 156, da Lei Federal nº 14.133/2021, serão aplicadas ao responsável pelas infrações administrativas previstas na citada lei, as seguintes sanções:</w:t>
      </w:r>
    </w:p>
    <w:p w14:paraId="2E5C90B3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I - </w:t>
      </w:r>
      <w:proofErr w:type="gramStart"/>
      <w:r>
        <w:rPr>
          <w:rFonts w:ascii="Arial" w:hAnsi="Arial"/>
        </w:rPr>
        <w:t>advertência</w:t>
      </w:r>
      <w:proofErr w:type="gramEnd"/>
      <w:r>
        <w:rPr>
          <w:rFonts w:ascii="Arial" w:hAnsi="Arial"/>
        </w:rPr>
        <w:t>;</w:t>
      </w:r>
    </w:p>
    <w:p w14:paraId="3027E411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II - </w:t>
      </w:r>
      <w:proofErr w:type="gramStart"/>
      <w:r>
        <w:rPr>
          <w:rFonts w:ascii="Arial" w:hAnsi="Arial"/>
        </w:rPr>
        <w:t>multa</w:t>
      </w:r>
      <w:proofErr w:type="gramEnd"/>
      <w:r>
        <w:rPr>
          <w:rFonts w:ascii="Arial" w:hAnsi="Arial"/>
        </w:rPr>
        <w:t>;</w:t>
      </w:r>
    </w:p>
    <w:p w14:paraId="05652D22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III - impedimento de licitar e contratar;</w:t>
      </w:r>
    </w:p>
    <w:p w14:paraId="1581135F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IV - </w:t>
      </w:r>
      <w:proofErr w:type="gramStart"/>
      <w:r>
        <w:rPr>
          <w:rFonts w:ascii="Arial" w:hAnsi="Arial"/>
        </w:rPr>
        <w:t>declaração</w:t>
      </w:r>
      <w:proofErr w:type="gramEnd"/>
      <w:r>
        <w:rPr>
          <w:rFonts w:ascii="Arial" w:hAnsi="Arial"/>
        </w:rPr>
        <w:t xml:space="preserve"> de inidoneidade para licitar ou contratar.</w:t>
      </w:r>
      <w:bookmarkStart w:id="16" w:name="art156§1"/>
      <w:bookmarkEnd w:id="16"/>
    </w:p>
    <w:p w14:paraId="13D0E8D3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§ 1º Na aplicação das sanções serão considerados:</w:t>
      </w:r>
    </w:p>
    <w:p w14:paraId="50809ACD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I - a natureza e a gravidade da infração cometida;</w:t>
      </w:r>
    </w:p>
    <w:p w14:paraId="70BF947E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 xml:space="preserve">II - </w:t>
      </w:r>
      <w:proofErr w:type="gramStart"/>
      <w:r>
        <w:rPr>
          <w:rFonts w:ascii="Arial" w:hAnsi="Arial"/>
        </w:rPr>
        <w:t>as</w:t>
      </w:r>
      <w:proofErr w:type="gramEnd"/>
      <w:r>
        <w:rPr>
          <w:rFonts w:ascii="Arial" w:hAnsi="Arial"/>
        </w:rPr>
        <w:t xml:space="preserve"> peculiaridades do caso concreto;</w:t>
      </w:r>
    </w:p>
    <w:p w14:paraId="00B0A6CE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III - as circunstâncias agravantes ou atenuantes;</w:t>
      </w:r>
    </w:p>
    <w:p w14:paraId="13FBD839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IV - </w:t>
      </w:r>
      <w:proofErr w:type="gramStart"/>
      <w:r>
        <w:rPr>
          <w:rFonts w:ascii="Arial" w:hAnsi="Arial"/>
        </w:rPr>
        <w:t>os</w:t>
      </w:r>
      <w:proofErr w:type="gramEnd"/>
      <w:r>
        <w:rPr>
          <w:rFonts w:ascii="Arial" w:hAnsi="Arial"/>
        </w:rPr>
        <w:t xml:space="preserve"> danos que dela provierem para a Administração Pública;</w:t>
      </w:r>
    </w:p>
    <w:p w14:paraId="3FA2BCB4" w14:textId="77777777" w:rsidR="00A31FF1" w:rsidRDefault="00D622F2">
      <w:pPr>
        <w:pStyle w:val="Standard"/>
        <w:spacing w:after="220" w:line="276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V - </w:t>
      </w:r>
      <w:proofErr w:type="gramStart"/>
      <w:r>
        <w:rPr>
          <w:rFonts w:ascii="Arial" w:hAnsi="Arial"/>
        </w:rPr>
        <w:t>a</w:t>
      </w:r>
      <w:proofErr w:type="gramEnd"/>
      <w:r>
        <w:rPr>
          <w:rFonts w:ascii="Arial" w:hAnsi="Arial"/>
        </w:rPr>
        <w:t xml:space="preserve"> implantação ou o aperfeiçoamento de programa de integridade, conforme normas e orientações dos órgãos de controle.</w:t>
      </w:r>
      <w:bookmarkStart w:id="17" w:name="art156§2"/>
      <w:bookmarkEnd w:id="17"/>
    </w:p>
    <w:p w14:paraId="612E1AFF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§ 2º A sanção prevista no inciso I do item 12.2 deste Termo de Referência será aplicada exclusivamente pela infração administrativa prevista no </w:t>
      </w:r>
      <w:hyperlink r:id="rId10" w:anchor="art155i" w:history="1">
        <w:r>
          <w:rPr>
            <w:rStyle w:val="LinkdaInternet"/>
            <w:rFonts w:ascii="Arial" w:hAnsi="Arial"/>
          </w:rPr>
          <w:t>inciso I do</w:t>
        </w:r>
      </w:hyperlink>
      <w:r>
        <w:rPr>
          <w:rFonts w:ascii="Arial" w:hAnsi="Arial"/>
        </w:rPr>
        <w:t xml:space="preserve"> item 12.1, quando não se justificar a imposição de penalidade mais grave.</w:t>
      </w:r>
    </w:p>
    <w:p w14:paraId="40CE8373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§ 3º A sanção prevista no inciso II do item 12.2 deste Termo de Referência, calculada na forma do edital ou do contrato, não poderá ser inferior a 0,5% (cinco décimos por cento) nem superior a 30% (trinta por cento) do valor do contrato licitado ou celebrado com contratação direta e será aplicada ao responsável por qualquer das infrações administrativas </w:t>
      </w:r>
      <w:hyperlink r:id="rId11" w:anchor="art155" w:history="1">
        <w:r>
          <w:rPr>
            <w:rStyle w:val="LinkdaInternet"/>
            <w:rFonts w:ascii="Arial" w:hAnsi="Arial"/>
            <w:color w:val="auto"/>
            <w:u w:val="none"/>
          </w:rPr>
          <w:t>n</w:t>
        </w:r>
      </w:hyperlink>
      <w:r>
        <w:rPr>
          <w:rFonts w:ascii="Arial" w:hAnsi="Arial"/>
        </w:rPr>
        <w:t>o item 12.1.</w:t>
      </w:r>
    </w:p>
    <w:p w14:paraId="4D95B24F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§ 4º A sanção prevista no inciso III do item 12.2 deste Termo de Referência será aplicada ao responsável pelas infrações administrativas previstas nos </w:t>
      </w:r>
      <w:hyperlink r:id="rId12" w:anchor="art155ii" w:history="1">
        <w:r>
          <w:rPr>
            <w:rStyle w:val="LinkdaInternet"/>
            <w:rFonts w:ascii="Arial" w:hAnsi="Arial"/>
          </w:rPr>
          <w:t>incisos II, III, IV, V, VI e VII do</w:t>
        </w:r>
      </w:hyperlink>
      <w:r>
        <w:rPr>
          <w:rFonts w:ascii="Arial" w:hAnsi="Arial"/>
        </w:rPr>
        <w:t xml:space="preserve"> item 12.1, quando não se justificar a imposição de penalidade mais grave, e impedirá o responsável de licitar ou contratar no âmbito da Administração Pública direta e indireta do ente federativo que tiver aplicado a sanção, pelo prazo máximo de 3 (três) a</w:t>
      </w:r>
      <w:bookmarkStart w:id="18" w:name="art156§5"/>
      <w:bookmarkEnd w:id="18"/>
      <w:r>
        <w:rPr>
          <w:rFonts w:ascii="Arial" w:hAnsi="Arial"/>
        </w:rPr>
        <w:t>nos.</w:t>
      </w:r>
    </w:p>
    <w:p w14:paraId="02E6713F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 xml:space="preserve">§ 5º A sanção prevista no inciso IV do item 12.2 deste Termo de Referência será aplicada ao responsável pelas infrações administrativas previstas nos </w:t>
      </w:r>
      <w:hyperlink r:id="rId13" w:anchor="art155viii" w:history="1">
        <w:r>
          <w:rPr>
            <w:rStyle w:val="LinkdaInternet"/>
            <w:rFonts w:ascii="Arial" w:hAnsi="Arial"/>
          </w:rPr>
          <w:t>incisos VIII, IX, X, XI e XII do</w:t>
        </w:r>
      </w:hyperlink>
      <w:r>
        <w:rPr>
          <w:rFonts w:ascii="Arial" w:hAnsi="Arial"/>
        </w:rPr>
        <w:t xml:space="preserve"> item 12.1, bem como pelas infrações administrativas previstas nos incisos II, III, IV, V, VI e VII do item 12.2 deste Termo de Referência, que justifiquem a imposição de penalidade mais grave que a sanção referida no § 4º do item 12.2, e impedirá o responsável de licitar ou contratar no âmbito da Administração Pública direta e indireta de todos os entes federativos, pelo prazo mínimo de 3 (três) anos e máximo de 6 (seis) anos.</w:t>
      </w:r>
    </w:p>
    <w:p w14:paraId="5D932A9E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§ 6º A sanção estabelecida no inciso IV do item 12.2 deste Termo de Referência será precedida de análise jurídica.</w:t>
      </w:r>
      <w:bookmarkStart w:id="19" w:name="art156§7"/>
      <w:bookmarkEnd w:id="19"/>
    </w:p>
    <w:p w14:paraId="71D6DA19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§ 7º As sanções previstas nos incisos I, III e IV do item 12.2 deste Termo de Referência poderão ser aplicadas cumulativamente com a prevista no inciso II do mesmo item.</w:t>
      </w:r>
      <w:bookmarkStart w:id="20" w:name="art156§8"/>
      <w:bookmarkEnd w:id="20"/>
    </w:p>
    <w:p w14:paraId="5A79D4BC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lastRenderedPageBreak/>
        <w:t>§ 8º 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  <w:bookmarkStart w:id="21" w:name="art156§9"/>
      <w:bookmarkEnd w:id="21"/>
    </w:p>
    <w:p w14:paraId="0EE3209E" w14:textId="77777777" w:rsidR="00A31FF1" w:rsidRDefault="00D622F2">
      <w:pPr>
        <w:pStyle w:val="Standard"/>
        <w:spacing w:after="220" w:line="360" w:lineRule="auto"/>
        <w:ind w:left="-426"/>
        <w:jc w:val="both"/>
        <w:rPr>
          <w:rFonts w:ascii="Arial" w:hAnsi="Arial"/>
        </w:rPr>
      </w:pPr>
      <w:r>
        <w:rPr>
          <w:rFonts w:ascii="Arial" w:hAnsi="Arial"/>
        </w:rPr>
        <w:t>§ 9º A aplicação das sanções previstas do item 12.2 deste Termo de Referência não exclui, em hipótese alguma, a obrigação de reparação integral do dano causado à Administração Pública.</w:t>
      </w:r>
    </w:p>
    <w:p w14:paraId="3A670B97" w14:textId="77777777" w:rsidR="00A31FF1" w:rsidRDefault="00A31FF1">
      <w:pPr>
        <w:pStyle w:val="Standard"/>
        <w:spacing w:after="220" w:line="360" w:lineRule="auto"/>
        <w:ind w:left="-426"/>
        <w:jc w:val="both"/>
        <w:rPr>
          <w:rFonts w:ascii="Arial" w:hAnsi="Arial"/>
          <w:b/>
          <w:bCs/>
          <w:shd w:val="clear" w:color="auto" w:fill="FFFFFF"/>
        </w:rPr>
      </w:pPr>
    </w:p>
    <w:p w14:paraId="1E34708E" w14:textId="77777777" w:rsidR="00A31FF1" w:rsidRDefault="00A31FF1">
      <w:pPr>
        <w:pStyle w:val="Standard"/>
        <w:spacing w:after="220" w:line="360" w:lineRule="auto"/>
        <w:ind w:left="-426"/>
        <w:jc w:val="both"/>
        <w:rPr>
          <w:rFonts w:ascii="Arial" w:hAnsi="Arial"/>
          <w:color w:val="1C1C1C"/>
          <w:shd w:val="clear" w:color="auto" w:fill="FFFFFF"/>
        </w:rPr>
      </w:pPr>
    </w:p>
    <w:sectPr w:rsidR="00A31FF1">
      <w:headerReference w:type="default" r:id="rId14"/>
      <w:footerReference w:type="default" r:id="rId15"/>
      <w:pgSz w:w="11906" w:h="16838"/>
      <w:pgMar w:top="1680" w:right="1020" w:bottom="1276" w:left="1417" w:header="600" w:footer="348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517B70" w14:textId="77777777" w:rsidR="00E36AE8" w:rsidRDefault="00E36AE8">
      <w:r>
        <w:separator/>
      </w:r>
    </w:p>
  </w:endnote>
  <w:endnote w:type="continuationSeparator" w:id="0">
    <w:p w14:paraId="6C77312D" w14:textId="77777777" w:rsidR="00E36AE8" w:rsidRDefault="00E36A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00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F2F1B2" w14:textId="77777777" w:rsidR="00A31FF1" w:rsidRDefault="00D622F2">
    <w:pPr>
      <w:pStyle w:val="Rodap"/>
      <w:jc w:val="right"/>
    </w:pPr>
    <w:r>
      <w:rPr>
        <w:noProof/>
      </w:rPr>
      <w:drawing>
        <wp:inline distT="0" distB="0" distL="0" distR="0" wp14:anchorId="1F7715CD" wp14:editId="368C2DFE">
          <wp:extent cx="5601335" cy="561975"/>
          <wp:effectExtent l="0" t="0" r="0" b="0"/>
          <wp:docPr id="2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601335" cy="5619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D37D7B" w14:textId="77777777" w:rsidR="00E36AE8" w:rsidRDefault="00E36AE8">
      <w:r>
        <w:separator/>
      </w:r>
    </w:p>
  </w:footnote>
  <w:footnote w:type="continuationSeparator" w:id="0">
    <w:p w14:paraId="1D8AA123" w14:textId="77777777" w:rsidR="00E36AE8" w:rsidRDefault="00E36A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49514" w14:textId="77777777" w:rsidR="00A31FF1" w:rsidRDefault="00D622F2">
    <w:pPr>
      <w:pStyle w:val="Cabealho"/>
      <w:ind w:left="-567"/>
    </w:pPr>
    <w:r>
      <w:rPr>
        <w:noProof/>
      </w:rPr>
      <w:drawing>
        <wp:inline distT="0" distB="0" distL="0" distR="0" wp14:anchorId="47C99ED1" wp14:editId="1CDE83E8">
          <wp:extent cx="3601085" cy="742950"/>
          <wp:effectExtent l="0" t="0" r="0" b="0"/>
          <wp:docPr id="1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5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601085" cy="7429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1079FB"/>
    <w:multiLevelType w:val="multilevel"/>
    <w:tmpl w:val="B5169D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9581E5A"/>
    <w:multiLevelType w:val="multilevel"/>
    <w:tmpl w:val="15BE5916"/>
    <w:lvl w:ilvl="0">
      <w:start w:val="1"/>
      <w:numFmt w:val="decimal"/>
      <w:lvlText w:val="%1"/>
      <w:lvlJc w:val="left"/>
      <w:pPr>
        <w:tabs>
          <w:tab w:val="num" w:pos="0"/>
        </w:tabs>
        <w:ind w:left="390" w:hanging="390"/>
      </w:pPr>
      <w:rPr>
        <w:rFonts w:eastAsia="NSimSun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390" w:hanging="390"/>
      </w:pPr>
      <w:rPr>
        <w:rFonts w:eastAsia="NSimSun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eastAsia="NSimSun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eastAsia="NSimSun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80" w:hanging="1080"/>
      </w:pPr>
      <w:rPr>
        <w:rFonts w:eastAsia="NSimSun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eastAsia="NSimSun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40" w:hanging="1440"/>
      </w:pPr>
      <w:rPr>
        <w:rFonts w:eastAsia="NSimSun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800"/>
      </w:pPr>
      <w:rPr>
        <w:rFonts w:eastAsia="NSimSun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800"/>
      </w:pPr>
      <w:rPr>
        <w:rFonts w:eastAsia="NSimSun"/>
        <w:color w:val="000000"/>
      </w:rPr>
    </w:lvl>
  </w:abstractNum>
  <w:abstractNum w:abstractNumId="2" w15:restartNumberingAfterBreak="0">
    <w:nsid w:val="7CD30EB9"/>
    <w:multiLevelType w:val="multilevel"/>
    <w:tmpl w:val="E7F66980"/>
    <w:lvl w:ilvl="0">
      <w:start w:val="1"/>
      <w:numFmt w:val="decimal"/>
      <w:pStyle w:val="Ttulo2"/>
      <w:lvlText w:val="%1"/>
      <w:lvlJc w:val="left"/>
      <w:pPr>
        <w:tabs>
          <w:tab w:val="num" w:pos="0"/>
        </w:tabs>
        <w:ind w:left="72" w:hanging="432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2343" w:hanging="576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6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504" w:hanging="864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648" w:hanging="1008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792" w:hanging="1152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93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08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224" w:hanging="1584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1FF1"/>
    <w:rsid w:val="000C1C03"/>
    <w:rsid w:val="00A31FF1"/>
    <w:rsid w:val="00AC7955"/>
    <w:rsid w:val="00D622F2"/>
    <w:rsid w:val="00E36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F38872"/>
  <w15:docId w15:val="{54A14ECA-AA39-4BD9-BE19-E395B2BA2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2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textAlignment w:val="baseline"/>
    </w:pPr>
  </w:style>
  <w:style w:type="paragraph" w:styleId="Ttulo1">
    <w:name w:val="heading 1"/>
    <w:basedOn w:val="Normal"/>
    <w:next w:val="Normal"/>
    <w:link w:val="Ttulo1Char"/>
    <w:uiPriority w:val="9"/>
    <w:qFormat/>
    <w:rsid w:val="00DC1C30"/>
    <w:pPr>
      <w:keepNext/>
      <w:keepLines/>
      <w:spacing w:before="240"/>
      <w:outlineLvl w:val="0"/>
    </w:pPr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paragraph" w:styleId="Ttulo2">
    <w:name w:val="heading 2"/>
    <w:basedOn w:val="Standard"/>
    <w:next w:val="Standard"/>
    <w:uiPriority w:val="9"/>
    <w:unhideWhenUsed/>
    <w:qFormat/>
    <w:pPr>
      <w:numPr>
        <w:numId w:val="1"/>
      </w:numPr>
      <w:spacing w:before="200" w:after="120"/>
      <w:contextualSpacing/>
      <w:outlineLvl w:val="1"/>
    </w:pPr>
    <w:rPr>
      <w:rFonts w:ascii="Arial Narrow" w:eastAsia="Times New Roman" w:hAnsi="Arial Narrow" w:cs="Times New Roman"/>
      <w:bCs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C1C30"/>
    <w:pPr>
      <w:keepNext/>
      <w:keepLines/>
      <w:spacing w:before="40"/>
      <w:outlineLvl w:val="2"/>
    </w:pPr>
    <w:rPr>
      <w:rFonts w:asciiTheme="majorHAnsi" w:eastAsiaTheme="majorEastAsia" w:hAnsiTheme="majorHAnsi" w:cs="Mangal"/>
      <w:color w:val="1F3763" w:themeColor="accent1" w:themeShade="7F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mbolosdenumerao">
    <w:name w:val="Símbolos de numeração"/>
    <w:qFormat/>
  </w:style>
  <w:style w:type="character" w:customStyle="1" w:styleId="Character20style">
    <w:name w:val="Character_20_style"/>
    <w:qFormat/>
  </w:style>
  <w:style w:type="character" w:styleId="nfase">
    <w:name w:val="Emphasis"/>
    <w:qFormat/>
    <w:rPr>
      <w:i/>
      <w:iCs/>
    </w:rPr>
  </w:style>
  <w:style w:type="character" w:customStyle="1" w:styleId="nfaseforte">
    <w:name w:val="Ênfase forte"/>
    <w:qFormat/>
    <w:rPr>
      <w:b/>
      <w:bCs/>
    </w:rPr>
  </w:style>
  <w:style w:type="character" w:customStyle="1" w:styleId="markedcontent">
    <w:name w:val="markedcontent"/>
    <w:basedOn w:val="Fontepargpadro"/>
    <w:qFormat/>
  </w:style>
  <w:style w:type="character" w:customStyle="1" w:styleId="LinkdaInternet">
    <w:name w:val="Link da Internet"/>
    <w:basedOn w:val="Fontepargpadro"/>
    <w:uiPriority w:val="99"/>
    <w:unhideWhenUsed/>
    <w:rsid w:val="00DC1C30"/>
    <w:rPr>
      <w:color w:val="0563C1" w:themeColor="hyperlink"/>
      <w:u w:val="single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Ttulo1Char">
    <w:name w:val="Título 1 Char"/>
    <w:basedOn w:val="Fontepargpadro"/>
    <w:link w:val="Ttulo1"/>
    <w:uiPriority w:val="9"/>
    <w:qFormat/>
    <w:rsid w:val="00DC1C30"/>
    <w:rPr>
      <w:rFonts w:asciiTheme="majorHAnsi" w:eastAsiaTheme="majorEastAsia" w:hAnsiTheme="majorHAnsi" w:cs="Mangal"/>
      <w:color w:val="2F5496" w:themeColor="accent1" w:themeShade="BF"/>
      <w:sz w:val="32"/>
      <w:szCs w:val="29"/>
    </w:rPr>
  </w:style>
  <w:style w:type="character" w:customStyle="1" w:styleId="Ttulo3Char">
    <w:name w:val="Título 3 Char"/>
    <w:basedOn w:val="Fontepargpadro"/>
    <w:link w:val="Ttulo3"/>
    <w:uiPriority w:val="9"/>
    <w:semiHidden/>
    <w:qFormat/>
    <w:rsid w:val="00DC1C30"/>
    <w:rPr>
      <w:rFonts w:asciiTheme="majorHAnsi" w:eastAsiaTheme="majorEastAsia" w:hAnsiTheme="majorHAnsi" w:cs="Mangal"/>
      <w:color w:val="1F3763" w:themeColor="accent1" w:themeShade="7F"/>
      <w:szCs w:val="21"/>
    </w:rPr>
  </w:style>
  <w:style w:type="paragraph" w:customStyle="1" w:styleId="Ttulo10">
    <w:name w:val="Título1"/>
    <w:basedOn w:val="Standard"/>
    <w:next w:val="Textbody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Standard"/>
    <w:qFormat/>
    <w:pPr>
      <w:suppressLineNumbers/>
    </w:pPr>
  </w:style>
  <w:style w:type="paragraph" w:customStyle="1" w:styleId="Standard">
    <w:name w:val="Standard"/>
    <w:qFormat/>
    <w:pPr>
      <w:textAlignment w:val="baseline"/>
    </w:pPr>
  </w:style>
  <w:style w:type="paragraph" w:customStyle="1" w:styleId="Textbody">
    <w:name w:val="Text body"/>
    <w:basedOn w:val="Standard"/>
    <w:qFormat/>
    <w:pPr>
      <w:spacing w:after="140" w:line="276" w:lineRule="auto"/>
    </w:pPr>
  </w:style>
  <w:style w:type="paragraph" w:customStyle="1" w:styleId="CabealhoeRodap">
    <w:name w:val="Cabeçalho e Rodapé"/>
    <w:basedOn w:val="Standard"/>
    <w:qFormat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CabealhoeRodap"/>
  </w:style>
  <w:style w:type="paragraph" w:customStyle="1" w:styleId="Default">
    <w:name w:val="Default"/>
    <w:qFormat/>
    <w:pPr>
      <w:textAlignment w:val="baseline"/>
    </w:pPr>
    <w:rPr>
      <w:rFonts w:ascii="Calibri" w:eastAsia="Calibri" w:hAnsi="Calibri" w:cs="Calibri"/>
      <w:color w:val="000000"/>
      <w:kern w:val="0"/>
      <w:lang w:val="en-US" w:eastAsia="en-US" w:bidi="ar-SA"/>
    </w:rPr>
  </w:style>
  <w:style w:type="paragraph" w:styleId="Rodap">
    <w:name w:val="footer"/>
    <w:basedOn w:val="CabealhoeRodap"/>
    <w:pPr>
      <w:tabs>
        <w:tab w:val="clear" w:pos="4819"/>
        <w:tab w:val="clear" w:pos="9638"/>
        <w:tab w:val="center" w:pos="4822"/>
        <w:tab w:val="right" w:pos="9645"/>
      </w:tabs>
    </w:pPr>
  </w:style>
  <w:style w:type="paragraph" w:customStyle="1" w:styleId="Contedodatabela">
    <w:name w:val="Conteúdo da tabela"/>
    <w:basedOn w:val="Standard"/>
    <w:qFormat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Ttulo31">
    <w:name w:val="Título 31"/>
    <w:basedOn w:val="Standard"/>
    <w:qFormat/>
    <w:pPr>
      <w:ind w:left="1313" w:hanging="366"/>
      <w:outlineLvl w:val="3"/>
    </w:pPr>
    <w:rPr>
      <w:rFonts w:ascii="Arial" w:eastAsia="Arial" w:hAnsi="Arial"/>
      <w:b/>
      <w:bCs/>
    </w:rPr>
  </w:style>
  <w:style w:type="paragraph" w:styleId="PargrafodaLista">
    <w:name w:val="List Paragraph"/>
    <w:basedOn w:val="Standard"/>
    <w:qFormat/>
    <w:pPr>
      <w:ind w:left="1313"/>
    </w:pPr>
  </w:style>
  <w:style w:type="paragraph" w:customStyle="1" w:styleId="LO-normal">
    <w:name w:val="LO-normal"/>
    <w:qFormat/>
    <w:pPr>
      <w:shd w:val="clear" w:color="auto" w:fill="FFFFFF"/>
      <w:jc w:val="both"/>
      <w:textAlignment w:val="baseline"/>
    </w:pPr>
    <w:rPr>
      <w:rFonts w:ascii="Times New Roman" w:hAnsi="Times New Roman"/>
      <w:color w:val="252525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LEIS/L9394.htm" TargetMode="External"/><Relationship Id="rId13" Type="http://schemas.openxmlformats.org/officeDocument/2006/relationships/hyperlink" Target="https://www.planalto.gov.br/ccivil_03/_ato2019-2022/2021/lei/l14133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planalto.gov.br/ccivil_03/leis/L9394.htm" TargetMode="External"/><Relationship Id="rId12" Type="http://schemas.openxmlformats.org/officeDocument/2006/relationships/hyperlink" Target="https://www.planalto.gov.br/ccivil_03/_ato2019-2022/2021/lei/l14133.htm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planalto.gov.br/ccivil_03/_ato2019-2022/2021/lei/l14133.htm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planalto.gov.br/ccivil_03/_ato2019-2022/2021/lei/l14133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lanalto.gov.br/ccivil_03/_Ato2011-2014/2013/Lei/L12846.htm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11</Pages>
  <Words>3250</Words>
  <Characters>17550</Characters>
  <Application>Microsoft Office Word</Application>
  <DocSecurity>0</DocSecurity>
  <Lines>146</Lines>
  <Paragraphs>41</Paragraphs>
  <ScaleCrop>false</ScaleCrop>
  <Company/>
  <LinksUpToDate>false</LinksUpToDate>
  <CharactersWithSpaces>20759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Taysa Peres Alcantara</dc:creator>
  <dc:description/>
  <cp:lastModifiedBy>Gomes Rodrigues Tanos</cp:lastModifiedBy>
  <cp:revision>2</cp:revision>
  <cp:lastPrinted>2024-04-18T10:00:00Z</cp:lastPrinted>
  <dcterms:created xsi:type="dcterms:W3CDTF">2024-06-05T20:14:00Z</dcterms:created>
  <dcterms:modified xsi:type="dcterms:W3CDTF">2024-06-05T20:14:00Z</dcterms:modified>
  <dc:language>pt-BR</dc:language>
</cp:coreProperties>
</file>