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EADBC" w14:textId="77777777" w:rsidR="00453012" w:rsidRPr="003B17CC" w:rsidRDefault="00453012" w:rsidP="003B17CC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jc w:val="center"/>
        <w:rPr>
          <w:rFonts w:asciiTheme="minorHAnsi" w:hAnsiTheme="minorHAnsi" w:cstheme="minorHAnsi"/>
          <w:b/>
          <w:bCs/>
          <w:color w:val="000000"/>
        </w:rPr>
      </w:pPr>
      <w:r w:rsidRPr="003B17CC">
        <w:rPr>
          <w:rFonts w:asciiTheme="minorHAnsi" w:hAnsiTheme="minorHAnsi" w:cstheme="minorHAnsi"/>
          <w:b/>
          <w:bCs/>
          <w:color w:val="000000"/>
        </w:rPr>
        <w:t>TERMO DE REFERÊNCIA</w:t>
      </w:r>
    </w:p>
    <w:p w14:paraId="57ABB181" w14:textId="77777777" w:rsidR="00453012" w:rsidRPr="003B17CC" w:rsidRDefault="00453012" w:rsidP="003B17CC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jc w:val="center"/>
        <w:rPr>
          <w:rFonts w:asciiTheme="minorHAnsi" w:hAnsiTheme="minorHAnsi" w:cstheme="minorHAnsi"/>
          <w:b/>
          <w:bCs/>
          <w:color w:val="000000"/>
        </w:rPr>
      </w:pPr>
      <w:r w:rsidRPr="003B17CC">
        <w:rPr>
          <w:rFonts w:asciiTheme="minorHAnsi" w:hAnsiTheme="minorHAnsi" w:cstheme="minorHAnsi"/>
          <w:b/>
          <w:bCs/>
          <w:color w:val="000000"/>
        </w:rPr>
        <w:t>LEI FEDERAL Nº 14.133/2021</w:t>
      </w:r>
    </w:p>
    <w:p w14:paraId="698AC28A" w14:textId="12B6A9E4" w:rsidR="006B3ADE" w:rsidRPr="003B17CC" w:rsidRDefault="00453012" w:rsidP="003B17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13" w:line="240" w:lineRule="auto"/>
        <w:jc w:val="center"/>
        <w:outlineLvl w:val="0"/>
        <w:rPr>
          <w:rFonts w:asciiTheme="minorHAnsi" w:hAnsiTheme="minorHAnsi" w:cstheme="minorHAnsi"/>
          <w:sz w:val="24"/>
          <w:szCs w:val="24"/>
        </w:rPr>
      </w:pPr>
      <w:r w:rsidRPr="003B17CC">
        <w:rPr>
          <w:rFonts w:asciiTheme="minorHAnsi" w:hAnsiTheme="minorHAnsi" w:cstheme="minorHAnsi"/>
          <w:b/>
          <w:bCs/>
          <w:color w:val="000000"/>
          <w:sz w:val="24"/>
          <w:szCs w:val="24"/>
        </w:rPr>
        <w:t>DECRETO MUNICIPAL N.º 3884/2024</w:t>
      </w:r>
    </w:p>
    <w:p w14:paraId="428E57B1" w14:textId="77777777" w:rsidR="00453012" w:rsidRPr="003B17CC" w:rsidRDefault="00453012" w:rsidP="003B17CC">
      <w:pPr>
        <w:spacing w:after="0" w:line="240" w:lineRule="auto"/>
        <w:jc w:val="both"/>
        <w:outlineLvl w:val="0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14:paraId="0B56262A" w14:textId="6397E2D7" w:rsidR="006B3ADE" w:rsidRPr="003B17CC" w:rsidRDefault="00AB5E0C" w:rsidP="003B17CC">
      <w:pPr>
        <w:spacing w:after="0" w:line="240" w:lineRule="auto"/>
        <w:jc w:val="both"/>
        <w:outlineLvl w:val="0"/>
        <w:rPr>
          <w:rFonts w:asciiTheme="minorHAnsi" w:hAnsiTheme="minorHAnsi" w:cstheme="minorHAnsi"/>
          <w:b/>
          <w:bCs/>
          <w:sz w:val="24"/>
          <w:szCs w:val="24"/>
        </w:rPr>
      </w:pPr>
      <w:r w:rsidRPr="003B17CC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PROCESSO ADMINISTRATIVO N.º </w:t>
      </w:r>
      <w:r w:rsidR="003C56A6" w:rsidRPr="003B17CC">
        <w:rPr>
          <w:rFonts w:asciiTheme="minorHAnsi" w:hAnsiTheme="minorHAnsi" w:cstheme="minorHAnsi"/>
          <w:b/>
          <w:bCs/>
          <w:color w:val="000000"/>
          <w:sz w:val="24"/>
          <w:szCs w:val="24"/>
        </w:rPr>
        <w:t>1</w:t>
      </w:r>
      <w:r w:rsidR="00267E4C">
        <w:rPr>
          <w:rFonts w:asciiTheme="minorHAnsi" w:hAnsiTheme="minorHAnsi" w:cstheme="minorHAnsi"/>
          <w:b/>
          <w:bCs/>
          <w:color w:val="000000"/>
          <w:sz w:val="24"/>
          <w:szCs w:val="24"/>
        </w:rPr>
        <w:t>8</w:t>
      </w:r>
      <w:r w:rsidR="003B17CC">
        <w:rPr>
          <w:rFonts w:asciiTheme="minorHAnsi" w:hAnsiTheme="minorHAnsi" w:cstheme="minorHAnsi"/>
          <w:b/>
          <w:bCs/>
          <w:color w:val="000000"/>
          <w:sz w:val="24"/>
          <w:szCs w:val="24"/>
        </w:rPr>
        <w:t>.</w:t>
      </w:r>
      <w:r w:rsidR="00267E4C">
        <w:rPr>
          <w:rFonts w:asciiTheme="minorHAnsi" w:hAnsiTheme="minorHAnsi" w:cstheme="minorHAnsi"/>
          <w:b/>
          <w:bCs/>
          <w:color w:val="000000"/>
          <w:sz w:val="24"/>
          <w:szCs w:val="24"/>
        </w:rPr>
        <w:t>187</w:t>
      </w:r>
      <w:r w:rsidR="00D03242" w:rsidRPr="003B17CC">
        <w:rPr>
          <w:rFonts w:asciiTheme="minorHAnsi" w:hAnsiTheme="minorHAnsi" w:cstheme="minorHAnsi"/>
          <w:b/>
          <w:bCs/>
          <w:color w:val="000000"/>
          <w:sz w:val="24"/>
          <w:szCs w:val="24"/>
        </w:rPr>
        <w:t>/202</w:t>
      </w:r>
      <w:r w:rsidR="00267E4C">
        <w:rPr>
          <w:rFonts w:asciiTheme="minorHAnsi" w:hAnsiTheme="minorHAnsi" w:cstheme="minorHAnsi"/>
          <w:b/>
          <w:bCs/>
          <w:color w:val="000000"/>
          <w:sz w:val="24"/>
          <w:szCs w:val="24"/>
        </w:rPr>
        <w:t>6</w:t>
      </w:r>
    </w:p>
    <w:p w14:paraId="558C519A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1. DO OBJETO</w:t>
      </w:r>
    </w:p>
    <w:p w14:paraId="03235877" w14:textId="13F8FF2A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1.1.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O presente Termo de Referência tem por objeto a prospecção do mercado imobiliário no Município de Rio das Ostras/RJ, com vistas à futura locação de imóvel não residencial urbano, destinado à instalação e ao funcionamento </w:t>
      </w:r>
      <w:r w:rsidR="006C0AE1">
        <w:rPr>
          <w:rFonts w:asciiTheme="minorHAnsi" w:eastAsia="Times New Roman" w:hAnsiTheme="minorHAnsi" w:cstheme="minorHAnsi"/>
          <w:sz w:val="24"/>
          <w:szCs w:val="24"/>
          <w:lang w:eastAsia="pt-BR"/>
        </w:rPr>
        <w:t>ao</w:t>
      </w:r>
      <w:r w:rsidR="006C0AE1" w:rsidRPr="00110C5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6C0AE1">
        <w:rPr>
          <w:rFonts w:asciiTheme="minorHAnsi" w:eastAsia="Times New Roman" w:hAnsiTheme="minorHAnsi" w:cstheme="minorHAnsi"/>
          <w:sz w:val="24"/>
          <w:szCs w:val="24"/>
          <w:lang w:eastAsia="pt-BR"/>
        </w:rPr>
        <w:t>Centro de Especialidade Odontológica (CEO)</w:t>
      </w:r>
      <w:r w:rsidR="006C0AE1" w:rsidRPr="00110C58">
        <w:rPr>
          <w:rFonts w:asciiTheme="minorHAnsi" w:eastAsia="Times New Roman" w:hAnsiTheme="minorHAnsi" w:cstheme="minorHAnsi"/>
          <w:sz w:val="24"/>
          <w:szCs w:val="24"/>
          <w:lang w:eastAsia="pt-BR"/>
        </w:rPr>
        <w:t>, serviço de</w:t>
      </w:r>
      <w:r w:rsidR="006C0AE1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especialidade</w:t>
      </w:r>
      <w:r w:rsidR="006C0AE1" w:rsidRPr="00110C5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da Secretaria Municipal de Saúde de Rio das Ostras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>, mediante Chamamento Público, por meio do recebimento de propostas de imóveis que atendam aos requisitos mínimos funcionais, técnicos, legais e operacionais definidos neste instrumento.</w:t>
      </w:r>
    </w:p>
    <w:p w14:paraId="7E0586B2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1.2. Natureza do objeto e enquadramento da contratação.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 presente contratação possui natureza de locação tradicional de imóvel, precedida de Chamamento Público para prospecção e seleção da proposta mais vantajosa, nos termos da Lei Federal nº 14.133/2021, do Decreto Municipal nº 3.884/2024, do Estudo Técnico Preliminar elaborado no âmbito deste processo e das diretrizes da IN SEGES/ME nº 103/2022.</w:t>
      </w:r>
    </w:p>
    <w:p w14:paraId="350D6715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1.3.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 modelagem adotada corresponde à locação tradicional, por se tratar da busca de imóvel já existente, apto ao uso institucional pretendido ou passível de adaptações delimitadas, sem que o núcleo do objeto consista em prestação integrada de services acessórios ou em estruturação contratual típica de built to suit.</w:t>
      </w:r>
    </w:p>
    <w:p w14:paraId="5E386A51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1.4.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 seleção do imóvel ocorrerá mediante Chamamento Público, vedado o direcionamento, com observância de critérios objetivos de localização, acessibilidade, regularidade predial, adequação funcional, segurança e vantajosidade em relação ao valor de mercado.</w:t>
      </w:r>
    </w:p>
    <w:p w14:paraId="35538F86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1.5. Quantitativo.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Será objeto de futura locação 01 (uma) unidade imobiliária não residencial urbana, situada no Município de Rio das Ostras/RJ, em localização compatível com os critérios técnicos deste Termo de Referência.</w:t>
      </w:r>
    </w:p>
    <w:p w14:paraId="61B5E94F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2. JUSTIFICATIVA E OBJETIVO DA CONTRATAÇÃO</w:t>
      </w:r>
    </w:p>
    <w:p w14:paraId="1AC46F8A" w14:textId="2D57C7BD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2.1.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 presente contratação justifica-se pela necessidade de concentrar, em imóvel único e funcionalmente adequado</w:t>
      </w:r>
      <w:r w:rsidR="006C0AE1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Centro de Especialidades Odontológica (CEO) 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>atualmente distribuíd</w:t>
      </w:r>
      <w:r w:rsidR="006C0AE1">
        <w:rPr>
          <w:rFonts w:asciiTheme="minorHAnsi" w:eastAsia="Times New Roman" w:hAnsiTheme="minorHAnsi" w:cstheme="minorHAnsi"/>
          <w:sz w:val="24"/>
          <w:szCs w:val="24"/>
          <w:lang w:eastAsia="pt-BR"/>
        </w:rPr>
        <w:t>o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>s em locais</w:t>
      </w:r>
      <w:r w:rsidR="006C0AE1" w:rsidRPr="006C0AE1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6C0AE1">
        <w:rPr>
          <w:rFonts w:asciiTheme="minorHAnsi" w:eastAsia="Times New Roman" w:hAnsiTheme="minorHAnsi" w:cstheme="minorHAnsi"/>
          <w:sz w:val="24"/>
          <w:szCs w:val="24"/>
          <w:lang w:eastAsia="pt-BR"/>
        </w:rPr>
        <w:t>separados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>, de modo a promover a integração das equipes, a racionalização de recursos e a melhoria do fluxo de trabalho, garantindo maior eficiência n</w:t>
      </w:r>
      <w:r w:rsidR="006C0AE1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os atendimentos odontológicos 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>sob responsabilidade da Secretaria Municipal de Saúde – SEMUSA.</w:t>
      </w:r>
    </w:p>
    <w:p w14:paraId="05D64567" w14:textId="27236E55" w:rsidR="000E73BC" w:rsidRPr="000E73BC" w:rsidRDefault="002A36E6" w:rsidP="000E73BC">
      <w:pPr>
        <w:pStyle w:val="NormalWeb"/>
        <w:jc w:val="both"/>
        <w:rPr>
          <w:rFonts w:asciiTheme="minorHAnsi" w:hAnsiTheme="minorHAnsi" w:cstheme="minorHAnsi"/>
        </w:rPr>
      </w:pPr>
      <w:r w:rsidRPr="003B17CC">
        <w:rPr>
          <w:rFonts w:asciiTheme="minorHAnsi" w:hAnsiTheme="minorHAnsi" w:cstheme="minorHAnsi"/>
          <w:b/>
          <w:bCs/>
        </w:rPr>
        <w:t>2.2.</w:t>
      </w:r>
      <w:r w:rsidRPr="003B17CC">
        <w:rPr>
          <w:rFonts w:asciiTheme="minorHAnsi" w:hAnsiTheme="minorHAnsi" w:cstheme="minorHAnsi"/>
        </w:rPr>
        <w:t xml:space="preserve"> </w:t>
      </w:r>
      <w:r w:rsidRPr="000E73BC">
        <w:rPr>
          <w:rFonts w:asciiTheme="minorHAnsi" w:hAnsiTheme="minorHAnsi" w:cstheme="minorHAnsi"/>
        </w:rPr>
        <w:t xml:space="preserve">A centralização </w:t>
      </w:r>
      <w:r w:rsidR="006C0AE1" w:rsidRPr="000E73BC">
        <w:rPr>
          <w:rFonts w:asciiTheme="minorHAnsi" w:hAnsiTheme="minorHAnsi" w:cstheme="minorHAnsi"/>
        </w:rPr>
        <w:t xml:space="preserve">dos consultórios odontológicos das especialidades </w:t>
      </w:r>
      <w:r w:rsidRPr="000E73BC">
        <w:rPr>
          <w:rFonts w:asciiTheme="minorHAnsi" w:hAnsiTheme="minorHAnsi" w:cstheme="minorHAnsi"/>
        </w:rPr>
        <w:t xml:space="preserve">tem por objetivo </w:t>
      </w:r>
      <w:r w:rsidR="000E73BC" w:rsidRPr="000E73BC">
        <w:rPr>
          <w:rFonts w:asciiTheme="minorHAnsi" w:hAnsiTheme="minorHAnsi" w:cstheme="minorHAnsi"/>
        </w:rPr>
        <w:t>principal garantir atendimento especializado de forma organizada, eficiente e com maior qualidade técnica, complementando os serviços prestados pela Atenção Primária à Saúde.</w:t>
      </w:r>
    </w:p>
    <w:p w14:paraId="083131CD" w14:textId="77777777" w:rsidR="000E73BC" w:rsidRPr="000E73BC" w:rsidRDefault="000E73BC" w:rsidP="000E73B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0E73BC">
        <w:rPr>
          <w:rFonts w:asciiTheme="minorHAnsi" w:eastAsia="Times New Roman" w:hAnsiTheme="minorHAnsi" w:cstheme="minorHAnsi"/>
          <w:sz w:val="24"/>
          <w:szCs w:val="24"/>
          <w:lang w:eastAsia="pt-BR"/>
        </w:rPr>
        <w:lastRenderedPageBreak/>
        <w:t>Entre os objetivos específicos, destacam-se:</w:t>
      </w:r>
    </w:p>
    <w:p w14:paraId="62502D7C" w14:textId="77777777" w:rsidR="000E73BC" w:rsidRPr="000E73BC" w:rsidRDefault="000E73BC" w:rsidP="000E73BC">
      <w:pPr>
        <w:numPr>
          <w:ilvl w:val="0"/>
          <w:numId w:val="11"/>
        </w:num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0E73B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Concentrar profissionais especializados e equipamentos específicos em um único local, otimizando recursos públicos. </w:t>
      </w:r>
    </w:p>
    <w:p w14:paraId="38EDC7BD" w14:textId="77777777" w:rsidR="000E73BC" w:rsidRPr="000E73BC" w:rsidRDefault="000E73BC" w:rsidP="000E73BC">
      <w:pPr>
        <w:numPr>
          <w:ilvl w:val="0"/>
          <w:numId w:val="11"/>
        </w:num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0E73B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Ampliar o acesso da população aos procedimentos especializados, como endodontia, periodontia, cirurgia oral menor, atendimento a pacientes com necessidades especiais e diagnóstico bucal. </w:t>
      </w:r>
    </w:p>
    <w:p w14:paraId="15146166" w14:textId="77777777" w:rsidR="000E73BC" w:rsidRPr="000E73BC" w:rsidRDefault="000E73BC" w:rsidP="000E73BC">
      <w:pPr>
        <w:numPr>
          <w:ilvl w:val="0"/>
          <w:numId w:val="11"/>
        </w:num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0E73B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Fortalecer a rede de atenção à saúde bucal, garantindo a continuidade do cuidado iniciado nas unidades básicas de saúde. </w:t>
      </w:r>
    </w:p>
    <w:p w14:paraId="49E94153" w14:textId="77777777" w:rsidR="000E73BC" w:rsidRPr="000E73BC" w:rsidRDefault="000E73BC" w:rsidP="000E73BC">
      <w:pPr>
        <w:numPr>
          <w:ilvl w:val="0"/>
          <w:numId w:val="11"/>
        </w:num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0E73B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Padronizar fluxos e protocolos de atendimento, promovendo maior organização dos encaminhamentos e do acompanhamento dos pacientes. </w:t>
      </w:r>
    </w:p>
    <w:p w14:paraId="147BDAA2" w14:textId="77777777" w:rsidR="000E73BC" w:rsidRPr="000E73BC" w:rsidRDefault="000E73BC" w:rsidP="000E73BC">
      <w:pPr>
        <w:numPr>
          <w:ilvl w:val="0"/>
          <w:numId w:val="11"/>
        </w:num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0E73B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Melhorar a qualidade e a resolutividade dos serviços odontológicos, reduzindo filas e evitando a fragmentação da assistência. </w:t>
      </w:r>
    </w:p>
    <w:p w14:paraId="6E7F2548" w14:textId="77777777" w:rsidR="000E73BC" w:rsidRPr="000E73BC" w:rsidRDefault="000E73BC" w:rsidP="000E73BC">
      <w:pPr>
        <w:numPr>
          <w:ilvl w:val="0"/>
          <w:numId w:val="11"/>
        </w:num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0E73B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Favorecer o uso racional de equipamentos de maior complexidade e custo, que seriam inviáveis de serem disponibilizados em todas as unidades básicas. </w:t>
      </w:r>
    </w:p>
    <w:p w14:paraId="03AAEB82" w14:textId="302C76D9" w:rsidR="000E73BC" w:rsidRPr="000E73BC" w:rsidRDefault="000E73BC" w:rsidP="000E73BC">
      <w:pPr>
        <w:numPr>
          <w:ilvl w:val="0"/>
          <w:numId w:val="11"/>
        </w:num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0E73BC">
        <w:rPr>
          <w:rFonts w:asciiTheme="minorHAnsi" w:eastAsia="Times New Roman" w:hAnsiTheme="minorHAnsi" w:cstheme="minorHAnsi"/>
          <w:sz w:val="24"/>
          <w:szCs w:val="24"/>
          <w:lang w:eastAsia="pt-BR"/>
        </w:rPr>
        <w:t>Aprimorar o controle, monitoramento e avaliação dos serviços especializados, facilitando a gestão e o cumprimento das metas estabelecidas pelo SUS.</w:t>
      </w:r>
    </w:p>
    <w:p w14:paraId="21279208" w14:textId="3D26657A" w:rsidR="000E73BC" w:rsidRPr="000E73BC" w:rsidRDefault="000E73BC" w:rsidP="000E73B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0E73BC">
        <w:rPr>
          <w:rFonts w:asciiTheme="minorHAnsi" w:hAnsiTheme="minorHAnsi" w:cstheme="minorHAnsi"/>
          <w:sz w:val="24"/>
          <w:szCs w:val="24"/>
        </w:rPr>
        <w:t>A centralização das especialidades odontológicas no Centro de Especialidades Odontológicas (CEO) tem por finalidade qualificar a assistência em saúde bucal, otimizar recursos humanos e tecnológicos, ampliar o acesso da população aos procedimentos especializados e fortalecer a integração entre a Atenção Primária e a Atenção Especializada, garantindo maior eficiência, resolutividade e continuidade do cuidado aos usuários do Sistema Único de Saúde (SUS).</w:t>
      </w:r>
    </w:p>
    <w:p w14:paraId="4A8A2049" w14:textId="4FB63E3D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2.3.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 seleção do imóvel mediante Chamamento Público busca assegurar maior transparência, impessoalidade, competitividade e vantajosidade à Administração, por meio de critérios objetivos de escolha, compatíveis com as necessidades operacionais </w:t>
      </w:r>
      <w:r w:rsidR="000E73BC">
        <w:rPr>
          <w:rFonts w:asciiTheme="minorHAnsi" w:eastAsia="Times New Roman" w:hAnsiTheme="minorHAnsi" w:cstheme="minorHAnsi"/>
          <w:sz w:val="24"/>
          <w:szCs w:val="24"/>
          <w:lang w:eastAsia="pt-BR"/>
        </w:rPr>
        <w:t>do Centro de Especialidade Odontológica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14:paraId="30056DA8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2.4.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 presente modelagem contratual decorre das conclusões do Estudo Técnico Preliminar elaborado no âmbito deste processo administrativo e observa, ainda, as diretrizes da Instrução Normativa SEGES/ME nº 103/2022, especialmente no que se refere à prospecção do mercado imobiliário, à definição de requisitos mínimos do imóvel, à avaliação funcional da solução e à adoção de Chamamento Público como instrumento de seleção impessoal e objetiva do imóvel mais vantajoso à Administração.</w:t>
      </w:r>
    </w:p>
    <w:p w14:paraId="5B4C9767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2.5.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 reestruturação deste Termo de Referência também atende às orientações exaradas pela Procuradoria Geral do Município, que determinou a substituição de exigências estruturais fechadas por requisitos funcionais, a fim de evitar indícios de existência de imóvel previamente escolhido, preservar a competitividade do procedimento e assegurar a conformidade jurídica do futuro Chamamento Público.</w:t>
      </w:r>
    </w:p>
    <w:p w14:paraId="24592E4D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3. ESPECIFICAÇÕES TÉCNICAS E QUANTITATIVOS</w:t>
      </w:r>
    </w:p>
    <w:p w14:paraId="0C51F852" w14:textId="0D3D1C9C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3.1.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O imóvel a ser locado deverá ser não residencial urbano, com destinação compatível com a instalação e o funcionamento </w:t>
      </w:r>
      <w:r w:rsidR="00E12DD4">
        <w:rPr>
          <w:rFonts w:asciiTheme="minorHAnsi" w:eastAsia="Times New Roman" w:hAnsiTheme="minorHAnsi" w:cstheme="minorHAnsi"/>
          <w:sz w:val="24"/>
          <w:szCs w:val="24"/>
          <w:lang w:eastAsia="pt-BR"/>
        </w:rPr>
        <w:t>do Centro de Especialidade Odontológica (CEO)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, atendendo às 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lastRenderedPageBreak/>
        <w:t>condições de funcionalidade, acessibilidade, segurança, regularidade predial e compatibilidade de uso, nos termos deste Termo de Referência e de seus anexos.</w:t>
      </w:r>
    </w:p>
    <w:p w14:paraId="3FB02C0B" w14:textId="245FF2A6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3.2. Requisitos funcionais mínimos.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O imóvel deverá apresentar área útil mínima de </w:t>
      </w:r>
      <w:r w:rsidR="00E12DD4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150</w:t>
      </w: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 xml:space="preserve"> m² (</w:t>
      </w:r>
      <w:r w:rsidR="00E12DD4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cento e cinquenta</w:t>
      </w: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 xml:space="preserve"> metros quadrados)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, suficiente para acomodação de aproximadamente </w:t>
      </w:r>
      <w:r w:rsidR="00E12DD4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08</w:t>
      </w: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 xml:space="preserve"> (</w:t>
      </w:r>
      <w:r w:rsidR="00E12DD4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oito</w:t>
      </w: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 xml:space="preserve">) </w:t>
      </w:r>
      <w:r w:rsidR="00E12DD4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consultórios odontológicos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>, além das áreas de apoio, circulação, recepção e atendimento institucional necessárias ao funcionamento integrado das unidades administrativas da Secretaria Municipal de Saúde – SEMUSA.</w:t>
      </w:r>
    </w:p>
    <w:p w14:paraId="64967C0F" w14:textId="48395558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3.2.1.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Para fins de atendimento ao objeto, o imóvel deverá possibilitar, no mínimo, a instalação adequada de </w:t>
      </w:r>
      <w:r w:rsidR="00E12DD4">
        <w:rPr>
          <w:rFonts w:asciiTheme="minorHAnsi" w:eastAsia="Times New Roman" w:hAnsiTheme="minorHAnsi" w:cstheme="minorHAnsi"/>
          <w:sz w:val="24"/>
          <w:szCs w:val="24"/>
          <w:lang w:eastAsia="pt-BR"/>
        </w:rPr>
        <w:t>Centro de Especialidade Odontológica (CEO)</w:t>
      </w:r>
      <w:r w:rsidR="00E12DD4"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>,</w:t>
      </w:r>
      <w:r w:rsidR="00712CB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>em quantitativo compatível com a estrutura organizacional.</w:t>
      </w:r>
    </w:p>
    <w:p w14:paraId="7C223206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3.2.2.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O imóvel deverá permitir a implantação de ambientes destinados ao funcionamento de setores administrativos, recepção, apoio técnico, atendimento institucional, arquivo, áreas de apoio e circulação.</w:t>
      </w:r>
    </w:p>
    <w:p w14:paraId="46E60392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3.2.3.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 organização interna deverá assegurar funcionalidade, integração entre equipes, fluxo de trabalho eficiente e apoio administrativo.</w:t>
      </w:r>
    </w:p>
    <w:p w14:paraId="0123C764" w14:textId="2132DB64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3.2.4.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O imóvel deverá oferecer condições de uso institucional contínuo, com viabilidade operacional para o desempenho regular das atividades </w:t>
      </w:r>
      <w:r w:rsidR="00712CBC">
        <w:rPr>
          <w:rFonts w:asciiTheme="minorHAnsi" w:eastAsia="Times New Roman" w:hAnsiTheme="minorHAnsi" w:cstheme="minorHAnsi"/>
          <w:sz w:val="24"/>
          <w:szCs w:val="24"/>
          <w:lang w:eastAsia="pt-BR"/>
        </w:rPr>
        <w:t>correspondente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14:paraId="54A50884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3.2.5.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Será admitida adequação interna, quando necessária, sem comprometimento da segurança, da estabilidade e da regularidade do imóvel.</w:t>
      </w:r>
    </w:p>
    <w:p w14:paraId="5A448AD7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3.2.6.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 definição acima observa critério de capacidade funcional mínima, em substituição à exigência de layout fechado, número exato de salas ou compartimentações rigidamente predeterminadas.</w:t>
      </w:r>
    </w:p>
    <w:p w14:paraId="128F4C13" w14:textId="12C106BF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3.3. Área mínima.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O imóvel deverá possuir área útil mínima de </w:t>
      </w:r>
      <w:r w:rsidR="00712CB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150</w:t>
      </w: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 xml:space="preserve"> m² (</w:t>
      </w:r>
      <w:r w:rsidR="00712CB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cento e cinquenta</w:t>
      </w: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 xml:space="preserve"> metros quadrados)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, suficiente para acomodação das equipes, dos aproximadamente </w:t>
      </w:r>
      <w:r w:rsidR="00712CBC">
        <w:rPr>
          <w:rFonts w:asciiTheme="minorHAnsi" w:eastAsia="Times New Roman" w:hAnsiTheme="minorHAnsi" w:cstheme="minorHAnsi"/>
          <w:sz w:val="24"/>
          <w:szCs w:val="24"/>
          <w:lang w:eastAsia="pt-BR"/>
        </w:rPr>
        <w:t>08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(</w:t>
      </w:r>
      <w:r w:rsidR="00712CBC">
        <w:rPr>
          <w:rFonts w:asciiTheme="minorHAnsi" w:eastAsia="Times New Roman" w:hAnsiTheme="minorHAnsi" w:cstheme="minorHAnsi"/>
          <w:sz w:val="24"/>
          <w:szCs w:val="24"/>
          <w:lang w:eastAsia="pt-BR"/>
        </w:rPr>
        <w:t>oito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) </w:t>
      </w:r>
      <w:r w:rsidR="00712CBC">
        <w:rPr>
          <w:rFonts w:asciiTheme="minorHAnsi" w:eastAsia="Times New Roman" w:hAnsiTheme="minorHAnsi" w:cstheme="minorHAnsi"/>
          <w:sz w:val="24"/>
          <w:szCs w:val="24"/>
          <w:lang w:eastAsia="pt-BR"/>
        </w:rPr>
        <w:t>consultórios odontológicos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>,</w:t>
      </w:r>
      <w:r w:rsidR="00712CB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>áreas de apoio, circulação, recepção e das demais funções administrativas necessárias ao objeto.</w:t>
      </w:r>
    </w:p>
    <w:p w14:paraId="1E6632F2" w14:textId="3991E259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3.3.1.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 metragem mínima acima foi definida com base na necessidade de assegurar capacidade funcional adequada ao funcionamento integrado </w:t>
      </w:r>
      <w:r w:rsidR="00712CBC">
        <w:rPr>
          <w:rFonts w:asciiTheme="minorHAnsi" w:eastAsia="Times New Roman" w:hAnsiTheme="minorHAnsi" w:cstheme="minorHAnsi"/>
          <w:sz w:val="24"/>
          <w:szCs w:val="24"/>
          <w:lang w:eastAsia="pt-BR"/>
        </w:rPr>
        <w:t>dos consultórios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>, preservando-se condições de operacionalidade, circulação interna, apoio técnico e atendimento institucional.</w:t>
      </w:r>
    </w:p>
    <w:p w14:paraId="51BD30AD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3.3.2.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 metragem não será tratada como reprodução de layout de imóvel específico, mas como parâmetro funcional mínimo de ocupação e uso institucional.</w:t>
      </w:r>
    </w:p>
    <w:p w14:paraId="7F2507C6" w14:textId="77777777" w:rsidR="00712CBC" w:rsidRPr="00B55D9B" w:rsidRDefault="002A36E6" w:rsidP="00712CBC">
      <w:pPr>
        <w:pStyle w:val="NormalWeb"/>
        <w:jc w:val="both"/>
        <w:rPr>
          <w:rFonts w:asciiTheme="minorHAnsi" w:hAnsiTheme="minorHAnsi" w:cstheme="minorHAnsi"/>
          <w:color w:val="000000" w:themeColor="text1"/>
        </w:rPr>
      </w:pPr>
      <w:r w:rsidRPr="003B17CC">
        <w:rPr>
          <w:rFonts w:asciiTheme="minorHAnsi" w:hAnsiTheme="minorHAnsi" w:cstheme="minorHAnsi"/>
          <w:b/>
          <w:bCs/>
        </w:rPr>
        <w:t>3.4. Layout interno.</w:t>
      </w:r>
      <w:r w:rsidRPr="003B17CC">
        <w:rPr>
          <w:rFonts w:asciiTheme="minorHAnsi" w:hAnsiTheme="minorHAnsi" w:cstheme="minorHAnsi"/>
        </w:rPr>
        <w:t xml:space="preserve"> </w:t>
      </w:r>
      <w:r w:rsidR="00712CBC" w:rsidRPr="00B55D9B">
        <w:rPr>
          <w:rFonts w:asciiTheme="minorHAnsi" w:hAnsiTheme="minorHAnsi" w:cstheme="minorHAnsi"/>
          <w:color w:val="000000" w:themeColor="text1"/>
        </w:rPr>
        <w:t>A distribuição interna dos ambientes</w:t>
      </w:r>
      <w:r w:rsidR="00712CBC" w:rsidRPr="00435D01">
        <w:rPr>
          <w:rFonts w:asciiTheme="minorHAnsi" w:hAnsiTheme="minorHAnsi" w:cstheme="minorHAnsi"/>
          <w:color w:val="FF0000"/>
        </w:rPr>
        <w:t xml:space="preserve"> </w:t>
      </w:r>
      <w:r w:rsidR="00712CBC" w:rsidRPr="00790039">
        <w:rPr>
          <w:rFonts w:asciiTheme="minorHAnsi" w:hAnsiTheme="minorHAnsi" w:cstheme="minorHAnsi"/>
        </w:rPr>
        <w:t xml:space="preserve">será previamente fechada em número </w:t>
      </w:r>
      <w:r w:rsidR="00712CBC">
        <w:rPr>
          <w:rFonts w:asciiTheme="minorHAnsi" w:hAnsiTheme="minorHAnsi" w:cstheme="minorHAnsi"/>
        </w:rPr>
        <w:t>aproximados</w:t>
      </w:r>
      <w:r w:rsidR="00712CBC" w:rsidRPr="00790039">
        <w:rPr>
          <w:rFonts w:asciiTheme="minorHAnsi" w:hAnsiTheme="minorHAnsi" w:cstheme="minorHAnsi"/>
        </w:rPr>
        <w:t xml:space="preserve"> de salas, </w:t>
      </w:r>
      <w:r w:rsidR="00712CBC">
        <w:rPr>
          <w:rFonts w:asciiTheme="minorHAnsi" w:hAnsiTheme="minorHAnsi" w:cstheme="minorHAnsi"/>
          <w:color w:val="000000" w:themeColor="text1"/>
        </w:rPr>
        <w:t>considerando a necessidade de o</w:t>
      </w:r>
      <w:r w:rsidR="00712CBC" w:rsidRPr="00B55D9B">
        <w:rPr>
          <w:rFonts w:asciiTheme="minorHAnsi" w:hAnsiTheme="minorHAnsi" w:cstheme="minorHAnsi"/>
          <w:color w:val="000000" w:themeColor="text1"/>
        </w:rPr>
        <w:t xml:space="preserve"> imóvel demonstr</w:t>
      </w:r>
      <w:r w:rsidR="00712CBC">
        <w:rPr>
          <w:rFonts w:asciiTheme="minorHAnsi" w:hAnsiTheme="minorHAnsi" w:cstheme="minorHAnsi"/>
          <w:color w:val="000000" w:themeColor="text1"/>
        </w:rPr>
        <w:t>ar</w:t>
      </w:r>
      <w:r w:rsidR="00712CBC" w:rsidRPr="00B55D9B">
        <w:rPr>
          <w:rFonts w:asciiTheme="minorHAnsi" w:hAnsiTheme="minorHAnsi" w:cstheme="minorHAnsi"/>
          <w:color w:val="000000" w:themeColor="text1"/>
        </w:rPr>
        <w:t xml:space="preserve"> capacidade funcional de acomodar adequadamente </w:t>
      </w:r>
      <w:r w:rsidR="00712CBC">
        <w:rPr>
          <w:rFonts w:asciiTheme="minorHAnsi" w:hAnsiTheme="minorHAnsi" w:cstheme="minorHAnsi"/>
          <w:color w:val="000000" w:themeColor="text1"/>
        </w:rPr>
        <w:t>o Centro de Especialidades Odontológica</w:t>
      </w:r>
      <w:r w:rsidR="00712CBC" w:rsidRPr="00B55D9B">
        <w:rPr>
          <w:rFonts w:asciiTheme="minorHAnsi" w:hAnsiTheme="minorHAnsi" w:cstheme="minorHAnsi"/>
          <w:color w:val="000000" w:themeColor="text1"/>
        </w:rPr>
        <w:t>.</w:t>
      </w:r>
    </w:p>
    <w:p w14:paraId="6201309E" w14:textId="4AA844B2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62B2FA15" w14:textId="1EF642EA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lastRenderedPageBreak/>
        <w:t>3.5. Localização.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O imóvel deverá estar situado no Município de Rio das Ostras/RJ, em localidade que assegure fácil acesso aos servidores, prestadores de serviço, usuários institucionais e demais órgãos que se relacionam com </w:t>
      </w:r>
      <w:r w:rsidR="00712CBC">
        <w:rPr>
          <w:rFonts w:asciiTheme="minorHAnsi" w:eastAsia="Times New Roman" w:hAnsiTheme="minorHAnsi" w:cstheme="minorHAnsi"/>
          <w:sz w:val="24"/>
          <w:szCs w:val="24"/>
          <w:lang w:eastAsia="pt-BR"/>
        </w:rPr>
        <w:t>o Centro de Especialidade Odontológica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14:paraId="0730EBEC" w14:textId="7AA93892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3.5.1.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Serão considerados, entre outros, os seguintes aspectos locacionais: inserção urbana compatível com uso </w:t>
      </w:r>
      <w:r w:rsidR="00712CBC">
        <w:rPr>
          <w:rFonts w:asciiTheme="minorHAnsi" w:eastAsia="Times New Roman" w:hAnsiTheme="minorHAnsi" w:cstheme="minorHAnsi"/>
          <w:sz w:val="24"/>
          <w:szCs w:val="24"/>
          <w:lang w:eastAsia="pt-BR"/>
        </w:rPr>
        <w:t>do CEO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>, facilidade de acesso por transporte público e particular, acessibilidade e mobilidade urbana, e proximidade funcional com a rede municipal de saúde e demais estruturas administrativas, quando relevante para o desempenho das atividades.</w:t>
      </w:r>
    </w:p>
    <w:p w14:paraId="7AD76C9C" w14:textId="75CAC8FA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3.6. Acessibilidade.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O imóvel deverá atender às condições de acessibilidade aplicáveis, com observância das normas técnicas pertinentes, especialmente quanto a acesso principal, circulação interna, sanitários acessíveis, eliminação de barreiras arquitetônicas e uso por pessoas com deficiência ou mobilidade reduzida</w:t>
      </w:r>
      <w:r w:rsidR="00712CBC">
        <w:rPr>
          <w:rFonts w:asciiTheme="minorHAnsi" w:eastAsia="Times New Roman" w:hAnsiTheme="minorHAnsi" w:cstheme="minorHAnsi"/>
          <w:sz w:val="24"/>
          <w:szCs w:val="24"/>
          <w:lang w:eastAsia="pt-BR"/>
        </w:rPr>
        <w:t>, conforme descrito no Estudo técnico Preliminar.</w:t>
      </w:r>
    </w:p>
    <w:p w14:paraId="5103BD92" w14:textId="6766499C" w:rsidR="00E15D16" w:rsidRDefault="00E15D16" w:rsidP="00662423">
      <w:pPr>
        <w:suppressAutoHyphens w:val="0"/>
        <w:overflowPunct/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E15D16">
        <w:rPr>
          <w:rStyle w:val="Forte"/>
          <w:sz w:val="24"/>
          <w:szCs w:val="24"/>
        </w:rPr>
        <w:t>3.6.1.</w:t>
      </w:r>
      <w:r w:rsidRPr="00E15D16">
        <w:rPr>
          <w:sz w:val="24"/>
          <w:szCs w:val="24"/>
        </w:rPr>
        <w:t xml:space="preserve"> Na hipótese de imóvel com mais de um pavimento, deverá existir solução de circulação vertical compatível com as normas de acessibilidade e com o funcionamento institucional pretendido, inclusive elevador, plataforma elevatória ou solução técnica equivalente, quando necessária, de modo a garantir o acesso seguro, contínuo e adequado de servidores, usuários, prestadores de serviço e demais pessoas com deficiência ou mobilidade reduzida.</w:t>
      </w:r>
    </w:p>
    <w:p w14:paraId="7FFD3F1D" w14:textId="59B697DF" w:rsidR="00E15D16" w:rsidRPr="00E94C41" w:rsidRDefault="004C7AD5" w:rsidP="00E15D16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eastAsia="Times New Roman" w:cs="Calibri"/>
          <w:b/>
          <w:bCs/>
          <w:sz w:val="24"/>
          <w:szCs w:val="24"/>
          <w:lang w:eastAsia="pt-BR"/>
        </w:rPr>
      </w:pPr>
      <w:r w:rsidRPr="00E94C41">
        <w:rPr>
          <w:rStyle w:val="Forte"/>
          <w:sz w:val="24"/>
          <w:szCs w:val="24"/>
        </w:rPr>
        <w:t>3.6.1.1.</w:t>
      </w:r>
      <w:r w:rsidRPr="00E94C41">
        <w:rPr>
          <w:sz w:val="24"/>
          <w:szCs w:val="24"/>
        </w:rPr>
        <w:t xml:space="preserve"> Caso o imóvel possua mais de um pavimento, não disponha de elevador instalado, mas conte com local previamente definido e reservado para sua instalação, será concedido ao locador o prazo máximo de </w:t>
      </w:r>
      <w:r w:rsidR="000317BF" w:rsidRPr="00E94C41">
        <w:rPr>
          <w:rStyle w:val="Forte"/>
          <w:sz w:val="24"/>
          <w:szCs w:val="24"/>
        </w:rPr>
        <w:t>3</w:t>
      </w:r>
      <w:r w:rsidRPr="00E94C41">
        <w:rPr>
          <w:rStyle w:val="Forte"/>
          <w:sz w:val="24"/>
          <w:szCs w:val="24"/>
        </w:rPr>
        <w:t>0 (</w:t>
      </w:r>
      <w:r w:rsidR="000317BF" w:rsidRPr="00E94C41">
        <w:rPr>
          <w:rStyle w:val="Forte"/>
          <w:sz w:val="24"/>
          <w:szCs w:val="24"/>
        </w:rPr>
        <w:t>trinta</w:t>
      </w:r>
      <w:r w:rsidRPr="00E94C41">
        <w:rPr>
          <w:rStyle w:val="Forte"/>
          <w:sz w:val="24"/>
          <w:szCs w:val="24"/>
        </w:rPr>
        <w:t>) dias</w:t>
      </w:r>
      <w:r w:rsidRPr="00E94C41">
        <w:rPr>
          <w:sz w:val="24"/>
          <w:szCs w:val="24"/>
        </w:rPr>
        <w:t xml:space="preserve"> para a devida instalação do equipamento.</w:t>
      </w:r>
    </w:p>
    <w:p w14:paraId="257B3E8E" w14:textId="77777777" w:rsidR="00E15D16" w:rsidRPr="00E15D16" w:rsidRDefault="00E15D16" w:rsidP="00E15D16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eastAsia="Times New Roman" w:cs="Calibri"/>
          <w:sz w:val="24"/>
          <w:szCs w:val="24"/>
          <w:lang w:eastAsia="pt-BR"/>
        </w:rPr>
      </w:pPr>
      <w:r w:rsidRPr="00E15D16">
        <w:rPr>
          <w:rFonts w:eastAsia="Times New Roman" w:cs="Calibri"/>
          <w:b/>
          <w:bCs/>
          <w:sz w:val="24"/>
          <w:szCs w:val="24"/>
          <w:lang w:eastAsia="pt-BR"/>
        </w:rPr>
        <w:t>3.6.2.</w:t>
      </w:r>
      <w:r w:rsidRPr="00E15D16">
        <w:rPr>
          <w:rFonts w:eastAsia="Times New Roman" w:cs="Calibri"/>
          <w:sz w:val="24"/>
          <w:szCs w:val="24"/>
          <w:lang w:eastAsia="pt-BR"/>
        </w:rPr>
        <w:t xml:space="preserve"> Na hipótese prevista no item anterior, caberá ao locador a responsabilidade pela manutenção, conservação, reparos, inspeções periódicas, regularização e pleno funcionamento do elevador, plataforma elevatória ou solução técnica equivalente indispensável ao uso regular e acessível do imóvel, inclusive perante os órgãos competentes, quando exigível, sem prejuízo das demais obrigações contratuais relativas à segurança, acessibilidade e conservação do bem.</w:t>
      </w:r>
    </w:p>
    <w:p w14:paraId="6FE9AAAB" w14:textId="03EA5AEE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3.7. Segurança, regularidade predial e condições de uso.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O imóvel ofertado deverá apresentar condições adequadas de segurança, salubridade, acessibilidade e funcionamento, compatíveis com sua destinação pública, devendo comprovar, no que couber:</w:t>
      </w:r>
    </w:p>
    <w:p w14:paraId="724552A9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3.7.1.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Instalações elétricas, hidráulicas e sanitárias em perfeito funcionamento;</w:t>
      </w:r>
    </w:p>
    <w:p w14:paraId="68811700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3.7.2.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Infraestrutura compatível com rede lógica, telecomunicações e demanda elétrica necessárias ao funcionamento das atividades administrativas;</w:t>
      </w:r>
    </w:p>
    <w:p w14:paraId="3B5C53B6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3.7.3.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Condições de climatização adequadas ou aptidão estrutural para sua implantação, quando necessária;</w:t>
      </w:r>
    </w:p>
    <w:p w14:paraId="6004387E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3.7.4.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Sistema de prevenção e combate a incêndio em conformidade com a legislação aplicável;</w:t>
      </w:r>
    </w:p>
    <w:p w14:paraId="1CF82FA3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3.7.5.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Alvará do Corpo de Bombeiros ou documento equivalente, quando exigível;</w:t>
      </w:r>
    </w:p>
    <w:p w14:paraId="78484F56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lastRenderedPageBreak/>
        <w:t>3.7.6.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PPCI – Plano de Prevenção e Proteção Contra Incêndio, protocolo ou comprovação correlata perante o órgão competente, quando cabível;</w:t>
      </w:r>
    </w:p>
    <w:p w14:paraId="09188F41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3.7.7.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Atendimento às normas de acessibilidade;</w:t>
      </w:r>
    </w:p>
    <w:p w14:paraId="0E3C7194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3.7.8.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Condições estruturais, de ventilação, iluminação, conforto térmico e acústico compatíveis com o adequado funcionamento das atividades administrativas;</w:t>
      </w:r>
    </w:p>
    <w:p w14:paraId="3FDE00C0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3.7.9.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Habite-se, matrícula atualizada e demais documentos de regularidade edilícia e dominial, quando exigíveis; e</w:t>
      </w:r>
    </w:p>
    <w:p w14:paraId="42CF9240" w14:textId="77777777" w:rsidR="002A36E6" w:rsidRPr="00662423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3.7.10.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Topografia e condições de implantação que não inviabilizem a utilização segura e </w:t>
      </w:r>
      <w:r w:rsidRPr="00662423">
        <w:rPr>
          <w:rFonts w:asciiTheme="minorHAnsi" w:eastAsia="Times New Roman" w:hAnsiTheme="minorHAnsi" w:cstheme="minorHAnsi"/>
          <w:sz w:val="24"/>
          <w:szCs w:val="24"/>
          <w:lang w:eastAsia="pt-BR"/>
        </w:rPr>
        <w:t>funcional do imóvel, sem que isso implique exigência direcionada a tipologia específica.</w:t>
      </w:r>
    </w:p>
    <w:p w14:paraId="00320097" w14:textId="77777777" w:rsidR="00662423" w:rsidRPr="004C7AD5" w:rsidRDefault="00662423" w:rsidP="00662423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C7AD5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3.8. Sustentabilidade, possibilidade de adaptação e adequações prévias a cargo do locador.</w:t>
      </w:r>
      <w:r w:rsidRPr="004C7AD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Serão preferenciais imóveis que apresentem soluções de eficiência energética, ventilação adequada, uso racional de recursos e possibilidade de adaptações compatíveis com a finalidade institucional, sem comprometimento da segurança e da integridade predial.</w:t>
      </w:r>
    </w:p>
    <w:p w14:paraId="194D5A7A" w14:textId="77777777" w:rsidR="00662423" w:rsidRPr="00662423" w:rsidRDefault="00662423" w:rsidP="00662423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62423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3.8.1.</w:t>
      </w:r>
      <w:r w:rsidRPr="0066242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Sem prejuízo das adequações internas de layout meramente operacionais que venham a ser promovidas pela Administração, caberá ao locador, quando necessário e objetivamente definido pela Administração no procedimento, providenciar previamente à entrega do imóvel as adaptações estruturais e prediais essenciais à sua disponibilização regular para uso institucional.</w:t>
      </w:r>
    </w:p>
    <w:p w14:paraId="4794C7F3" w14:textId="77777777" w:rsidR="00662423" w:rsidRPr="00662423" w:rsidRDefault="00662423" w:rsidP="00662423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62423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3.8.2.</w:t>
      </w:r>
      <w:r w:rsidRPr="0066242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Consideram-se adaptações e providências mínimas que poderão ser exigidas do locador, conforme o caso concreto e as condições do imóvel ofertado:</w:t>
      </w:r>
    </w:p>
    <w:p w14:paraId="359609B9" w14:textId="77777777" w:rsidR="00662423" w:rsidRDefault="00662423" w:rsidP="00662423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62423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3.8.2.1.</w:t>
      </w:r>
      <w:r w:rsidRPr="0066242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regularização, complementação ou adequação das condições de segurança contra incêndio e pânico, inclusive quanto à documentação exigível;</w:t>
      </w:r>
    </w:p>
    <w:p w14:paraId="66ED743D" w14:textId="77777777" w:rsidR="00662423" w:rsidRDefault="00662423" w:rsidP="00662423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62423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3.8.2.2.</w:t>
      </w:r>
      <w:r w:rsidRPr="0066242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adequações permanentes de acessibilidade indispensáveis ao uso regular do imóvel;</w:t>
      </w:r>
    </w:p>
    <w:p w14:paraId="5CEF2E3F" w14:textId="77777777" w:rsidR="00662423" w:rsidRDefault="00662423" w:rsidP="00662423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62423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3.8.2.3.</w:t>
      </w:r>
      <w:r w:rsidRPr="0066242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correção de falhas ou inadequações em instalações elétricas, hidráulicas e sanitárias permanentes;</w:t>
      </w:r>
    </w:p>
    <w:p w14:paraId="2C8C8B9B" w14:textId="412FAC3B" w:rsidR="00662423" w:rsidRDefault="00662423" w:rsidP="00662423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62423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3.8.2.4.</w:t>
      </w:r>
      <w:r w:rsidRPr="0066242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disponibilização de infraestrutura mínima permanente compatível com carga elétrica, rede lógica e telecomunicações necessárias ao funcionamento das atividades administrativas;</w:t>
      </w:r>
    </w:p>
    <w:p w14:paraId="45C9E09A" w14:textId="77777777" w:rsidR="00662423" w:rsidRDefault="00662423" w:rsidP="00662423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62423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3.8.2.5.</w:t>
      </w:r>
      <w:r w:rsidRPr="0066242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providências relacionadas à climatização do imóvel ou à compatibilidade estrutural para sua instalação, quando exigida;</w:t>
      </w:r>
    </w:p>
    <w:p w14:paraId="2163162B" w14:textId="77777777" w:rsidR="00662423" w:rsidRDefault="00662423" w:rsidP="00662423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62423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3.8.2.6.</w:t>
      </w:r>
      <w:r w:rsidRPr="0066242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eliminação de infiltrações, vícios construtivos, falhas estruturais ou outras inadequações que comprometam a segurança, a salubridade ou a funcionalidade do imóvel;</w:t>
      </w:r>
    </w:p>
    <w:p w14:paraId="31C77E04" w14:textId="44CDAC98" w:rsidR="00662423" w:rsidRPr="00662423" w:rsidRDefault="00662423" w:rsidP="00662423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62423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lastRenderedPageBreak/>
        <w:t>3.8.2.7.</w:t>
      </w:r>
      <w:r w:rsidRPr="0066242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demais adequações estruturais permanentes que venham a ser expressamente previstas no instrumento convocatório ou identificadas como indispensáveis à disponibilização regular do bem.</w:t>
      </w:r>
    </w:p>
    <w:p w14:paraId="4D3A291B" w14:textId="77777777" w:rsidR="00662423" w:rsidRPr="00662423" w:rsidRDefault="00662423" w:rsidP="00662423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62423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3.8.3.</w:t>
      </w:r>
      <w:r w:rsidRPr="0066242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As adaptações a cargo do locador deverão estar concluídas previamente à entrega do imóvel, salvo se houver previsão diversa, formal e expressa, no instrumento convocatório e no contrato.</w:t>
      </w:r>
    </w:p>
    <w:p w14:paraId="4B47DFDA" w14:textId="77777777" w:rsidR="00662423" w:rsidRPr="00662423" w:rsidRDefault="00662423" w:rsidP="00662423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62423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3.8.4.</w:t>
      </w:r>
      <w:r w:rsidRPr="0066242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 exigência de adaptações a cargo do locador deverá observar critérios objetivos, impessoais e proporcionais à finalidade pública pretendida, vedado qualquer direcionamento indevido.</w:t>
      </w:r>
    </w:p>
    <w:p w14:paraId="6B5EB4E4" w14:textId="77777777" w:rsidR="002A36E6" w:rsidRPr="003B17CC" w:rsidRDefault="002A36E6" w:rsidP="00662423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62423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3.9.</w:t>
      </w:r>
      <w:r w:rsidRPr="0066242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 comprovação do atendimento aos requisitos funcionais e técnicos ocorrerá mediante documentação técnica, vistoria e avaliação da aderência do imóvel às necessidades da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Administração.</w:t>
      </w:r>
    </w:p>
    <w:p w14:paraId="2B4E8D75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4. VALOR ESTIMADO E ORÇAMENTO</w:t>
      </w:r>
    </w:p>
    <w:p w14:paraId="7F959A71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4.1.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O valor da contratação será consolidado a partir da prospecção do mercado imobiliário e do procedimento de Chamamento Público, com posterior avaliação técnica do imóvel que vier a ser selecionado.</w:t>
      </w:r>
    </w:p>
    <w:p w14:paraId="2952D232" w14:textId="31AF78AA" w:rsidR="002A36E6" w:rsidRPr="00E15D16" w:rsidRDefault="00E15D1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E15D16">
        <w:rPr>
          <w:rStyle w:val="Forte"/>
          <w:sz w:val="24"/>
          <w:szCs w:val="24"/>
        </w:rPr>
        <w:t>4.2.</w:t>
      </w:r>
      <w:r w:rsidRPr="00E15D16">
        <w:rPr>
          <w:sz w:val="24"/>
          <w:szCs w:val="24"/>
        </w:rPr>
        <w:t xml:space="preserve"> O valor mensal da locação do imóvel a ser contratado será definido após a conclusão do Chamamento Público, com base em laudo técnico de avaliação imobiliária e/ou pesquisa de mercado elaborados por profissional habilitado, considerando as características físicas, estruturais, locacionais e funcionais do imóvel efetivamente selecionado, bem como os preços praticados no mercado local.</w:t>
      </w:r>
    </w:p>
    <w:p w14:paraId="6956866D" w14:textId="15DA723C" w:rsidR="002A36E6" w:rsidRPr="00E15D16" w:rsidRDefault="00E15D1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E15D16">
        <w:rPr>
          <w:rStyle w:val="Forte"/>
          <w:sz w:val="24"/>
          <w:szCs w:val="24"/>
        </w:rPr>
        <w:t>4.3.</w:t>
      </w:r>
      <w:r w:rsidRPr="00E15D16">
        <w:rPr>
          <w:sz w:val="24"/>
          <w:szCs w:val="24"/>
        </w:rPr>
        <w:t xml:space="preserve"> Após a análise das propostas apresentadas e da seleção preliminar do imóvel que melhor atender aos requisitos deste Termo de Referência, o bem será submetido a laudo técnico de avaliação imobiliária, para verificação da vantajosidade em relação ao valor de mercado, sem prejuízo da posterior instrução orçamentária, da demonstração da disponibilidade orçamentária e do atendimento das demais exigências legais e regulamentares aplicáveis.</w:t>
      </w:r>
    </w:p>
    <w:p w14:paraId="377001A1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5. CRITÉRIOS DE ACEITAÇÃO</w:t>
      </w:r>
    </w:p>
    <w:p w14:paraId="5EFB44E5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5.1.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 aceitação do imóvel ficará condicionada à comprovação de que a proposta atende aos requisitos funcionais, técnicos, documentais e econômicos definidos neste Termo de Referência e no edital de Chamamento Público.</w:t>
      </w:r>
    </w:p>
    <w:p w14:paraId="688EE300" w14:textId="5E573CFD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5.2.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Caso, ao final da prospecção, identifique-se apenas um imóvel apto a atender às necessidades </w:t>
      </w:r>
      <w:r w:rsidR="00705C14">
        <w:rPr>
          <w:rFonts w:asciiTheme="minorHAnsi" w:eastAsia="Times New Roman" w:hAnsiTheme="minorHAnsi" w:cstheme="minorHAnsi"/>
          <w:sz w:val="24"/>
          <w:szCs w:val="24"/>
          <w:lang w:eastAsia="pt-BR"/>
        </w:rPr>
        <w:t>do Centro de Especialidade Odontológica (CEO)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>, a Administração poderá avaliar a adoção da contratação direta por inexigibilidade, com fundamento no art. 74, inciso V, da Lei nº 14.133/2021, desde que restem preenchidos os requisitos legais, documentais e justificativos pertinentes.</w:t>
      </w:r>
    </w:p>
    <w:p w14:paraId="4CA760B9" w14:textId="602EC3E2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lastRenderedPageBreak/>
        <w:t>5.3.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Caso se identifique mais de um imóvel em condições de atender às necessidades d</w:t>
      </w:r>
      <w:r w:rsidR="00263893">
        <w:rPr>
          <w:rFonts w:asciiTheme="minorHAnsi" w:eastAsia="Times New Roman" w:hAnsiTheme="minorHAnsi" w:cstheme="minorHAnsi"/>
          <w:sz w:val="24"/>
          <w:szCs w:val="24"/>
          <w:lang w:eastAsia="pt-BR"/>
        </w:rPr>
        <w:t>o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263893">
        <w:rPr>
          <w:rFonts w:asciiTheme="minorHAnsi" w:eastAsia="Times New Roman" w:hAnsiTheme="minorHAnsi" w:cstheme="minorHAnsi"/>
          <w:sz w:val="24"/>
          <w:szCs w:val="24"/>
          <w:lang w:eastAsia="pt-BR"/>
        </w:rPr>
        <w:t>CEO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>, o procedimento de prospecção servirá de base para a tomada de decisão quanto à modelagem jurídica subsequente, observadas a competitividade, a vantajosidade e a legislação aplicável.</w:t>
      </w:r>
    </w:p>
    <w:p w14:paraId="4C367E5C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6. CRITÉRIOS DE SELEÇÃO DO IMÓVEL</w:t>
      </w:r>
    </w:p>
    <w:p w14:paraId="619A7180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6.1.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 proposta deverá conter, de forma expressa, no mínimo:</w:t>
      </w:r>
    </w:p>
    <w:p w14:paraId="7D0132C8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6.1.1.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Identificação do imóvel ofertado;</w:t>
      </w:r>
    </w:p>
    <w:p w14:paraId="32062974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6.1.2.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Descrição do imóvel e de suas características gerais;</w:t>
      </w:r>
    </w:p>
    <w:p w14:paraId="3171184A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6.1.3.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Indicação da metragem útil disponível e da capacidade funcional de acomodação das unidades administrativas;</w:t>
      </w:r>
    </w:p>
    <w:p w14:paraId="5ABD9DDB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6.1.4.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Prazo para disponibilização do imóvel e para eventuais adequações, quando aplicável;</w:t>
      </w:r>
    </w:p>
    <w:p w14:paraId="375DC5A2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6.1.5.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Identificação dos responsáveis legais aptos à assinatura do contrato; e</w:t>
      </w:r>
    </w:p>
    <w:p w14:paraId="2373A0FC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6.1.6.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Demais informações exigidas no edital e seus anexos.</w:t>
      </w:r>
    </w:p>
    <w:p w14:paraId="25F3A1D0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6.2.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Para fins de aceitação e análise, a proposta deverá ser complementada com a documentação técnica e dominial pertinente, incluindo, no mínimo:</w:t>
      </w:r>
    </w:p>
    <w:p w14:paraId="0E93803B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6.2.1.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Planta de localização do terreno;</w:t>
      </w:r>
    </w:p>
    <w:p w14:paraId="4BAB1ED7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6.2.2.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Planta baixa ou documento equivalente que permita a verificação do aproveitamento funcional do espaço;</w:t>
      </w:r>
    </w:p>
    <w:p w14:paraId="7ECAFBEA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6.2.3.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Cópia do registro de imóveis atualizado;</w:t>
      </w:r>
    </w:p>
    <w:p w14:paraId="4C2F29BB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6.2.4.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Documentação de titularidade ou posse legítima apta à locação; e</w:t>
      </w:r>
    </w:p>
    <w:p w14:paraId="4860D029" w14:textId="77777777" w:rsidR="002A36E6" w:rsidRPr="00662423" w:rsidRDefault="002A36E6" w:rsidP="00662423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6.2.5.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Outros documentos que venham a ser solicitados para comprovação de regularidade e </w:t>
      </w:r>
      <w:r w:rsidRPr="00662423">
        <w:rPr>
          <w:rFonts w:asciiTheme="minorHAnsi" w:eastAsia="Times New Roman" w:hAnsiTheme="minorHAnsi" w:cstheme="minorHAnsi"/>
          <w:sz w:val="24"/>
          <w:szCs w:val="24"/>
          <w:lang w:eastAsia="pt-BR"/>
        </w:rPr>
        <w:t>adequação do imóvel.</w:t>
      </w:r>
    </w:p>
    <w:p w14:paraId="2792046D" w14:textId="77777777" w:rsidR="00662423" w:rsidRPr="00662423" w:rsidRDefault="00662423" w:rsidP="00662423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62423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6.3. Estudo de leiaute e avaliação funcional.</w:t>
      </w:r>
      <w:r w:rsidRPr="0066242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Os imóveis ofertados no Chamamento Público serão submetidos a estudo de leiaute e avaliação funcional, com a finalidade de verificar a aderência da configuração física do bem às necessidades administrativas e operacionais da SEMUSA.</w:t>
      </w:r>
    </w:p>
    <w:p w14:paraId="27C0A3D0" w14:textId="77777777" w:rsidR="00662423" w:rsidRPr="00662423" w:rsidRDefault="00662423" w:rsidP="00662423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62423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6.3.1.</w:t>
      </w:r>
      <w:r w:rsidRPr="0066242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 avaliação considerará, entre outros aspectos:</w:t>
      </w:r>
    </w:p>
    <w:p w14:paraId="14C725F7" w14:textId="77777777" w:rsidR="00662423" w:rsidRDefault="00662423" w:rsidP="00662423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62423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6.3.1.1.</w:t>
      </w:r>
      <w:r w:rsidRPr="0066242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capacidade de acomodação das equipes e dos postos de trabalho;</w:t>
      </w:r>
    </w:p>
    <w:p w14:paraId="19955C99" w14:textId="77777777" w:rsidR="00662423" w:rsidRDefault="00662423" w:rsidP="00662423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62423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6.3.1.2.</w:t>
      </w:r>
      <w:r w:rsidRPr="0066242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possibilidade de implantação adequada de recepção, áreas administrativas, apoio, circulação e atendimento institucional;</w:t>
      </w:r>
    </w:p>
    <w:p w14:paraId="347F1D27" w14:textId="77777777" w:rsidR="00662423" w:rsidRDefault="00662423" w:rsidP="00662423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62423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lastRenderedPageBreak/>
        <w:t>6.3.1.3.</w:t>
      </w:r>
      <w:r w:rsidRPr="0066242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condições de acessibilidade, segurança, circulação vertical, iluminação, ventilação e conforto ambiental;</w:t>
      </w:r>
    </w:p>
    <w:p w14:paraId="21EF6CE6" w14:textId="77777777" w:rsidR="00662423" w:rsidRDefault="00662423" w:rsidP="00662423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62423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6.3.1.4.</w:t>
      </w:r>
      <w:r w:rsidRPr="0066242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logística de funcionamento interno, fluxos de circulação e compatibilidade da distribuição dos ambientes com a finalidade pública pretendida;</w:t>
      </w:r>
    </w:p>
    <w:p w14:paraId="0AB95C64" w14:textId="77777777" w:rsidR="00662423" w:rsidRDefault="00662423" w:rsidP="00662423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62423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6.3.1.5.</w:t>
      </w:r>
      <w:r w:rsidRPr="0066242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rotas de emergência e condições gerais de evacuação e segurança predial;</w:t>
      </w:r>
    </w:p>
    <w:p w14:paraId="5E10778F" w14:textId="77777777" w:rsidR="00662423" w:rsidRDefault="00662423" w:rsidP="00662423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62423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6.3.1.6.</w:t>
      </w:r>
      <w:r w:rsidRPr="0066242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adequação das instalações prediais, inclusive quanto à carga elétrica, rede lógica, telecomunicações e climatização;</w:t>
      </w:r>
    </w:p>
    <w:p w14:paraId="301EE406" w14:textId="77777777" w:rsidR="00662423" w:rsidRDefault="00662423" w:rsidP="00662423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62423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6.3.1.7.</w:t>
      </w:r>
      <w:r w:rsidRPr="0066242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necessidade e extensão de adaptações físicas, prediais ou funcionais;</w:t>
      </w:r>
    </w:p>
    <w:p w14:paraId="5EC5CF68" w14:textId="77777777" w:rsidR="00662423" w:rsidRDefault="00662423" w:rsidP="00662423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62423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6.3.1.8.</w:t>
      </w:r>
      <w:r w:rsidRPr="0066242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documentação de segurança contra incêndio e regularidade predial apresentada pelo proponente, inclusive, quando cabível, alvará do Corpo de Bombeiros, PPCI e comprovação correlata; e</w:t>
      </w:r>
    </w:p>
    <w:p w14:paraId="245930B7" w14:textId="40B6294C" w:rsidR="00662423" w:rsidRPr="00662423" w:rsidRDefault="00662423" w:rsidP="00662423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62423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6.3.1.9.</w:t>
      </w:r>
      <w:r w:rsidRPr="0066242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adequação do imóvel à logística de funcionamento </w:t>
      </w:r>
      <w:r w:rsidR="00263893">
        <w:rPr>
          <w:rFonts w:asciiTheme="minorHAnsi" w:eastAsia="Times New Roman" w:hAnsiTheme="minorHAnsi" w:cstheme="minorHAnsi"/>
          <w:sz w:val="24"/>
          <w:szCs w:val="24"/>
          <w:lang w:eastAsia="pt-BR"/>
        </w:rPr>
        <w:t>de Centro de Especialidade Odontológica</w:t>
      </w:r>
      <w:r w:rsidRPr="00662423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14:paraId="0CAEA145" w14:textId="77777777" w:rsidR="00662423" w:rsidRPr="00662423" w:rsidRDefault="00662423" w:rsidP="00662423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62423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6.3.2.</w:t>
      </w:r>
      <w:r w:rsidRPr="0066242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O resultado do estudo de leiaute e da avaliação funcional integrará a análise de aderência técnica da proposta e subsidiará a decisão administrativa quanto à seleção da solução imobiliária mais vantajosa para o interesse público.</w:t>
      </w:r>
    </w:p>
    <w:p w14:paraId="72EEE629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7. CRITÉRIOS DE HABILITAÇÃO</w:t>
      </w:r>
    </w:p>
    <w:p w14:paraId="5200AB61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7.1.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Além da documentação relativa à proposta, serão exigidos os documentos compatíveis com a natureza jurídica do proponente e do procedimento, conforme dispuser o edital, podendo incluir, quando cabível:</w:t>
      </w:r>
    </w:p>
    <w:p w14:paraId="7EBB8512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7.1.1.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Documentação de identificação e qualificação do proprietário ou representante legal;</w:t>
      </w:r>
    </w:p>
    <w:p w14:paraId="7AED05C3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7.1.2.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Prova de regularidade fiscal, trabalhista e documental, quando exigível;</w:t>
      </w:r>
    </w:p>
    <w:p w14:paraId="7202FE5A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7.1.3.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Comprovação de titularidade ou posse legítima apta à locação; e</w:t>
      </w:r>
    </w:p>
    <w:p w14:paraId="77E4ADEA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7.1.4.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Certidões e documentos relativos à regularidade do imóvel.</w:t>
      </w:r>
    </w:p>
    <w:p w14:paraId="1AF0E784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7.2.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As exigências documentais deverão ser compatibilizadas com a condição do proponente, especialmente quando se tratar de pessoa física, evitando-se imposições inadequadas à natureza da relação locatícia.</w:t>
      </w:r>
    </w:p>
    <w:p w14:paraId="26EE7006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8. PRAZOS</w:t>
      </w:r>
    </w:p>
    <w:p w14:paraId="244C4B15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8.1.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 Administração pretende entrar no imóvel no prazo de até </w:t>
      </w: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30 (trinta) dias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, contados da formalização do ajuste ou do marco contratual equivalente, observado o prazo necessário à 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lastRenderedPageBreak/>
        <w:t>disponibilização regular do bem e ao atendimento das exigências previstas neste Termo de Referência e no edital.</w:t>
      </w:r>
    </w:p>
    <w:p w14:paraId="1DE92140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8.2.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 disponibilização do imóvel estará condicionada à comprovação de regularidade documental do proponente e do imóvel, incluindo, no mínimo, a comprovação de propriedade ou posse legítima apta à locação, bem como a apresentação dos documentos técnicos e legais exigidos.</w:t>
      </w:r>
    </w:p>
    <w:p w14:paraId="13AD45B5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8.3.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O recebimento e a aceitação do imóvel ocorrerão após vistoria técnica e verificação do atendimento às exigências mínimas previstas neste Termo de Referência, podendo a Administração solicitar ajustes, complementações e diligências para saneamento de pendências, quando cabível.</w:t>
      </w:r>
    </w:p>
    <w:p w14:paraId="7957DFBB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8.4.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O locador deverá manter, durante toda a vigência contratual, as condições de uso, segurança, salubridade, acessibilidade e funcionamento do imóvel, responsabilizando-se pelas providências necessárias à adequada conservação e à correção de eventuais irregularidades que comprometam a utilização do espaço, conforme disposições contratuais e legislação aplicável.</w:t>
      </w:r>
    </w:p>
    <w:p w14:paraId="3B2F04DE" w14:textId="2C969040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8.5.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7D34FD">
        <w:rPr>
          <w:rFonts w:asciiTheme="minorHAnsi" w:eastAsia="Times New Roman" w:hAnsiTheme="minorHAnsi" w:cstheme="minorHAnsi"/>
          <w:sz w:val="24"/>
          <w:szCs w:val="24"/>
          <w:lang w:eastAsia="pt-BR"/>
        </w:rPr>
        <w:t>C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essará </w:t>
      </w:r>
      <w:r w:rsidR="007D34F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obrigação de pagamento de aluguéis pelo Município na data da notificação, seja pessoal ou pelo jornal Oficial, para devolução das chaves ao LOCADOR. </w:t>
      </w:r>
    </w:p>
    <w:p w14:paraId="15DA7CE9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8.6.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Os critérios de sustentabilidade são aqueles previstos nas especificações do objeto, nas obrigações contratuais e no instrumento convocatório, como requisito previsto em lei e em consonância com a finalidade pública da contratação.</w:t>
      </w:r>
    </w:p>
    <w:p w14:paraId="79F6BC53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9. DISPOSIÇÕES FINAIS</w:t>
      </w:r>
    </w:p>
    <w:p w14:paraId="09A3B983" w14:textId="77777777" w:rsidR="002A36E6" w:rsidRPr="003B17CC" w:rsidRDefault="002A36E6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9.1.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As informações gerais que balizarão o Chamamento Público, incluindo prazos, forma de apresentação de propostas, critérios de análise, etapas de vistoria, estudo de leiaute e documentação exigida, estarão apresentadas no respectivo edital.</w:t>
      </w:r>
    </w:p>
    <w:p w14:paraId="78B7E7A3" w14:textId="094F1464" w:rsidR="003823B7" w:rsidRPr="00874E7E" w:rsidRDefault="002A36E6" w:rsidP="00874E7E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B17CC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9.2.</w:t>
      </w:r>
      <w:r w:rsidRPr="003B17C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As informações contidas neste Termo de Referência não são classificadas como sigilosas, ressalvadas as hipóteses legais de restrição de publicidade de documentos específicos dos autos.</w:t>
      </w:r>
    </w:p>
    <w:p w14:paraId="419A69F9" w14:textId="47E73BD7" w:rsidR="006A0B6E" w:rsidRPr="00FA2C85" w:rsidRDefault="00874E7E" w:rsidP="00874E7E">
      <w:pPr>
        <w:pStyle w:val="NormalWeb"/>
        <w:tabs>
          <w:tab w:val="left" w:pos="284"/>
        </w:tabs>
        <w:jc w:val="center"/>
        <w:rPr>
          <w:rStyle w:val="Forte"/>
          <w:rFonts w:asciiTheme="minorHAnsi" w:hAnsiTheme="minorHAnsi" w:cstheme="minorHAnsi"/>
          <w:b w:val="0"/>
          <w:bCs w:val="0"/>
          <w:color w:val="000000" w:themeColor="text1"/>
        </w:rPr>
      </w:pPr>
      <w:bookmarkStart w:id="0" w:name="_Hlk232088688"/>
      <w:r>
        <w:rPr>
          <w:rStyle w:val="Forte"/>
          <w:rFonts w:asciiTheme="minorHAnsi" w:hAnsiTheme="minorHAnsi" w:cstheme="minorHAnsi"/>
          <w:b w:val="0"/>
          <w:bCs w:val="0"/>
          <w:color w:val="000000" w:themeColor="text1"/>
        </w:rPr>
        <w:t xml:space="preserve">                                                                                                      </w:t>
      </w:r>
      <w:r w:rsidR="006A0B6E" w:rsidRPr="00FA2C85">
        <w:rPr>
          <w:rStyle w:val="Forte"/>
          <w:rFonts w:asciiTheme="minorHAnsi" w:hAnsiTheme="minorHAnsi" w:cstheme="minorHAnsi"/>
          <w:b w:val="0"/>
          <w:bCs w:val="0"/>
          <w:color w:val="000000" w:themeColor="text1"/>
        </w:rPr>
        <w:t xml:space="preserve">Rio das Ostras, </w:t>
      </w:r>
      <w:r w:rsidR="006A0B6E">
        <w:rPr>
          <w:rStyle w:val="Forte"/>
          <w:rFonts w:asciiTheme="minorHAnsi" w:hAnsiTheme="minorHAnsi" w:cstheme="minorHAnsi"/>
          <w:b w:val="0"/>
          <w:bCs w:val="0"/>
          <w:color w:val="000000" w:themeColor="text1"/>
        </w:rPr>
        <w:t>1</w:t>
      </w:r>
      <w:r w:rsidR="00A15449">
        <w:rPr>
          <w:rStyle w:val="Forte"/>
          <w:rFonts w:asciiTheme="minorHAnsi" w:hAnsiTheme="minorHAnsi" w:cstheme="minorHAnsi"/>
          <w:b w:val="0"/>
          <w:bCs w:val="0"/>
          <w:color w:val="000000" w:themeColor="text1"/>
        </w:rPr>
        <w:t>6</w:t>
      </w:r>
      <w:r w:rsidR="006A0B6E" w:rsidRPr="00FA2C85">
        <w:rPr>
          <w:rStyle w:val="Forte"/>
          <w:rFonts w:asciiTheme="minorHAnsi" w:hAnsiTheme="minorHAnsi" w:cstheme="minorHAnsi"/>
          <w:b w:val="0"/>
          <w:bCs w:val="0"/>
          <w:color w:val="000000" w:themeColor="text1"/>
        </w:rPr>
        <w:t xml:space="preserve"> de </w:t>
      </w:r>
      <w:r w:rsidR="006A0B6E">
        <w:rPr>
          <w:rStyle w:val="Forte"/>
          <w:rFonts w:asciiTheme="minorHAnsi" w:hAnsiTheme="minorHAnsi" w:cstheme="minorHAnsi"/>
          <w:b w:val="0"/>
          <w:bCs w:val="0"/>
          <w:color w:val="000000" w:themeColor="text1"/>
        </w:rPr>
        <w:t>ju</w:t>
      </w:r>
      <w:r w:rsidR="00A15449">
        <w:rPr>
          <w:rStyle w:val="Forte"/>
          <w:rFonts w:asciiTheme="minorHAnsi" w:hAnsiTheme="minorHAnsi" w:cstheme="minorHAnsi"/>
          <w:b w:val="0"/>
          <w:bCs w:val="0"/>
          <w:color w:val="000000" w:themeColor="text1"/>
        </w:rPr>
        <w:t>lh</w:t>
      </w:r>
      <w:r w:rsidR="006A0B6E">
        <w:rPr>
          <w:rStyle w:val="Forte"/>
          <w:rFonts w:asciiTheme="minorHAnsi" w:hAnsiTheme="minorHAnsi" w:cstheme="minorHAnsi"/>
          <w:b w:val="0"/>
          <w:bCs w:val="0"/>
          <w:color w:val="000000" w:themeColor="text1"/>
        </w:rPr>
        <w:t>o</w:t>
      </w:r>
      <w:r w:rsidR="006A0B6E" w:rsidRPr="00FA2C85">
        <w:rPr>
          <w:rStyle w:val="Forte"/>
          <w:rFonts w:asciiTheme="minorHAnsi" w:hAnsiTheme="minorHAnsi" w:cstheme="minorHAnsi"/>
          <w:b w:val="0"/>
          <w:bCs w:val="0"/>
          <w:color w:val="000000" w:themeColor="text1"/>
        </w:rPr>
        <w:t xml:space="preserve"> de 2026</w:t>
      </w:r>
    </w:p>
    <w:p w14:paraId="5BE05238" w14:textId="77777777" w:rsidR="006A0B6E" w:rsidRPr="007C1A02" w:rsidRDefault="006A0B6E" w:rsidP="006A0B6E">
      <w:pPr>
        <w:pStyle w:val="NormalWeb"/>
        <w:tabs>
          <w:tab w:val="left" w:pos="284"/>
        </w:tabs>
        <w:jc w:val="right"/>
        <w:rPr>
          <w:rStyle w:val="Forte"/>
          <w:rFonts w:ascii="Calibri" w:hAnsi="Calibri" w:cs="Calibri"/>
          <w:b w:val="0"/>
          <w:bCs w:val="0"/>
          <w:sz w:val="23"/>
          <w:szCs w:val="23"/>
        </w:rPr>
      </w:pPr>
    </w:p>
    <w:p w14:paraId="5AC927A3" w14:textId="77777777" w:rsidR="00874E7E" w:rsidRDefault="00874E7E" w:rsidP="006A0B6E">
      <w:pPr>
        <w:pStyle w:val="Padro"/>
        <w:tabs>
          <w:tab w:val="clear" w:pos="708"/>
          <w:tab w:val="left" w:pos="284"/>
        </w:tabs>
        <w:spacing w:after="0" w:line="240" w:lineRule="auto"/>
        <w:jc w:val="both"/>
        <w:outlineLvl w:val="1"/>
        <w:rPr>
          <w:rFonts w:asciiTheme="minorHAnsi" w:eastAsia="Times New Roman" w:hAnsiTheme="minorHAnsi" w:cstheme="minorHAnsi"/>
          <w:b/>
          <w:bCs/>
          <w:color w:val="FF0000"/>
          <w:sz w:val="22"/>
          <w:szCs w:val="22"/>
          <w:lang w:eastAsia="pt-BR"/>
        </w:rPr>
      </w:pPr>
    </w:p>
    <w:p w14:paraId="64DB1DDD" w14:textId="77777777" w:rsidR="00874E7E" w:rsidRDefault="00874E7E" w:rsidP="006A0B6E">
      <w:pPr>
        <w:pStyle w:val="Padro"/>
        <w:tabs>
          <w:tab w:val="clear" w:pos="708"/>
          <w:tab w:val="left" w:pos="284"/>
        </w:tabs>
        <w:spacing w:after="0" w:line="240" w:lineRule="auto"/>
        <w:jc w:val="both"/>
        <w:outlineLvl w:val="1"/>
        <w:rPr>
          <w:rFonts w:asciiTheme="minorHAnsi" w:eastAsia="Times New Roman" w:hAnsiTheme="minorHAnsi" w:cstheme="minorHAnsi"/>
          <w:b/>
          <w:bCs/>
          <w:color w:val="FF0000"/>
          <w:sz w:val="22"/>
          <w:szCs w:val="22"/>
          <w:lang w:eastAsia="pt-BR"/>
        </w:rPr>
      </w:pPr>
    </w:p>
    <w:p w14:paraId="6AA4B9A2" w14:textId="77777777" w:rsidR="00874E7E" w:rsidRDefault="00874E7E" w:rsidP="006A0B6E">
      <w:pPr>
        <w:pStyle w:val="Padro"/>
        <w:tabs>
          <w:tab w:val="clear" w:pos="708"/>
          <w:tab w:val="left" w:pos="284"/>
        </w:tabs>
        <w:spacing w:after="0" w:line="240" w:lineRule="auto"/>
        <w:jc w:val="both"/>
        <w:outlineLvl w:val="1"/>
        <w:rPr>
          <w:rFonts w:asciiTheme="minorHAnsi" w:eastAsia="Times New Roman" w:hAnsiTheme="minorHAnsi" w:cstheme="minorHAnsi"/>
          <w:b/>
          <w:bCs/>
          <w:color w:val="FF0000"/>
          <w:sz w:val="22"/>
          <w:szCs w:val="22"/>
          <w:lang w:eastAsia="pt-BR"/>
        </w:rPr>
      </w:pPr>
    </w:p>
    <w:p w14:paraId="47BF033D" w14:textId="4515A697" w:rsidR="006A0B6E" w:rsidRPr="00110C58" w:rsidRDefault="006A0B6E" w:rsidP="006A0B6E">
      <w:pPr>
        <w:pStyle w:val="Padro"/>
        <w:tabs>
          <w:tab w:val="clear" w:pos="708"/>
          <w:tab w:val="left" w:pos="284"/>
        </w:tabs>
        <w:spacing w:after="0" w:line="240" w:lineRule="auto"/>
        <w:jc w:val="both"/>
        <w:outlineLvl w:val="1"/>
        <w:rPr>
          <w:rFonts w:asciiTheme="minorHAnsi" w:eastAsia="Times New Roman" w:hAnsiTheme="minorHAnsi" w:cstheme="minorHAnsi"/>
          <w:b/>
          <w:bCs/>
          <w:color w:val="FF0000"/>
          <w:sz w:val="22"/>
          <w:szCs w:val="22"/>
          <w:lang w:eastAsia="pt-BR"/>
        </w:rPr>
      </w:pPr>
      <w:r>
        <w:rPr>
          <w:rFonts w:asciiTheme="minorHAnsi" w:eastAsia="Times New Roman" w:hAnsiTheme="minorHAnsi" w:cstheme="minorHAnsi"/>
          <w:b/>
          <w:bCs/>
          <w:noProof/>
          <w:color w:val="FF0000"/>
          <w:sz w:val="22"/>
          <w:szCs w:val="22"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EC0D49" wp14:editId="4BC65FFE">
                <wp:simplePos x="0" y="0"/>
                <wp:positionH relativeFrom="column">
                  <wp:posOffset>4485640</wp:posOffset>
                </wp:positionH>
                <wp:positionV relativeFrom="paragraph">
                  <wp:posOffset>113030</wp:posOffset>
                </wp:positionV>
                <wp:extent cx="1914525" cy="1047750"/>
                <wp:effectExtent l="0" t="0" r="0" b="0"/>
                <wp:wrapNone/>
                <wp:docPr id="4" name="Caixa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4525" cy="1047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1BAAC9" w14:textId="77777777" w:rsidR="006A0B6E" w:rsidRDefault="006A0B6E" w:rsidP="006A0B6E">
                            <w:pPr>
                              <w:widowControl w:val="0"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4"/>
                                <w:szCs w:val="24"/>
                                <w:lang w:eastAsia="pt-BR"/>
                              </w:rPr>
                            </w:pPr>
                            <w:r w:rsidRPr="00CC4D96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4"/>
                                <w:szCs w:val="24"/>
                                <w:lang w:eastAsia="pt-BR"/>
                              </w:rPr>
                              <w:t xml:space="preserve">Victor Lemos S. Bernardino </w:t>
                            </w:r>
                          </w:p>
                          <w:p w14:paraId="6A73A49A" w14:textId="77777777" w:rsidR="006A0B6E" w:rsidRDefault="006A0B6E" w:rsidP="006A0B6E">
                            <w:pPr>
                              <w:widowControl w:val="0"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pt-BR"/>
                              </w:rPr>
                            </w:pPr>
                            <w:r w:rsidRPr="00CC4D96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pt-BR"/>
                              </w:rPr>
                              <w:t>Assessor Executivo I</w:t>
                            </w:r>
                          </w:p>
                          <w:p w14:paraId="717EA200" w14:textId="77777777" w:rsidR="006A0B6E" w:rsidRPr="00CC4D96" w:rsidRDefault="006A0B6E" w:rsidP="006A0B6E">
                            <w:pPr>
                              <w:widowControl w:val="0"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pt-BR"/>
                              </w:rPr>
                            </w:pPr>
                            <w:r w:rsidRPr="00CC4D96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4"/>
                                <w:szCs w:val="24"/>
                                <w:lang w:eastAsia="pt-BR"/>
                              </w:rPr>
                              <w:t>Mat.:22485-1</w:t>
                            </w:r>
                          </w:p>
                          <w:p w14:paraId="2219D615" w14:textId="77777777" w:rsidR="006A0B6E" w:rsidRDefault="006A0B6E" w:rsidP="006A0B6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EC0D49" id="_x0000_t202" coordsize="21600,21600" o:spt="202" path="m,l,21600r21600,l21600,xe">
                <v:stroke joinstyle="miter"/>
                <v:path gradientshapeok="t" o:connecttype="rect"/>
              </v:shapetype>
              <v:shape id="Caixa de Texto 4" o:spid="_x0000_s1026" type="#_x0000_t202" style="position:absolute;left:0;text-align:left;margin-left:353.2pt;margin-top:8.9pt;width:150.75pt;height:82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" filled="f" stroked="f" strokeweight=".5pt">
                <v:textbox>
                  <w:txbxContent>
                    <w:p w14:paraId="321BAAC9" w14:textId="77777777" w:rsidR="006A0B6E" w:rsidRDefault="006A0B6E" w:rsidP="006A0B6E">
                      <w:pPr>
                        <w:widowControl w:val="0"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sz w:val="24"/>
                          <w:szCs w:val="24"/>
                          <w:lang w:eastAsia="pt-BR"/>
                        </w:rPr>
                      </w:pPr>
                      <w:r w:rsidRPr="00CC4D96">
                        <w:rPr>
                          <w:rFonts w:ascii="Arial" w:eastAsia="Times New Roman" w:hAnsi="Arial" w:cs="Arial"/>
                          <w:b/>
                          <w:bCs/>
                          <w:sz w:val="24"/>
                          <w:szCs w:val="24"/>
                          <w:lang w:eastAsia="pt-BR"/>
                        </w:rPr>
                        <w:t xml:space="preserve">Victor Lemos S. Bernardino </w:t>
                      </w:r>
                    </w:p>
                    <w:p w14:paraId="6A73A49A" w14:textId="77777777" w:rsidR="006A0B6E" w:rsidRDefault="006A0B6E" w:rsidP="006A0B6E">
                      <w:pPr>
                        <w:widowControl w:val="0"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pt-BR"/>
                        </w:rPr>
                      </w:pPr>
                      <w:r w:rsidRPr="00CC4D96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pt-BR"/>
                        </w:rPr>
                        <w:t>Assessor Executivo I</w:t>
                      </w:r>
                    </w:p>
                    <w:p w14:paraId="717EA200" w14:textId="77777777" w:rsidR="006A0B6E" w:rsidRPr="00CC4D96" w:rsidRDefault="006A0B6E" w:rsidP="006A0B6E">
                      <w:pPr>
                        <w:widowControl w:val="0"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pt-BR"/>
                        </w:rPr>
                      </w:pPr>
                      <w:r w:rsidRPr="00CC4D96">
                        <w:rPr>
                          <w:rFonts w:ascii="Arial" w:eastAsia="Times New Roman" w:hAnsi="Arial" w:cs="Arial"/>
                          <w:b/>
                          <w:bCs/>
                          <w:sz w:val="24"/>
                          <w:szCs w:val="24"/>
                          <w:lang w:eastAsia="pt-BR"/>
                        </w:rPr>
                        <w:t>Mat.:22485-1</w:t>
                      </w:r>
                    </w:p>
                    <w:p w14:paraId="2219D615" w14:textId="77777777" w:rsidR="006A0B6E" w:rsidRDefault="006A0B6E" w:rsidP="006A0B6E"/>
                  </w:txbxContent>
                </v:textbox>
              </v:shape>
            </w:pict>
          </mc:Fallback>
        </mc:AlternateContent>
      </w:r>
      <w:r>
        <w:rPr>
          <w:rFonts w:asciiTheme="minorHAnsi" w:eastAsia="Times New Roman" w:hAnsiTheme="minorHAnsi" w:cstheme="minorHAnsi"/>
          <w:b/>
          <w:bCs/>
          <w:noProof/>
          <w:color w:val="FF0000"/>
          <w:sz w:val="22"/>
          <w:szCs w:val="22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5D6F23" wp14:editId="5F7D5FB7">
                <wp:simplePos x="0" y="0"/>
                <wp:positionH relativeFrom="column">
                  <wp:posOffset>-553085</wp:posOffset>
                </wp:positionH>
                <wp:positionV relativeFrom="paragraph">
                  <wp:posOffset>160654</wp:posOffset>
                </wp:positionV>
                <wp:extent cx="2381250" cy="981075"/>
                <wp:effectExtent l="0" t="0" r="0" b="0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981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1E483B7" w14:textId="77777777" w:rsidR="006A0B6E" w:rsidRDefault="006A0B6E" w:rsidP="006A0B6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Deiva Motta da Costa</w:t>
                            </w:r>
                          </w:p>
                          <w:p w14:paraId="469DE377" w14:textId="77777777" w:rsidR="006A0B6E" w:rsidRDefault="006A0B6E" w:rsidP="006A0B6E">
                            <w:pPr>
                              <w:widowControl w:val="0"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pt-BR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pt-BR"/>
                              </w:rPr>
                              <w:t>Subsecretária Municipal de Atenção Especializada</w:t>
                            </w:r>
                          </w:p>
                          <w:p w14:paraId="322C19DB" w14:textId="77777777" w:rsidR="006A0B6E" w:rsidRDefault="006A0B6E" w:rsidP="006A0B6E">
                            <w:pPr>
                              <w:widowControl w:val="0"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pt-BR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Mat.: 21302-0</w:t>
                            </w:r>
                          </w:p>
                          <w:p w14:paraId="60E8C74A" w14:textId="77777777" w:rsidR="006A0B6E" w:rsidRDefault="006A0B6E" w:rsidP="006A0B6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5D6F23" id="Caixa de Texto 1" o:spid="_x0000_s1027" type="#_x0000_t202" style="position:absolute;left:0;text-align:left;margin-left:-43.55pt;margin-top:12.65pt;width:187.5pt;height:77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" filled="f" stroked="f" strokeweight=".5pt">
                <v:textbox>
                  <w:txbxContent>
                    <w:p w14:paraId="51E483B7" w14:textId="77777777" w:rsidR="006A0B6E" w:rsidRDefault="006A0B6E" w:rsidP="006A0B6E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Deiva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Motta da Costa</w:t>
                      </w:r>
                    </w:p>
                    <w:p w14:paraId="469DE377" w14:textId="77777777" w:rsidR="006A0B6E" w:rsidRDefault="006A0B6E" w:rsidP="006A0B6E">
                      <w:pPr>
                        <w:widowControl w:val="0"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pt-BR"/>
                        </w:rPr>
                      </w:pPr>
                      <w:r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pt-BR"/>
                        </w:rPr>
                        <w:t>Subsecretária Municipal de Atenção Especializada</w:t>
                      </w:r>
                    </w:p>
                    <w:p w14:paraId="322C19DB" w14:textId="77777777" w:rsidR="006A0B6E" w:rsidRDefault="006A0B6E" w:rsidP="006A0B6E">
                      <w:pPr>
                        <w:widowControl w:val="0"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pt-BR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Mat.: 21302-0</w:t>
                      </w:r>
                    </w:p>
                    <w:p w14:paraId="60E8C74A" w14:textId="77777777" w:rsidR="006A0B6E" w:rsidRDefault="006A0B6E" w:rsidP="006A0B6E"/>
                  </w:txbxContent>
                </v:textbox>
              </v:shape>
            </w:pict>
          </mc:Fallback>
        </mc:AlternateContent>
      </w:r>
      <w:r>
        <w:rPr>
          <w:rFonts w:asciiTheme="minorHAnsi" w:eastAsia="Times New Roman" w:hAnsiTheme="minorHAnsi" w:cstheme="minorHAnsi"/>
          <w:b/>
          <w:bCs/>
          <w:noProof/>
          <w:color w:val="FF0000"/>
          <w:sz w:val="22"/>
          <w:szCs w:val="22"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CDCCB0" wp14:editId="5D327AA4">
                <wp:simplePos x="0" y="0"/>
                <wp:positionH relativeFrom="column">
                  <wp:posOffset>2094865</wp:posOffset>
                </wp:positionH>
                <wp:positionV relativeFrom="paragraph">
                  <wp:posOffset>122555</wp:posOffset>
                </wp:positionV>
                <wp:extent cx="2162175" cy="1038225"/>
                <wp:effectExtent l="0" t="0" r="0" b="0"/>
                <wp:wrapNone/>
                <wp:docPr id="2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1038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E06F8E6" w14:textId="77777777" w:rsidR="006A0B6E" w:rsidRDefault="006A0B6E" w:rsidP="006A0B6E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André Luiz Souza de Mello </w:t>
                            </w:r>
                          </w:p>
                          <w:p w14:paraId="1C878040" w14:textId="77777777" w:rsidR="006A0B6E" w:rsidRDefault="006A0B6E" w:rsidP="006A0B6E">
                            <w:pPr>
                              <w:widowControl w:val="0"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pt-BR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pt-BR"/>
                              </w:rPr>
                              <w:t>Gerente Geral</w:t>
                            </w:r>
                            <w:r w:rsidRPr="0064171A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pt-BR"/>
                              </w:rPr>
                              <w:t xml:space="preserve"> do Departamento de Saúde Bucal</w:t>
                            </w:r>
                          </w:p>
                          <w:p w14:paraId="154FD1EC" w14:textId="77777777" w:rsidR="006A0B6E" w:rsidRDefault="006A0B6E" w:rsidP="006A0B6E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Mat.: 8593-6</w:t>
                            </w:r>
                          </w:p>
                          <w:p w14:paraId="323506D4" w14:textId="77777777" w:rsidR="006A0B6E" w:rsidRDefault="006A0B6E" w:rsidP="006A0B6E">
                            <w:pPr>
                              <w:widowControl w:val="0"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pt-BR"/>
                              </w:rPr>
                            </w:pPr>
                          </w:p>
                          <w:p w14:paraId="3753C06B" w14:textId="77777777" w:rsidR="006A0B6E" w:rsidRDefault="006A0B6E" w:rsidP="006A0B6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DCCB0" id="Caixa de Texto 2" o:spid="_x0000_s1028" type="#_x0000_t202" style="position:absolute;left:0;text-align:left;margin-left:164.95pt;margin-top:9.65pt;width:170.25pt;height:8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" filled="f" stroked="f" strokeweight=".5pt">
                <v:textbox>
                  <w:txbxContent>
                    <w:p w14:paraId="6E06F8E6" w14:textId="77777777" w:rsidR="006A0B6E" w:rsidRDefault="006A0B6E" w:rsidP="006A0B6E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André Luiz Souza de Mello </w:t>
                      </w:r>
                    </w:p>
                    <w:p w14:paraId="1C878040" w14:textId="77777777" w:rsidR="006A0B6E" w:rsidRDefault="006A0B6E" w:rsidP="006A0B6E">
                      <w:pPr>
                        <w:widowControl w:val="0"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pt-BR"/>
                        </w:rPr>
                      </w:pPr>
                      <w:r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pt-BR"/>
                        </w:rPr>
                        <w:t>Gerente Geral</w:t>
                      </w:r>
                      <w:r w:rsidRPr="0064171A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pt-BR"/>
                        </w:rPr>
                        <w:t xml:space="preserve"> do Departamento de Saúde Bucal</w:t>
                      </w:r>
                    </w:p>
                    <w:p w14:paraId="154FD1EC" w14:textId="77777777" w:rsidR="006A0B6E" w:rsidRDefault="006A0B6E" w:rsidP="006A0B6E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Mat.: 8593-6</w:t>
                      </w:r>
                    </w:p>
                    <w:p w14:paraId="323506D4" w14:textId="77777777" w:rsidR="006A0B6E" w:rsidRDefault="006A0B6E" w:rsidP="006A0B6E">
                      <w:pPr>
                        <w:widowControl w:val="0"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pt-BR"/>
                        </w:rPr>
                      </w:pPr>
                    </w:p>
                    <w:p w14:paraId="3753C06B" w14:textId="77777777" w:rsidR="006A0B6E" w:rsidRDefault="006A0B6E" w:rsidP="006A0B6E"/>
                  </w:txbxContent>
                </v:textbox>
              </v:shape>
            </w:pict>
          </mc:Fallback>
        </mc:AlternateContent>
      </w:r>
    </w:p>
    <w:bookmarkEnd w:id="0"/>
    <w:p w14:paraId="44631378" w14:textId="77777777" w:rsidR="003823B7" w:rsidRPr="003B17CC" w:rsidRDefault="003823B7" w:rsidP="003B17CC">
      <w:pPr>
        <w:suppressAutoHyphens w:val="0"/>
        <w:overflowPunct/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sectPr w:rsidR="003823B7" w:rsidRPr="003B17CC">
      <w:headerReference w:type="default" r:id="rId8"/>
      <w:footerReference w:type="default" r:id="rId9"/>
      <w:pgSz w:w="11906" w:h="16838"/>
      <w:pgMar w:top="1418" w:right="1248" w:bottom="1134" w:left="1418" w:header="283" w:footer="461" w:gutter="0"/>
      <w:cols w:space="720"/>
      <w:formProt w:val="0"/>
      <w:docGrid w:linePitch="360" w:charSpace="12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810617" w14:textId="77777777" w:rsidR="00656CD8" w:rsidRDefault="00656CD8">
      <w:pPr>
        <w:spacing w:after="0" w:line="240" w:lineRule="auto"/>
      </w:pPr>
      <w:r>
        <w:separator/>
      </w:r>
    </w:p>
  </w:endnote>
  <w:endnote w:type="continuationSeparator" w:id="0">
    <w:p w14:paraId="52B3A7FC" w14:textId="77777777" w:rsidR="00656CD8" w:rsidRDefault="00656C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FA8DE" w14:textId="5F7216EA" w:rsidR="006B3ADE" w:rsidRDefault="003C56A6">
    <w:pPr>
      <w:pStyle w:val="PargrafodaLista"/>
      <w:jc w:val="right"/>
      <w:rPr>
        <w:i/>
        <w:iCs/>
        <w:sz w:val="16"/>
        <w:szCs w:val="16"/>
      </w:rPr>
    </w:pPr>
    <w:r w:rsidRPr="003C56A6">
      <w:rPr>
        <w:i/>
        <w:iCs/>
        <w:sz w:val="16"/>
        <w:szCs w:val="16"/>
      </w:rPr>
      <w:fldChar w:fldCharType="begin"/>
    </w:r>
    <w:r w:rsidRPr="003C56A6">
      <w:rPr>
        <w:i/>
        <w:iCs/>
        <w:sz w:val="16"/>
        <w:szCs w:val="16"/>
      </w:rPr>
      <w:instrText>PAGE   \* MERGEFORMAT</w:instrText>
    </w:r>
    <w:r w:rsidRPr="003C56A6">
      <w:rPr>
        <w:i/>
        <w:iCs/>
        <w:sz w:val="16"/>
        <w:szCs w:val="16"/>
      </w:rPr>
      <w:fldChar w:fldCharType="separate"/>
    </w:r>
    <w:r w:rsidRPr="003C56A6">
      <w:rPr>
        <w:i/>
        <w:iCs/>
        <w:sz w:val="16"/>
        <w:szCs w:val="16"/>
      </w:rPr>
      <w:t>1</w:t>
    </w:r>
    <w:r w:rsidRPr="003C56A6">
      <w:rPr>
        <w:i/>
        <w:iCs/>
        <w:sz w:val="16"/>
        <w:szCs w:val="16"/>
      </w:rPr>
      <w:fldChar w:fldCharType="end"/>
    </w:r>
  </w:p>
  <w:p w14:paraId="5CAE1F4B" w14:textId="1A656DFA" w:rsidR="006B3ADE" w:rsidRDefault="006B3ADE">
    <w:pPr>
      <w:pStyle w:val="PargrafodaList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9BE6CF" w14:textId="77777777" w:rsidR="00656CD8" w:rsidRDefault="00656CD8">
      <w:pPr>
        <w:spacing w:after="0" w:line="240" w:lineRule="auto"/>
      </w:pPr>
      <w:r>
        <w:separator/>
      </w:r>
    </w:p>
  </w:footnote>
  <w:footnote w:type="continuationSeparator" w:id="0">
    <w:p w14:paraId="7C3EB166" w14:textId="77777777" w:rsidR="00656CD8" w:rsidRDefault="00656C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BFD4D" w14:textId="78363EE1" w:rsidR="006B3ADE" w:rsidRDefault="005E6213">
    <w:pPr>
      <w:pStyle w:val="ndice"/>
    </w:pPr>
    <w:r>
      <w:rPr>
        <w:noProof/>
      </w:rPr>
      <mc:AlternateContent>
        <mc:Choice Requires="wps">
          <w:drawing>
            <wp:anchor distT="0" distB="0" distL="0" distR="0" simplePos="0" relativeHeight="251657728" behindDoc="1" locked="0" layoutInCell="0" allowOverlap="1" wp14:anchorId="74B0721B" wp14:editId="6B0955B0">
              <wp:simplePos x="0" y="0"/>
              <wp:positionH relativeFrom="column">
                <wp:posOffset>3832860</wp:posOffset>
              </wp:positionH>
              <wp:positionV relativeFrom="paragraph">
                <wp:posOffset>39370</wp:posOffset>
              </wp:positionV>
              <wp:extent cx="2200275" cy="814705"/>
              <wp:effectExtent l="0" t="0" r="9525" b="4445"/>
              <wp:wrapNone/>
              <wp:docPr id="3" name="Q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00275" cy="814705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1117E50D" w14:textId="43ADC6DF" w:rsidR="00C53D03" w:rsidRDefault="00AB5E0C" w:rsidP="00AE0662">
                          <w:pPr>
                            <w:pStyle w:val="Contedodoquadro"/>
                            <w:spacing w:after="0" w:line="240" w:lineRule="auto"/>
                            <w:jc w:val="both"/>
                            <w:rPr>
                              <w:color w:val="000000"/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>Processo Administrativo N.</w:t>
                          </w:r>
                          <w:r w:rsidR="005D7D31">
                            <w:rPr>
                              <w:color w:val="000000"/>
                              <w:sz w:val="18"/>
                              <w:szCs w:val="18"/>
                            </w:rPr>
                            <w:t>º</w:t>
                          </w:r>
                          <w:r w:rsidR="003C56A6"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1</w:t>
                          </w:r>
                          <w:r w:rsidR="00267E4C">
                            <w:rPr>
                              <w:color w:val="000000"/>
                              <w:sz w:val="18"/>
                              <w:szCs w:val="18"/>
                            </w:rPr>
                            <w:t>8187</w:t>
                          </w:r>
                          <w:r w:rsidR="003C56A6">
                            <w:rPr>
                              <w:color w:val="000000"/>
                              <w:sz w:val="18"/>
                              <w:szCs w:val="18"/>
                            </w:rPr>
                            <w:t>/202</w:t>
                          </w:r>
                          <w:r w:rsidR="00267E4C">
                            <w:rPr>
                              <w:color w:val="000000"/>
                              <w:sz w:val="18"/>
                              <w:szCs w:val="18"/>
                            </w:rPr>
                            <w:t>6</w:t>
                          </w:r>
                        </w:p>
                        <w:p w14:paraId="7CB33F83" w14:textId="67EFE2F0" w:rsidR="00AE0662" w:rsidRPr="00AE0662" w:rsidRDefault="00AE0662" w:rsidP="00AE0662">
                          <w:pPr>
                            <w:pStyle w:val="Contedodoquadro"/>
                            <w:spacing w:after="0" w:line="240" w:lineRule="auto"/>
                            <w:jc w:val="both"/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>Matrícula:</w:t>
                          </w:r>
                        </w:p>
                        <w:p w14:paraId="1C159CAB" w14:textId="3D701D11" w:rsidR="006B3ADE" w:rsidRDefault="00AB5E0C" w:rsidP="00AE0662">
                          <w:pPr>
                            <w:pStyle w:val="Contedodoquadro"/>
                            <w:spacing w:after="0" w:line="240" w:lineRule="auto"/>
                            <w:jc w:val="both"/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Rubrica: </w:t>
                          </w:r>
                        </w:p>
                        <w:p w14:paraId="042817A7" w14:textId="6A36642B" w:rsidR="006B3ADE" w:rsidRDefault="00C53D03" w:rsidP="00AE0662">
                          <w:pPr>
                            <w:pStyle w:val="Contedodoquadro"/>
                            <w:spacing w:after="0" w:line="240" w:lineRule="auto"/>
                            <w:jc w:val="both"/>
                          </w:pPr>
                          <w:r>
                            <w:t xml:space="preserve"> </w:t>
                          </w:r>
                        </w:p>
                        <w:p w14:paraId="112018BE" w14:textId="0E7817EA" w:rsidR="006B3ADE" w:rsidRDefault="00C53D03" w:rsidP="00AE0662">
                          <w:pPr>
                            <w:pStyle w:val="Contedodoquadro"/>
                            <w:spacing w:after="0" w:line="240" w:lineRule="auto"/>
                            <w:jc w:val="both"/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</w:t>
                          </w:r>
                          <w:r w:rsidR="00AB5E0C">
                            <w:rPr>
                              <w:color w:val="000000"/>
                              <w:sz w:val="18"/>
                              <w:szCs w:val="18"/>
                            </w:rPr>
                            <w:t>Folha:__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>___</w:t>
                          </w:r>
                          <w:r w:rsidR="00AB5E0C">
                            <w:rPr>
                              <w:color w:val="000000"/>
                              <w:sz w:val="18"/>
                              <w:szCs w:val="18"/>
                            </w:rPr>
                            <w:t>___</w:t>
                          </w:r>
                        </w:p>
                      </w:txbxContent>
                    </wps:txbx>
                    <wps:bodyPr wrap="square" lIns="0" tIns="0" rIns="0" bIns="0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B0721B" id="Quadro de texto 1" o:spid="_x0000_s1029" style="position:absolute;margin-left:301.8pt;margin-top:3.1pt;width:173.25pt;height:64.15pt;z-index:-25165875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" o:allowincell="f" filled="f" stroked="f" strokeweight="0">
              <v:textbox inset="0,0,0,0">
                <w:txbxContent>
                  <w:p w14:paraId="1117E50D" w14:textId="43ADC6DF" w:rsidR="00C53D03" w:rsidRDefault="00AB5E0C" w:rsidP="00AE0662">
                    <w:pPr>
                      <w:pStyle w:val="Contedodoquadro"/>
                      <w:spacing w:after="0" w:line="240" w:lineRule="auto"/>
                      <w:jc w:val="both"/>
                      <w:rPr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>Processo Administrativo N.</w:t>
                    </w:r>
                    <w:r w:rsidR="005D7D31">
                      <w:rPr>
                        <w:color w:val="000000"/>
                        <w:sz w:val="18"/>
                        <w:szCs w:val="18"/>
                      </w:rPr>
                      <w:t>º</w:t>
                    </w:r>
                    <w:r w:rsidR="003C56A6">
                      <w:rPr>
                        <w:color w:val="000000"/>
                        <w:sz w:val="18"/>
                        <w:szCs w:val="18"/>
                      </w:rPr>
                      <w:t xml:space="preserve"> 1</w:t>
                    </w:r>
                    <w:r w:rsidR="00267E4C">
                      <w:rPr>
                        <w:color w:val="000000"/>
                        <w:sz w:val="18"/>
                        <w:szCs w:val="18"/>
                      </w:rPr>
                      <w:t>8187</w:t>
                    </w:r>
                    <w:r w:rsidR="003C56A6">
                      <w:rPr>
                        <w:color w:val="000000"/>
                        <w:sz w:val="18"/>
                        <w:szCs w:val="18"/>
                      </w:rPr>
                      <w:t>/202</w:t>
                    </w:r>
                    <w:r w:rsidR="00267E4C">
                      <w:rPr>
                        <w:color w:val="000000"/>
                        <w:sz w:val="18"/>
                        <w:szCs w:val="18"/>
                      </w:rPr>
                      <w:t>6</w:t>
                    </w:r>
                  </w:p>
                  <w:p w14:paraId="7CB33F83" w14:textId="67EFE2F0" w:rsidR="00AE0662" w:rsidRPr="00AE0662" w:rsidRDefault="00AE0662" w:rsidP="00AE0662">
                    <w:pPr>
                      <w:pStyle w:val="Contedodoquadro"/>
                      <w:spacing w:after="0" w:line="240" w:lineRule="auto"/>
                      <w:jc w:val="both"/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>Matrícula:</w:t>
                    </w:r>
                  </w:p>
                  <w:p w14:paraId="1C159CAB" w14:textId="3D701D11" w:rsidR="006B3ADE" w:rsidRDefault="00AB5E0C" w:rsidP="00AE0662">
                    <w:pPr>
                      <w:pStyle w:val="Contedodoquadro"/>
                      <w:spacing w:after="0" w:line="240" w:lineRule="auto"/>
                      <w:jc w:val="both"/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Rubrica: </w:t>
                    </w:r>
                  </w:p>
                  <w:p w14:paraId="042817A7" w14:textId="6A36642B" w:rsidR="006B3ADE" w:rsidRDefault="00C53D03" w:rsidP="00AE0662">
                    <w:pPr>
                      <w:pStyle w:val="Contedodoquadro"/>
                      <w:spacing w:after="0" w:line="240" w:lineRule="auto"/>
                      <w:jc w:val="both"/>
                    </w:pPr>
                    <w:r>
                      <w:t xml:space="preserve"> </w:t>
                    </w:r>
                  </w:p>
                  <w:p w14:paraId="112018BE" w14:textId="0E7817EA" w:rsidR="006B3ADE" w:rsidRDefault="00C53D03" w:rsidP="00AE0662">
                    <w:pPr>
                      <w:pStyle w:val="Contedodoquadro"/>
                      <w:spacing w:after="0" w:line="240" w:lineRule="auto"/>
                      <w:jc w:val="both"/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 </w:t>
                    </w:r>
                    <w:r w:rsidR="00AB5E0C">
                      <w:rPr>
                        <w:color w:val="000000"/>
                        <w:sz w:val="18"/>
                        <w:szCs w:val="18"/>
                      </w:rPr>
                      <w:t>Folha:__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>___</w:t>
                    </w:r>
                    <w:r w:rsidR="00AB5E0C">
                      <w:rPr>
                        <w:color w:val="000000"/>
                        <w:sz w:val="18"/>
                        <w:szCs w:val="18"/>
                      </w:rPr>
                      <w:t>___</w:t>
                    </w:r>
                  </w:p>
                </w:txbxContent>
              </v:textbox>
            </v:rect>
          </w:pict>
        </mc:Fallback>
      </mc:AlternateContent>
    </w:r>
    <w:r w:rsidR="00AB5E0C">
      <w:rPr>
        <w:noProof/>
      </w:rPr>
      <w:drawing>
        <wp:inline distT="0" distB="0" distL="0" distR="0" wp14:anchorId="4E764BB5" wp14:editId="0FCBF069">
          <wp:extent cx="3639185" cy="948055"/>
          <wp:effectExtent l="0" t="0" r="0" b="0"/>
          <wp:docPr id="5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639185" cy="9480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127CB"/>
    <w:multiLevelType w:val="multilevel"/>
    <w:tmpl w:val="3F7CDF8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2456E4"/>
    <w:multiLevelType w:val="multilevel"/>
    <w:tmpl w:val="4B8EEF2C"/>
    <w:lvl w:ilvl="0">
      <w:start w:val="1"/>
      <w:numFmt w:val="decimal"/>
      <w:pStyle w:val="Nivel1"/>
      <w:lvlText w:val="%1."/>
      <w:lvlJc w:val="left"/>
      <w:pPr>
        <w:ind w:left="3338" w:hanging="360"/>
      </w:pPr>
      <w:rPr>
        <w:rFonts w:ascii="Calibri" w:hAnsi="Calibri"/>
        <w:b/>
        <w:color w:val="auto"/>
        <w:sz w:val="22"/>
        <w:szCs w:val="22"/>
      </w:rPr>
    </w:lvl>
    <w:lvl w:ilvl="1">
      <w:start w:val="3"/>
      <w:numFmt w:val="decimal"/>
      <w:lvlText w:val="%1.%2."/>
      <w:lvlJc w:val="left"/>
      <w:pPr>
        <w:ind w:left="574" w:hanging="432"/>
      </w:pPr>
      <w:rPr>
        <w:b w:val="0"/>
        <w:i w:val="0"/>
        <w:strike w:val="0"/>
        <w:dstrike w:val="0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b w:val="0"/>
        <w:i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F0E411A"/>
    <w:multiLevelType w:val="multilevel"/>
    <w:tmpl w:val="7E945EF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286780"/>
    <w:multiLevelType w:val="multilevel"/>
    <w:tmpl w:val="E41EF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5C100D"/>
    <w:multiLevelType w:val="multilevel"/>
    <w:tmpl w:val="507631E6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  <w:i w:val="0"/>
        <w:lang w:val="x-none"/>
      </w:rPr>
    </w:lvl>
    <w:lvl w:ilvl="2">
      <w:start w:val="1"/>
      <w:numFmt w:val="decimal"/>
      <w:lvlText w:val="%1.%2.%3."/>
      <w:lvlJc w:val="left"/>
      <w:pPr>
        <w:ind w:left="1922" w:hanging="504"/>
      </w:pPr>
    </w:lvl>
    <w:lvl w:ilvl="3">
      <w:start w:val="1"/>
      <w:numFmt w:val="decimal"/>
      <w:lvlText w:val="%1.%2.%3.%4."/>
      <w:lvlJc w:val="left"/>
      <w:pPr>
        <w:ind w:left="2491" w:hanging="648"/>
      </w:pPr>
      <w:rPr>
        <w:i w:val="0"/>
      </w:rPr>
    </w:lvl>
    <w:lvl w:ilvl="4">
      <w:start w:val="1"/>
      <w:numFmt w:val="decimal"/>
      <w:lvlText w:val="%1.%2.%3.%4.%5."/>
      <w:lvlJc w:val="left"/>
      <w:pPr>
        <w:ind w:left="3485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1744EC7"/>
    <w:multiLevelType w:val="multilevel"/>
    <w:tmpl w:val="57DC0C1E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A577DFF"/>
    <w:multiLevelType w:val="multilevel"/>
    <w:tmpl w:val="6834FCB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0950798"/>
    <w:multiLevelType w:val="multilevel"/>
    <w:tmpl w:val="51B883D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D1A4C03"/>
    <w:multiLevelType w:val="multilevel"/>
    <w:tmpl w:val="9D4045F0"/>
    <w:styleLink w:val="WWNum28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/>
        <w:b/>
        <w:color w:val="auto"/>
        <w:sz w:val="22"/>
        <w:szCs w:val="22"/>
      </w:rPr>
    </w:lvl>
    <w:lvl w:ilvl="1">
      <w:start w:val="3"/>
      <w:numFmt w:val="decimal"/>
      <w:lvlText w:val="%1.%2."/>
      <w:lvlJc w:val="left"/>
      <w:pPr>
        <w:ind w:left="432" w:hanging="432"/>
      </w:pPr>
      <w:rPr>
        <w:rFonts w:ascii="Calibri" w:hAnsi="Calibri"/>
        <w:b w:val="0"/>
        <w:i w:val="0"/>
        <w:strike w:val="0"/>
        <w:dstrike w:val="0"/>
        <w:color w:val="auto"/>
        <w:sz w:val="22"/>
        <w:szCs w:val="22"/>
        <w:u w:val="no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ascii="Calibri" w:hAnsi="Calibri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ascii="Calibri" w:hAnsi="Calibri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F4873D0"/>
    <w:multiLevelType w:val="multilevel"/>
    <w:tmpl w:val="3A1E079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F74333"/>
    <w:multiLevelType w:val="multilevel"/>
    <w:tmpl w:val="75AE2E3A"/>
    <w:styleLink w:val="WWNum6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4"/>
      <w:numFmt w:val="decimal"/>
      <w:lvlText w:val="%1.%2."/>
      <w:lvlJc w:val="left"/>
      <w:pPr>
        <w:ind w:left="432" w:hanging="432"/>
      </w:pPr>
      <w:rPr>
        <w:b w:val="0"/>
        <w:i w:val="0"/>
        <w:strike w:val="0"/>
        <w:dstrike w:val="0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b w:val="0"/>
        <w:i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  <w:lvlOverride w:ilvl="0">
      <w:lvl w:ilvl="0">
        <w:start w:val="1"/>
        <w:numFmt w:val="decimal"/>
        <w:pStyle w:val="Nivel1"/>
        <w:lvlText w:val="%1."/>
        <w:lvlJc w:val="left"/>
        <w:pPr>
          <w:ind w:left="1778" w:hanging="360"/>
        </w:pPr>
        <w:rPr>
          <w:rFonts w:ascii="Calibri" w:hAnsi="Calibri"/>
          <w:b/>
          <w:bCs w:val="0"/>
          <w:color w:val="auto"/>
          <w:sz w:val="22"/>
          <w:szCs w:val="22"/>
        </w:rPr>
      </w:lvl>
    </w:lvlOverride>
    <w:lvlOverride w:ilvl="1">
      <w:lvl w:ilvl="1">
        <w:start w:val="3"/>
        <w:numFmt w:val="decimal"/>
        <w:lvlText w:val="%1.%2."/>
        <w:lvlJc w:val="left"/>
        <w:pPr>
          <w:ind w:left="574" w:hanging="432"/>
        </w:pPr>
        <w:rPr>
          <w:rFonts w:asciiTheme="minorHAnsi" w:hAnsiTheme="minorHAnsi" w:cstheme="minorHAnsi" w:hint="default"/>
          <w:b w:val="0"/>
          <w:i w:val="0"/>
          <w:strike w:val="0"/>
          <w:dstrike w:val="0"/>
          <w:color w:val="auto"/>
          <w:sz w:val="22"/>
          <w:szCs w:val="22"/>
          <w:u w:val="no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2631" w:hanging="504"/>
        </w:pPr>
        <w:rPr>
          <w:rFonts w:asciiTheme="minorHAnsi" w:hAnsiTheme="minorHAnsi" w:cstheme="minorHAnsi" w:hint="default"/>
          <w:b w:val="0"/>
          <w:i w:val="0"/>
          <w:color w:val="auto"/>
          <w:sz w:val="22"/>
          <w:szCs w:val="22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491" w:hanging="648"/>
        </w:pPr>
        <w:rPr>
          <w:rFonts w:asciiTheme="minorHAnsi" w:hAnsiTheme="minorHAnsi" w:cstheme="minorHAnsi" w:hint="default"/>
          <w:sz w:val="22"/>
          <w:szCs w:val="22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2">
    <w:abstractNumId w:val="8"/>
  </w:num>
  <w:num w:numId="3">
    <w:abstractNumId w:val="9"/>
  </w:num>
  <w:num w:numId="4">
    <w:abstractNumId w:val="7"/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2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ADE"/>
    <w:rsid w:val="00003344"/>
    <w:rsid w:val="00012FB3"/>
    <w:rsid w:val="000317BF"/>
    <w:rsid w:val="00045A7F"/>
    <w:rsid w:val="000660A1"/>
    <w:rsid w:val="000A2D98"/>
    <w:rsid w:val="000E73BC"/>
    <w:rsid w:val="000F01E0"/>
    <w:rsid w:val="00112582"/>
    <w:rsid w:val="00116194"/>
    <w:rsid w:val="00145014"/>
    <w:rsid w:val="00145116"/>
    <w:rsid w:val="0016479B"/>
    <w:rsid w:val="001826BD"/>
    <w:rsid w:val="001851FC"/>
    <w:rsid w:val="001C03AC"/>
    <w:rsid w:val="001C22ED"/>
    <w:rsid w:val="001F7F56"/>
    <w:rsid w:val="00254EB3"/>
    <w:rsid w:val="00263893"/>
    <w:rsid w:val="00265C20"/>
    <w:rsid w:val="00267E4C"/>
    <w:rsid w:val="002A36E6"/>
    <w:rsid w:val="002B0354"/>
    <w:rsid w:val="002D0F37"/>
    <w:rsid w:val="002E31D3"/>
    <w:rsid w:val="002F4175"/>
    <w:rsid w:val="00317E56"/>
    <w:rsid w:val="00324E34"/>
    <w:rsid w:val="00326171"/>
    <w:rsid w:val="00381D68"/>
    <w:rsid w:val="003823B7"/>
    <w:rsid w:val="00382DDA"/>
    <w:rsid w:val="00386840"/>
    <w:rsid w:val="003B0D2E"/>
    <w:rsid w:val="003B17CC"/>
    <w:rsid w:val="003B29CC"/>
    <w:rsid w:val="003B65C0"/>
    <w:rsid w:val="003C4550"/>
    <w:rsid w:val="003C56A6"/>
    <w:rsid w:val="003F2472"/>
    <w:rsid w:val="00405948"/>
    <w:rsid w:val="004147C3"/>
    <w:rsid w:val="0043278D"/>
    <w:rsid w:val="00450AFC"/>
    <w:rsid w:val="00453012"/>
    <w:rsid w:val="00482A90"/>
    <w:rsid w:val="004968EA"/>
    <w:rsid w:val="004C7AD5"/>
    <w:rsid w:val="004E4895"/>
    <w:rsid w:val="00500A7C"/>
    <w:rsid w:val="005569D8"/>
    <w:rsid w:val="00571A6D"/>
    <w:rsid w:val="005764A1"/>
    <w:rsid w:val="005864EB"/>
    <w:rsid w:val="005D42C1"/>
    <w:rsid w:val="005D7D31"/>
    <w:rsid w:val="005E6213"/>
    <w:rsid w:val="005E6996"/>
    <w:rsid w:val="00615378"/>
    <w:rsid w:val="00656CD8"/>
    <w:rsid w:val="00662423"/>
    <w:rsid w:val="006642E3"/>
    <w:rsid w:val="0068569F"/>
    <w:rsid w:val="00697155"/>
    <w:rsid w:val="006A0B6E"/>
    <w:rsid w:val="006A50FF"/>
    <w:rsid w:val="006B00EE"/>
    <w:rsid w:val="006B3ADE"/>
    <w:rsid w:val="006C0AE1"/>
    <w:rsid w:val="006F5BF2"/>
    <w:rsid w:val="00705C14"/>
    <w:rsid w:val="00712CBC"/>
    <w:rsid w:val="00721BB7"/>
    <w:rsid w:val="00722DB3"/>
    <w:rsid w:val="007237B3"/>
    <w:rsid w:val="00771F20"/>
    <w:rsid w:val="007C0A14"/>
    <w:rsid w:val="007C78C8"/>
    <w:rsid w:val="007D34FD"/>
    <w:rsid w:val="007D6CB2"/>
    <w:rsid w:val="007E1CBA"/>
    <w:rsid w:val="00805F9D"/>
    <w:rsid w:val="008127CF"/>
    <w:rsid w:val="008520B1"/>
    <w:rsid w:val="00862C5C"/>
    <w:rsid w:val="00874E7E"/>
    <w:rsid w:val="008B4DE9"/>
    <w:rsid w:val="008E72F1"/>
    <w:rsid w:val="00940D33"/>
    <w:rsid w:val="00960A2D"/>
    <w:rsid w:val="00963974"/>
    <w:rsid w:val="00976F30"/>
    <w:rsid w:val="0098325B"/>
    <w:rsid w:val="00986894"/>
    <w:rsid w:val="00991425"/>
    <w:rsid w:val="00991640"/>
    <w:rsid w:val="009A21F4"/>
    <w:rsid w:val="009A3966"/>
    <w:rsid w:val="009B111F"/>
    <w:rsid w:val="009B6DE1"/>
    <w:rsid w:val="009C42CD"/>
    <w:rsid w:val="009D7714"/>
    <w:rsid w:val="009E0ED7"/>
    <w:rsid w:val="009E54B8"/>
    <w:rsid w:val="009E7AC3"/>
    <w:rsid w:val="009F1359"/>
    <w:rsid w:val="00A15449"/>
    <w:rsid w:val="00A23E00"/>
    <w:rsid w:val="00A7292D"/>
    <w:rsid w:val="00A846EE"/>
    <w:rsid w:val="00A869CC"/>
    <w:rsid w:val="00AB5E0C"/>
    <w:rsid w:val="00AC75A6"/>
    <w:rsid w:val="00AD37B1"/>
    <w:rsid w:val="00AE0662"/>
    <w:rsid w:val="00AE46EB"/>
    <w:rsid w:val="00AF2F45"/>
    <w:rsid w:val="00AF6C5C"/>
    <w:rsid w:val="00B82FA0"/>
    <w:rsid w:val="00B857D4"/>
    <w:rsid w:val="00BA15F5"/>
    <w:rsid w:val="00BA25EF"/>
    <w:rsid w:val="00BC5205"/>
    <w:rsid w:val="00BC7299"/>
    <w:rsid w:val="00BF6854"/>
    <w:rsid w:val="00C12D1D"/>
    <w:rsid w:val="00C1461E"/>
    <w:rsid w:val="00C53D03"/>
    <w:rsid w:val="00CC535D"/>
    <w:rsid w:val="00CD299F"/>
    <w:rsid w:val="00CD38EC"/>
    <w:rsid w:val="00CE302D"/>
    <w:rsid w:val="00CE5390"/>
    <w:rsid w:val="00CF01CC"/>
    <w:rsid w:val="00CF156C"/>
    <w:rsid w:val="00D01272"/>
    <w:rsid w:val="00D03242"/>
    <w:rsid w:val="00D0457C"/>
    <w:rsid w:val="00D22241"/>
    <w:rsid w:val="00D34E0F"/>
    <w:rsid w:val="00D37B2D"/>
    <w:rsid w:val="00D42FC3"/>
    <w:rsid w:val="00DA4C4B"/>
    <w:rsid w:val="00DB10E2"/>
    <w:rsid w:val="00DD2ECA"/>
    <w:rsid w:val="00DF18DB"/>
    <w:rsid w:val="00E12DD4"/>
    <w:rsid w:val="00E15D16"/>
    <w:rsid w:val="00E75E12"/>
    <w:rsid w:val="00E80EDB"/>
    <w:rsid w:val="00E94C41"/>
    <w:rsid w:val="00EE0DB9"/>
    <w:rsid w:val="00EE2BC7"/>
    <w:rsid w:val="00F0319F"/>
    <w:rsid w:val="00F22886"/>
    <w:rsid w:val="00F23E94"/>
    <w:rsid w:val="00F25F82"/>
    <w:rsid w:val="00F62F3B"/>
    <w:rsid w:val="00F701C0"/>
    <w:rsid w:val="00FC68E2"/>
    <w:rsid w:val="00FD2360"/>
    <w:rsid w:val="00FE3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4FD69D"/>
  <w15:docId w15:val="{24FAD297-3CA1-4BE8-A6FA-331EE600E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ahoma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spacing w:after="160" w:line="259" w:lineRule="auto"/>
    </w:pPr>
  </w:style>
  <w:style w:type="paragraph" w:styleId="Ttulo1">
    <w:name w:val="heading 1"/>
    <w:basedOn w:val="Ttulo"/>
    <w:next w:val="Corpodetexto"/>
    <w:uiPriority w:val="9"/>
    <w:qFormat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B00E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6B00E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6B00E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CF01CC"/>
    <w:pPr>
      <w:keepNext/>
      <w:suppressAutoHyphens w:val="0"/>
      <w:overflowPunct/>
      <w:spacing w:before="100" w:beforeAutospacing="1" w:after="120" w:line="276" w:lineRule="auto"/>
      <w:jc w:val="both"/>
      <w:outlineLvl w:val="4"/>
    </w:pPr>
    <w:rPr>
      <w:rFonts w:asciiTheme="minorHAnsi" w:eastAsia="Times New Roman" w:hAnsiTheme="minorHAnsi" w:cs="Times New Roman"/>
      <w:b/>
      <w:bCs/>
      <w:lang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B00EE"/>
    <w:pPr>
      <w:keepNext/>
      <w:keepLines/>
      <w:overflowPunct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character" w:customStyle="1" w:styleId="CabealhoChar">
    <w:name w:val="Cabeçalho Char"/>
    <w:basedOn w:val="Fontepargpadro"/>
    <w:link w:val="Cabealho"/>
    <w:qFormat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qFormat/>
  </w:style>
  <w:style w:type="paragraph" w:styleId="Rodap">
    <w:name w:val="footer"/>
    <w:basedOn w:val="Normal"/>
    <w:link w:val="RodapChar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TextodebaloChar">
    <w:name w:val="Texto de balão Char"/>
    <w:basedOn w:val="Fontepargpadro"/>
    <w:link w:val="Textodebalo"/>
    <w:qFormat/>
    <w:rPr>
      <w:rFonts w:ascii="Segoe UI" w:hAnsi="Segoe UI" w:cs="Segoe UI"/>
      <w:sz w:val="18"/>
      <w:szCs w:val="18"/>
    </w:rPr>
  </w:style>
  <w:style w:type="paragraph" w:styleId="Textodebalo">
    <w:name w:val="Balloon Text"/>
    <w:basedOn w:val="Normal"/>
    <w:link w:val="TextodebaloChar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LinkdaInternet">
    <w:name w:val="Link da Internet"/>
    <w:rPr>
      <w:color w:val="0000FF"/>
      <w:u w:val="single"/>
    </w:rPr>
  </w:style>
  <w:style w:type="character" w:styleId="Refdecomentrio">
    <w:name w:val="annotation reference"/>
    <w:qFormat/>
    <w:rPr>
      <w:sz w:val="16"/>
      <w:szCs w:val="16"/>
    </w:rPr>
  </w:style>
  <w:style w:type="character" w:customStyle="1" w:styleId="selectable-text">
    <w:name w:val="selectable-text"/>
    <w:basedOn w:val="Fontepargpadro"/>
    <w:qFormat/>
  </w:style>
  <w:style w:type="character" w:customStyle="1" w:styleId="Smbolosdenumerao">
    <w:name w:val="Símbolos de numeração"/>
    <w:qFormat/>
    <w:rPr>
      <w:rFonts w:ascii="Calibri" w:hAnsi="Calibri"/>
      <w:b/>
      <w:bCs/>
      <w:sz w:val="18"/>
      <w:szCs w:val="18"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character" w:customStyle="1" w:styleId="nfaseforte">
    <w:name w:val="Ênfase forte"/>
    <w:qFormat/>
    <w:rPr>
      <w:b/>
      <w:b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customStyle="1" w:styleId="CabealhoeRodap">
    <w:name w:val="Cabeçalho e Rodapé"/>
    <w:basedOn w:val="Normal"/>
    <w:qFormat/>
  </w:style>
  <w:style w:type="paragraph" w:customStyle="1" w:styleId="Padro">
    <w:name w:val="Padrão"/>
    <w:qFormat/>
    <w:pPr>
      <w:tabs>
        <w:tab w:val="left" w:pos="708"/>
      </w:tabs>
      <w:overflowPunct w:val="0"/>
      <w:spacing w:after="160" w:line="259" w:lineRule="auto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paragraph" w:styleId="NormalWeb">
    <w:name w:val="Normal (Web)"/>
    <w:basedOn w:val="Normal"/>
    <w:uiPriority w:val="99"/>
    <w:qFormat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Tabela">
    <w:name w:val="Tabela"/>
    <w:basedOn w:val="Legenda"/>
    <w:qFormat/>
  </w:style>
  <w:style w:type="paragraph" w:customStyle="1" w:styleId="Figura">
    <w:name w:val="Figura"/>
    <w:basedOn w:val="Legenda"/>
    <w:qFormat/>
  </w:style>
  <w:style w:type="paragraph" w:styleId="SemEspaamento">
    <w:name w:val="No Spacing"/>
    <w:qFormat/>
    <w:rPr>
      <w:rFonts w:cs="Times New Roman"/>
    </w:rPr>
  </w:style>
  <w:style w:type="paragraph" w:customStyle="1" w:styleId="Contedodoquadro">
    <w:name w:val="Conteúdo do quadro"/>
    <w:basedOn w:val="Normal"/>
    <w:qFormat/>
  </w:style>
  <w:style w:type="paragraph" w:customStyle="1" w:styleId="yiv1963292252msonormal">
    <w:name w:val="yiv1963292252msonormal"/>
    <w:basedOn w:val="Normal"/>
    <w:qFormat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B10E2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B10E2"/>
    <w:rPr>
      <w:color w:val="605E5C"/>
      <w:shd w:val="clear" w:color="auto" w:fill="E1DFDD"/>
    </w:rPr>
  </w:style>
  <w:style w:type="paragraph" w:styleId="Corpodetexto2">
    <w:name w:val="Body Text 2"/>
    <w:basedOn w:val="Normal"/>
    <w:link w:val="Corpodetexto2Char"/>
    <w:uiPriority w:val="99"/>
    <w:unhideWhenUsed/>
    <w:rsid w:val="001F7F56"/>
    <w:pPr>
      <w:shd w:val="clear" w:color="auto" w:fill="FFFFFF"/>
      <w:tabs>
        <w:tab w:val="left" w:pos="0"/>
      </w:tabs>
      <w:suppressAutoHyphens w:val="0"/>
      <w:spacing w:after="113" w:line="240" w:lineRule="auto"/>
      <w:jc w:val="both"/>
    </w:pPr>
    <w:rPr>
      <w:rFonts w:eastAsia="Times New Roman" w:cs="Arial"/>
      <w:color w:val="000000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1F7F56"/>
    <w:rPr>
      <w:rFonts w:eastAsia="Times New Roman" w:cs="Arial"/>
      <w:color w:val="000000"/>
      <w:shd w:val="clear" w:color="auto" w:fill="FFFFFF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B00E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6B00E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6B00EE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B00EE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customStyle="1" w:styleId="Textbody">
    <w:name w:val="Text body"/>
    <w:basedOn w:val="Normal"/>
    <w:rsid w:val="006B00EE"/>
    <w:pPr>
      <w:overflowPunct/>
      <w:autoSpaceDN w:val="0"/>
      <w:spacing w:after="140" w:line="276" w:lineRule="auto"/>
      <w:textAlignment w:val="baseline"/>
    </w:pPr>
  </w:style>
  <w:style w:type="character" w:customStyle="1" w:styleId="Ttulo5Char">
    <w:name w:val="Título 5 Char"/>
    <w:basedOn w:val="Fontepargpadro"/>
    <w:link w:val="Ttulo5"/>
    <w:uiPriority w:val="9"/>
    <w:rsid w:val="00CF01CC"/>
    <w:rPr>
      <w:rFonts w:asciiTheme="minorHAnsi" w:eastAsia="Times New Roman" w:hAnsiTheme="minorHAnsi" w:cs="Times New Roman"/>
      <w:b/>
      <w:bCs/>
      <w:lang w:eastAsia="pt-BR"/>
    </w:rPr>
  </w:style>
  <w:style w:type="paragraph" w:customStyle="1" w:styleId="Standard">
    <w:name w:val="Standard"/>
    <w:qFormat/>
    <w:rsid w:val="00CF156C"/>
    <w:pPr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F156C"/>
    <w:pPr>
      <w:widowControl w:val="0"/>
      <w:suppressLineNumbers/>
    </w:pPr>
  </w:style>
  <w:style w:type="paragraph" w:styleId="Recuodecorpodetexto">
    <w:name w:val="Body Text Indent"/>
    <w:basedOn w:val="Normal"/>
    <w:link w:val="RecuodecorpodetextoChar"/>
    <w:uiPriority w:val="99"/>
    <w:unhideWhenUsed/>
    <w:rsid w:val="00EE2BC7"/>
    <w:pPr>
      <w:ind w:left="28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E2BC7"/>
  </w:style>
  <w:style w:type="paragraph" w:styleId="Corpodetexto3">
    <w:name w:val="Body Text 3"/>
    <w:basedOn w:val="Normal"/>
    <w:link w:val="Corpodetexto3Char"/>
    <w:uiPriority w:val="99"/>
    <w:unhideWhenUsed/>
    <w:rsid w:val="00FC68E2"/>
    <w:pPr>
      <w:spacing w:before="100" w:beforeAutospacing="1" w:after="100" w:afterAutospacing="1" w:line="240" w:lineRule="auto"/>
      <w:jc w:val="both"/>
    </w:pPr>
    <w:rPr>
      <w:rFonts w:asciiTheme="minorHAnsi" w:eastAsia="Times New Roman" w:hAnsiTheme="minorHAnsi" w:cstheme="minorHAnsi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C68E2"/>
    <w:rPr>
      <w:rFonts w:asciiTheme="minorHAnsi" w:eastAsia="Times New Roman" w:hAnsiTheme="minorHAnsi" w:cstheme="minorHAnsi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147C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147C3"/>
  </w:style>
  <w:style w:type="paragraph" w:customStyle="1" w:styleId="Nivel1">
    <w:name w:val="Nivel1"/>
    <w:basedOn w:val="Ttulo1"/>
    <w:next w:val="Standard"/>
    <w:link w:val="Nivel1Char"/>
    <w:qFormat/>
    <w:rsid w:val="00A7292D"/>
    <w:pPr>
      <w:keepLines/>
      <w:numPr>
        <w:numId w:val="1"/>
      </w:numPr>
      <w:overflowPunct/>
      <w:autoSpaceDN w:val="0"/>
      <w:spacing w:before="480" w:line="276" w:lineRule="auto"/>
      <w:jc w:val="both"/>
      <w:textAlignment w:val="baseline"/>
    </w:pPr>
    <w:rPr>
      <w:rFonts w:ascii="Arial" w:eastAsia="Arial" w:hAnsi="Arial" w:cs="Arial"/>
      <w:bCs w:val="0"/>
      <w:color w:val="000000"/>
      <w:kern w:val="3"/>
      <w:sz w:val="32"/>
      <w:szCs w:val="32"/>
      <w:lang w:eastAsia="zh-CN" w:bidi="hi-IN"/>
    </w:rPr>
  </w:style>
  <w:style w:type="character" w:customStyle="1" w:styleId="Nivel1Char">
    <w:name w:val="Nivel1 Char"/>
    <w:basedOn w:val="Fontepargpadro"/>
    <w:link w:val="Nivel1"/>
    <w:locked/>
    <w:rsid w:val="00A7292D"/>
    <w:rPr>
      <w:rFonts w:ascii="Arial" w:eastAsia="Arial" w:hAnsi="Arial" w:cs="Arial"/>
      <w:b/>
      <w:color w:val="000000"/>
      <w:kern w:val="3"/>
      <w:sz w:val="32"/>
      <w:szCs w:val="32"/>
      <w:lang w:eastAsia="zh-CN" w:bidi="hi-IN"/>
    </w:rPr>
  </w:style>
  <w:style w:type="table" w:styleId="Tabelacomgrade">
    <w:name w:val="Table Grid"/>
    <w:basedOn w:val="Tabelanormal"/>
    <w:uiPriority w:val="39"/>
    <w:rsid w:val="00003344"/>
    <w:pPr>
      <w:suppressAutoHyphens w:val="0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28">
    <w:name w:val="WWNum28"/>
    <w:basedOn w:val="Semlista"/>
    <w:rsid w:val="00721BB7"/>
    <w:pPr>
      <w:numPr>
        <w:numId w:val="2"/>
      </w:numPr>
    </w:pPr>
  </w:style>
  <w:style w:type="numbering" w:customStyle="1" w:styleId="WWNum6">
    <w:name w:val="WWNum6"/>
    <w:basedOn w:val="Semlista"/>
    <w:rsid w:val="00F62F3B"/>
    <w:pPr>
      <w:numPr>
        <w:numId w:val="5"/>
      </w:numPr>
    </w:pPr>
  </w:style>
  <w:style w:type="character" w:customStyle="1" w:styleId="Nivel2Char">
    <w:name w:val="Nivel 2 Char"/>
    <w:basedOn w:val="Fontepargpadro"/>
    <w:link w:val="Nivel2"/>
    <w:locked/>
    <w:rsid w:val="00D42FC3"/>
    <w:rPr>
      <w:rFonts w:ascii="Arial" w:eastAsia="Arial" w:hAnsi="Arial" w:cs="Arial"/>
      <w:spacing w:val="-1"/>
      <w:lang w:val="en-US"/>
    </w:rPr>
  </w:style>
  <w:style w:type="paragraph" w:customStyle="1" w:styleId="Nivel2">
    <w:name w:val="Nivel 2"/>
    <w:basedOn w:val="Corpodetexto"/>
    <w:link w:val="Nivel2Char"/>
    <w:qFormat/>
    <w:rsid w:val="00D42FC3"/>
    <w:pPr>
      <w:widowControl w:val="0"/>
      <w:tabs>
        <w:tab w:val="left" w:pos="0"/>
      </w:tabs>
      <w:suppressAutoHyphens w:val="0"/>
      <w:overflowPunct/>
      <w:spacing w:before="120" w:after="120"/>
      <w:jc w:val="both"/>
    </w:pPr>
    <w:rPr>
      <w:rFonts w:ascii="Arial" w:eastAsia="Arial" w:hAnsi="Arial" w:cs="Arial"/>
      <w:spacing w:val="-1"/>
      <w:lang w:val="en-US"/>
    </w:rPr>
  </w:style>
  <w:style w:type="paragraph" w:customStyle="1" w:styleId="Nivel3">
    <w:name w:val="Nivel 3"/>
    <w:basedOn w:val="Nivel2"/>
    <w:autoRedefine/>
    <w:qFormat/>
    <w:rsid w:val="00D42FC3"/>
    <w:pPr>
      <w:tabs>
        <w:tab w:val="num" w:pos="360"/>
      </w:tabs>
      <w:ind w:left="284"/>
    </w:pPr>
    <w:rPr>
      <w:bCs/>
      <w:iCs/>
      <w:lang w:val="pt-BR"/>
    </w:rPr>
  </w:style>
  <w:style w:type="paragraph" w:customStyle="1" w:styleId="Nivel4">
    <w:name w:val="Nivel 4"/>
    <w:basedOn w:val="Nivel3"/>
    <w:qFormat/>
    <w:rsid w:val="00D42FC3"/>
    <w:pPr>
      <w:ind w:left="2491" w:hanging="648"/>
    </w:pPr>
  </w:style>
  <w:style w:type="paragraph" w:customStyle="1" w:styleId="Nivel5">
    <w:name w:val="Nivel 5"/>
    <w:basedOn w:val="Nivel4"/>
    <w:qFormat/>
    <w:rsid w:val="00D42FC3"/>
    <w:pPr>
      <w:ind w:left="2232" w:hanging="79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5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08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14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30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271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1911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908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454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94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12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55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993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410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888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0894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52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6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7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37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00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765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177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623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0300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532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9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2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9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1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47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81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56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36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76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547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989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6029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31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5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2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50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7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916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6318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5928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151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4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2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FD4F43-B6D1-4881-B176-3005A00EC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3396</Words>
  <Characters>18339</Characters>
  <Application>Microsoft Office Word</Application>
  <DocSecurity>0</DocSecurity>
  <Lines>152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Municipal de Rio das Ostras</Company>
  <LinksUpToDate>false</LinksUpToDate>
  <CharactersWithSpaces>21692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Luciana Silveira Sa</dc:creator>
  <dc:description/>
  <cp:lastModifiedBy>Luciano Araujo Santana</cp:lastModifiedBy>
  <cp:revision>2</cp:revision>
  <cp:lastPrinted>2026-05-04T19:41:00Z</cp:lastPrinted>
  <dcterms:created xsi:type="dcterms:W3CDTF">2026-07-23T11:51:00Z</dcterms:created>
  <dcterms:modified xsi:type="dcterms:W3CDTF">2026-07-23T11:51:00Z</dcterms:modified>
  <dc:language>pt-BR</dc:language>
</cp:coreProperties>
</file>