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  <w:bookmarkStart w:id="0" w:name="_GoBack"/>
      <w:bookmarkEnd w:id="0"/>
    </w:p>
    <w:p w:rsidR="00C326AF" w:rsidRDefault="007B0B99">
      <w:pPr>
        <w:spacing w:line="360" w:lineRule="auto"/>
        <w:jc w:val="center"/>
        <w:rPr>
          <w:rFonts w:ascii="Cambria" w:eastAsia="Cambria" w:hAnsi="Cambria" w:cs="Cambria"/>
          <w:u w:val="single"/>
        </w:rPr>
      </w:pPr>
      <w:r>
        <w:rPr>
          <w:rFonts w:ascii="Cambria" w:eastAsia="Cambria" w:hAnsi="Cambria" w:cs="Cambria"/>
          <w:b/>
          <w:u w:val="single"/>
        </w:rPr>
        <w:t>JULGAMENTO DE RECURSO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Pregão Eletrônico</w:t>
      </w:r>
      <w:r>
        <w:rPr>
          <w:rFonts w:ascii="Cambria" w:eastAsia="Cambria" w:hAnsi="Cambria" w:cs="Cambria"/>
        </w:rPr>
        <w:t xml:space="preserve"> nº 037/2025. </w:t>
      </w: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Objeto: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b/>
        </w:rPr>
        <w:t>CONTRATAÇÃO DE EMPRESA ESPECIALIZADA PARA FUTURO E EVENTUAL FORNECIMENTO DE CONCRETO BETUMINOSO USINADO À QUENTE (CBUQ), PARA ATENDER AS OBRAS DE OPERAÇÃO TAPA BURACOS NOS LOGRADOUROS DO MUNICÍPIO DE BELFORD ROXO - RJ.</w:t>
      </w: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Tipo de Licitação</w:t>
      </w:r>
      <w:r>
        <w:rPr>
          <w:rFonts w:ascii="Cambria" w:eastAsia="Cambria" w:hAnsi="Cambria" w:cs="Cambria"/>
        </w:rPr>
        <w:t xml:space="preserve">: Pregão Eletrônico </w:t>
      </w:r>
      <w:r>
        <w:rPr>
          <w:rFonts w:ascii="Cambria" w:eastAsia="Cambria" w:hAnsi="Cambria" w:cs="Cambria"/>
        </w:rPr>
        <w:t xml:space="preserve">- Lei nº 14.133/2021. </w:t>
      </w: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Processo Administrativo </w:t>
      </w:r>
      <w:proofErr w:type="gramStart"/>
      <w:r>
        <w:rPr>
          <w:rFonts w:ascii="Cambria" w:eastAsia="Cambria" w:hAnsi="Cambria" w:cs="Cambria"/>
        </w:rPr>
        <w:t>nº  53</w:t>
      </w:r>
      <w:proofErr w:type="gramEnd"/>
      <w:r>
        <w:rPr>
          <w:rFonts w:ascii="Cambria" w:eastAsia="Cambria" w:hAnsi="Cambria" w:cs="Cambria"/>
        </w:rPr>
        <w:t>/00008/2025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numPr>
          <w:ilvl w:val="0"/>
          <w:numId w:val="1"/>
        </w:num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DA PRELIMINAR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numPr>
          <w:ilvl w:val="1"/>
          <w:numId w:val="1"/>
        </w:num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Do Recurso e da Contrarrazão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Em breve relato, trata-se de recurso apresentado pela empresa </w:t>
      </w:r>
      <w:r>
        <w:rPr>
          <w:b/>
        </w:rPr>
        <w:t>ENGEBIO ENGENHARIA DO MEIO AMBIENTE LTDA</w:t>
      </w:r>
      <w:r>
        <w:rPr>
          <w:rFonts w:ascii="Cambria" w:eastAsia="Cambria" w:hAnsi="Cambria" w:cs="Cambria"/>
          <w:b/>
        </w:rPr>
        <w:t>.</w:t>
      </w:r>
      <w:r>
        <w:rPr>
          <w:rFonts w:ascii="Cambria" w:eastAsia="Cambria" w:hAnsi="Cambria" w:cs="Cambria"/>
        </w:rPr>
        <w:t xml:space="preserve">, doravante denominada </w:t>
      </w:r>
      <w:r>
        <w:rPr>
          <w:rFonts w:ascii="Cambria" w:eastAsia="Cambria" w:hAnsi="Cambria" w:cs="Cambria"/>
          <w:b/>
        </w:rPr>
        <w:t>RECORRENTE</w:t>
      </w:r>
      <w:r>
        <w:rPr>
          <w:rFonts w:ascii="Cambria" w:eastAsia="Cambria" w:hAnsi="Cambria" w:cs="Cambria"/>
        </w:rPr>
        <w:t xml:space="preserve"> referent</w:t>
      </w:r>
      <w:r>
        <w:rPr>
          <w:rFonts w:ascii="Cambria" w:eastAsia="Cambria" w:hAnsi="Cambria" w:cs="Cambria"/>
        </w:rPr>
        <w:t xml:space="preserve">e à habilitação das empresas </w:t>
      </w:r>
      <w:r>
        <w:rPr>
          <w:b/>
        </w:rPr>
        <w:t xml:space="preserve">RSM MATERIAIS SERVIÇOS E CONSTRUÇÕES LTDA </w:t>
      </w:r>
      <w:r>
        <w:t xml:space="preserve">e </w:t>
      </w:r>
      <w:r>
        <w:rPr>
          <w:b/>
        </w:rPr>
        <w:t>CONSTRUTORA AYLA LTDA.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Em suma, a recorrente demonstra seu inconformismo na habilitação das empresas indicando contrariedade à Lei 14.133/2021 e ao Edital de Licitação no que se refe</w:t>
      </w:r>
      <w:r>
        <w:rPr>
          <w:rFonts w:ascii="Cambria" w:eastAsia="Cambria" w:hAnsi="Cambria" w:cs="Cambria"/>
        </w:rPr>
        <w:t>re aos documentos de qualificação técnica.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Cumpre salientar, que a vencedora do certame é a empresa </w:t>
      </w:r>
      <w:r>
        <w:rPr>
          <w:b/>
        </w:rPr>
        <w:t>CONSTRUTORA AYLA LTDA</w:t>
      </w:r>
      <w:r>
        <w:rPr>
          <w:rFonts w:ascii="Cambria" w:eastAsia="Cambria" w:hAnsi="Cambria" w:cs="Cambria"/>
        </w:rPr>
        <w:t>, conforme documentação acostada ao sistema, situação sob a qual recairá a análise e ponderação sobre os argumentos.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numPr>
          <w:ilvl w:val="1"/>
          <w:numId w:val="1"/>
        </w:num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lastRenderedPageBreak/>
        <w:t>Da Admissibili</w:t>
      </w:r>
      <w:r>
        <w:rPr>
          <w:rFonts w:ascii="Cambria" w:eastAsia="Cambria" w:hAnsi="Cambria" w:cs="Cambria"/>
          <w:b/>
        </w:rPr>
        <w:t>dade</w:t>
      </w:r>
    </w:p>
    <w:p w:rsidR="00C326AF" w:rsidRDefault="00C326AF">
      <w:pPr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 critério de aceitabilidade do recurso exige a manifestação imediata e motivada da intenção de recorrer, tão logo seja declarado o vencedor do certame, conforme dispõe o artigo 165 da Lei nº 14.133, de 1º de abril de 2021: 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left="708"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Art. 165. Dos atos da Administração decorrentes da aplicação desta Lei cabem: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I - recurso, no prazo de 3 (três) dias úteis, contado da data de intimação ou de lavratura da ata, em face de: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a) ato que defira ou indefira pedido de pré-qualificação de intere</w:t>
      </w:r>
      <w:r>
        <w:rPr>
          <w:rFonts w:ascii="Cambria" w:eastAsia="Cambria" w:hAnsi="Cambria" w:cs="Cambria"/>
        </w:rPr>
        <w:t xml:space="preserve">ssado ou de inscrição em registro cadastral, sua alteração ou cancelamento;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b) julgamento das propostas;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c) ato de habilitação ou inabilitação de licitante;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d) anulação ou revogação da licitação;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e) extinção do contrato, quando determinada por ato unil</w:t>
      </w:r>
      <w:r>
        <w:rPr>
          <w:rFonts w:ascii="Cambria" w:eastAsia="Cambria" w:hAnsi="Cambria" w:cs="Cambria"/>
        </w:rPr>
        <w:t xml:space="preserve">ateral e escrito da Administração;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II - pedido de reconsideração, no prazo de 3 (três) dias úteis, contado da data de intimação, relativamente a ato do qual não caiba recurso hierárquico.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§ 1º Quanto ao recurso apresentado em virtude do disposto </w:t>
      </w:r>
      <w:proofErr w:type="spellStart"/>
      <w:r>
        <w:rPr>
          <w:rFonts w:ascii="Cambria" w:eastAsia="Cambria" w:hAnsi="Cambria" w:cs="Cambria"/>
        </w:rPr>
        <w:t>nas</w:t>
      </w:r>
      <w:proofErr w:type="spellEnd"/>
      <w:r>
        <w:rPr>
          <w:rFonts w:ascii="Cambria" w:eastAsia="Cambria" w:hAnsi="Cambria" w:cs="Cambria"/>
        </w:rPr>
        <w:t xml:space="preserve"> alín</w:t>
      </w:r>
      <w:r>
        <w:rPr>
          <w:rFonts w:ascii="Cambria" w:eastAsia="Cambria" w:hAnsi="Cambria" w:cs="Cambria"/>
        </w:rPr>
        <w:t>eas “b” e “c” do inciso I do caput deste artigo, serão observadas as seguintes disposições: I - a intenção de recorrer deverá ser manifestada imediatamente, sob pena de preclusão, e o prazo para apresentação das razões recursais previsto no inciso I do cap</w:t>
      </w:r>
      <w:r>
        <w:rPr>
          <w:rFonts w:ascii="Cambria" w:eastAsia="Cambria" w:hAnsi="Cambria" w:cs="Cambria"/>
        </w:rPr>
        <w:t xml:space="preserve">ut deste artigo será iniciado na data de intimação ou de lavratura da ata de habilitação ou inabilitação ou, na hipótese de adoção da inversão de fases prevista no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§ 1º do art. 17 desta Lei, da ata de julgamento; II - a apreciação dar-se-á em fase única.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§ 2º O recurso de que trata o inciso I do caput deste artigo será dirigido à autoridade que tiver editado o ato ou proferido a decisão recorrida, que, se não reconsiderar o ato ou a decisão no prazo de 3 (três) dias úteis, encaminhará o recurso com a sua </w:t>
      </w:r>
      <w:r>
        <w:rPr>
          <w:rFonts w:ascii="Cambria" w:eastAsia="Cambria" w:hAnsi="Cambria" w:cs="Cambria"/>
        </w:rPr>
        <w:t xml:space="preserve">motivação à autoridade superior, a qual deverá proferir sua decisão no prazo máximo de 10 (dez) dias úteis, contado do recebimento dos autos.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 xml:space="preserve">§ 3º O acolhimento do recurso implicará invalidação apenas de ato insuscetível de aproveitamento.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§ 4º O prazo p</w:t>
      </w:r>
      <w:r>
        <w:rPr>
          <w:rFonts w:ascii="Cambria" w:eastAsia="Cambria" w:hAnsi="Cambria" w:cs="Cambria"/>
        </w:rPr>
        <w:t xml:space="preserve">ara apresentação de contrarrazões será o mesmo do recurso e terá início na data de intimação pessoal ou de divulgação da interposição do recurso. </w:t>
      </w:r>
    </w:p>
    <w:p w:rsidR="00C326AF" w:rsidRDefault="007B0B99">
      <w:pPr>
        <w:spacing w:line="360" w:lineRule="auto"/>
        <w:ind w:left="106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§ 5º Será assegurado ao licitante vista dos elementos indispensáveis à defesa de seus interesses. </w:t>
      </w:r>
    </w:p>
    <w:p w:rsidR="00C326AF" w:rsidRDefault="00C326AF">
      <w:pPr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Conforme </w:t>
      </w:r>
      <w:r>
        <w:rPr>
          <w:rFonts w:ascii="Cambria" w:eastAsia="Cambria" w:hAnsi="Cambria" w:cs="Cambria"/>
        </w:rPr>
        <w:t xml:space="preserve">registrado em ata, após a declaração da vencedora e no prazo estipulado pelo sistema, a </w:t>
      </w:r>
      <w:r>
        <w:rPr>
          <w:rFonts w:ascii="Cambria" w:eastAsia="Cambria" w:hAnsi="Cambria" w:cs="Cambria"/>
          <w:b/>
        </w:rPr>
        <w:t>RECORRENTE</w:t>
      </w:r>
      <w:r>
        <w:rPr>
          <w:rFonts w:ascii="Cambria" w:eastAsia="Cambria" w:hAnsi="Cambria" w:cs="Cambria"/>
        </w:rPr>
        <w:t xml:space="preserve"> manifestou imediata intenção de recorrer contra a decisão do Pregoeiro, anexando ao sistema suas razões de recurso dentro do prazo estabelecido.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Assim, a peça recursal apresentada cumpre os requisitos de admissibilidade previstos na legislação, pelo que se passa à análise de suas alegações.</w:t>
      </w:r>
    </w:p>
    <w:p w:rsidR="00C326AF" w:rsidRDefault="00C326AF">
      <w:pPr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C326AF" w:rsidRDefault="007B0B99">
      <w:pPr>
        <w:numPr>
          <w:ilvl w:val="0"/>
          <w:numId w:val="1"/>
        </w:num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DA ANÁLISE</w:t>
      </w:r>
    </w:p>
    <w:p w:rsidR="00C326AF" w:rsidRDefault="00C326AF">
      <w:pPr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Os julgados da Administração Pública estão embasados, dentre outros, nos princípios gravados no art. 5º da Lei 14.133/2021, conforme segue: 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left="708"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Art. 5º Na aplicação desta Lei, serão observados os princípios da legalidade, da impessoalidade, da moralidade, da</w:t>
      </w:r>
      <w:r>
        <w:rPr>
          <w:rFonts w:ascii="Cambria" w:eastAsia="Cambria" w:hAnsi="Cambria" w:cs="Cambria"/>
        </w:rPr>
        <w:t xml:space="preserve"> publicidade, da eficiência, do interesse público, da probidade administrativa, da igualdade, do planejamento, da transparência, da eficácia, da segregação de funções, da motivação, da vinculação ao edital, do julgamento objetivo, da segurança jurídica, da</w:t>
      </w:r>
      <w:r>
        <w:rPr>
          <w:rFonts w:ascii="Cambria" w:eastAsia="Cambria" w:hAnsi="Cambria" w:cs="Cambria"/>
        </w:rPr>
        <w:t xml:space="preserve"> razoabilidade, da competitividade, da proporcionalidade, da celeridade, da economicidade e do desenvolvimento nacional sustentável, assim como as disposições do Decreto-Lei nº 4.657, de 4 de setembro de 1942 (Lei de Introdução às Normas do Direito Brasile</w:t>
      </w:r>
      <w:r>
        <w:rPr>
          <w:rFonts w:ascii="Cambria" w:eastAsia="Cambria" w:hAnsi="Cambria" w:cs="Cambria"/>
        </w:rPr>
        <w:t>iro).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Ressalte-se que o pregão foi conduzido em observância a todos os preceitos e normas legais que regem sobre o assunto, pautado pela vinculação às regras previamente estabelecidas </w:t>
      </w:r>
      <w:r>
        <w:rPr>
          <w:rFonts w:ascii="Cambria" w:eastAsia="Cambria" w:hAnsi="Cambria" w:cs="Cambria"/>
        </w:rPr>
        <w:lastRenderedPageBreak/>
        <w:t>no edital de licitação, principalmente, em se tratando à observância do</w:t>
      </w:r>
      <w:r>
        <w:rPr>
          <w:rFonts w:ascii="Cambria" w:eastAsia="Cambria" w:hAnsi="Cambria" w:cs="Cambria"/>
        </w:rPr>
        <w:t xml:space="preserve">s princípios básicos da Administração estabelecidos na Lei nº 14.133/2021. 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Adentrando no mérito, cumpre expor o seguinte: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  <w:t>As alegações contra a empresa CONSTRUTORA AYLA LTDA recaem sobre os seguintes argumentos: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a) Ausência de Capacidade Técnico-Opera</w:t>
      </w:r>
      <w:r>
        <w:rPr>
          <w:rFonts w:ascii="Cambria" w:eastAsia="Cambria" w:hAnsi="Cambria" w:cs="Cambria"/>
        </w:rPr>
        <w:t>cional</w:t>
      </w:r>
    </w:p>
    <w:p w:rsidR="00C326AF" w:rsidRDefault="007B0B99">
      <w:pPr>
        <w:numPr>
          <w:ilvl w:val="0"/>
          <w:numId w:val="2"/>
        </w:numPr>
        <w:spacing w:line="360" w:lineRule="auto"/>
        <w:jc w:val="both"/>
      </w:pPr>
      <w:r>
        <w:rPr>
          <w:rFonts w:ascii="Cambria" w:eastAsia="Cambria" w:hAnsi="Cambria" w:cs="Cambria"/>
        </w:rPr>
        <w:t xml:space="preserve">A </w:t>
      </w:r>
      <w:proofErr w:type="spellStart"/>
      <w:r>
        <w:rPr>
          <w:rFonts w:ascii="Cambria" w:eastAsia="Cambria" w:hAnsi="Cambria" w:cs="Cambria"/>
        </w:rPr>
        <w:t>Ayla</w:t>
      </w:r>
      <w:proofErr w:type="spellEnd"/>
      <w:r>
        <w:rPr>
          <w:rFonts w:ascii="Cambria" w:eastAsia="Cambria" w:hAnsi="Cambria" w:cs="Cambria"/>
        </w:rPr>
        <w:t xml:space="preserve"> apresentou atestados em nome de outras empresas (</w:t>
      </w:r>
      <w:proofErr w:type="spellStart"/>
      <w:r>
        <w:rPr>
          <w:rFonts w:ascii="Cambria" w:eastAsia="Cambria" w:hAnsi="Cambria" w:cs="Cambria"/>
        </w:rPr>
        <w:t>Arkitec</w:t>
      </w:r>
      <w:proofErr w:type="spellEnd"/>
      <w:r>
        <w:rPr>
          <w:rFonts w:ascii="Cambria" w:eastAsia="Cambria" w:hAnsi="Cambria" w:cs="Cambria"/>
        </w:rPr>
        <w:t xml:space="preserve"> Brasil, Queiroz Galvão e </w:t>
      </w:r>
      <w:proofErr w:type="spellStart"/>
      <w:r>
        <w:rPr>
          <w:rFonts w:ascii="Cambria" w:eastAsia="Cambria" w:hAnsi="Cambria" w:cs="Cambria"/>
        </w:rPr>
        <w:t>Translar</w:t>
      </w:r>
      <w:proofErr w:type="spellEnd"/>
      <w:r>
        <w:rPr>
          <w:rFonts w:ascii="Cambria" w:eastAsia="Cambria" w:hAnsi="Cambria" w:cs="Cambria"/>
        </w:rPr>
        <w:t>), contrariando o item 11.7.IV.b do edital.</w:t>
      </w:r>
    </w:p>
    <w:p w:rsidR="00C326AF" w:rsidRDefault="007B0B99">
      <w:pPr>
        <w:numPr>
          <w:ilvl w:val="0"/>
          <w:numId w:val="2"/>
        </w:numPr>
        <w:spacing w:line="360" w:lineRule="auto"/>
        <w:jc w:val="both"/>
      </w:pPr>
      <w:r>
        <w:rPr>
          <w:rFonts w:ascii="Cambria" w:eastAsia="Cambria" w:hAnsi="Cambria" w:cs="Cambria"/>
        </w:rPr>
        <w:t>Apenas dois atestados estavam em nome próprio, insuficientes para comprovar experiência.</w:t>
      </w: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b) Descumprimento d</w:t>
      </w:r>
      <w:r>
        <w:rPr>
          <w:rFonts w:ascii="Cambria" w:eastAsia="Cambria" w:hAnsi="Cambria" w:cs="Cambria"/>
        </w:rPr>
        <w:t>e Prazo Máximo de 3 Anos (Tapa-Buracos)</w:t>
      </w:r>
    </w:p>
    <w:p w:rsidR="00C326AF" w:rsidRDefault="007B0B99">
      <w:pPr>
        <w:numPr>
          <w:ilvl w:val="0"/>
          <w:numId w:val="3"/>
        </w:numPr>
        <w:spacing w:line="360" w:lineRule="auto"/>
        <w:jc w:val="both"/>
      </w:pPr>
      <w:r>
        <w:rPr>
          <w:rFonts w:ascii="Cambria" w:eastAsia="Cambria" w:hAnsi="Cambria" w:cs="Cambria"/>
        </w:rPr>
        <w:t>O termo de referência exigia que os serviços comprovados fossem executados dentro de um prazo máximo de 3 anos.</w:t>
      </w:r>
    </w:p>
    <w:p w:rsidR="00C326AF" w:rsidRDefault="007B0B99">
      <w:pPr>
        <w:numPr>
          <w:ilvl w:val="0"/>
          <w:numId w:val="3"/>
        </w:numPr>
        <w:spacing w:line="360" w:lineRule="auto"/>
        <w:jc w:val="both"/>
      </w:pPr>
      <w:r>
        <w:rPr>
          <w:rFonts w:ascii="Cambria" w:eastAsia="Cambria" w:hAnsi="Cambria" w:cs="Cambria"/>
        </w:rPr>
        <w:t xml:space="preserve">A </w:t>
      </w:r>
      <w:proofErr w:type="spellStart"/>
      <w:r>
        <w:rPr>
          <w:rFonts w:ascii="Cambria" w:eastAsia="Cambria" w:hAnsi="Cambria" w:cs="Cambria"/>
        </w:rPr>
        <w:t>Ayla</w:t>
      </w:r>
      <w:proofErr w:type="spellEnd"/>
      <w:r>
        <w:rPr>
          <w:rFonts w:ascii="Cambria" w:eastAsia="Cambria" w:hAnsi="Cambria" w:cs="Cambria"/>
        </w:rPr>
        <w:t xml:space="preserve"> apresentou Certidão de Acervo Técnico nº 819/2015, com execução entre 2007 e 2013 (mais de 5 anos</w:t>
      </w:r>
      <w:r>
        <w:rPr>
          <w:rFonts w:ascii="Cambria" w:eastAsia="Cambria" w:hAnsi="Cambria" w:cs="Cambria"/>
        </w:rPr>
        <w:t>), em desconformidade com o edital.</w:t>
      </w: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c) Incapacidade Técnica na Parcela “Imprimação”</w:t>
      </w:r>
    </w:p>
    <w:p w:rsidR="00C326AF" w:rsidRDefault="007B0B99">
      <w:pPr>
        <w:numPr>
          <w:ilvl w:val="0"/>
          <w:numId w:val="4"/>
        </w:numPr>
        <w:spacing w:line="360" w:lineRule="auto"/>
        <w:jc w:val="both"/>
      </w:pPr>
      <w:r>
        <w:rPr>
          <w:rFonts w:ascii="Cambria" w:eastAsia="Cambria" w:hAnsi="Cambria" w:cs="Cambria"/>
        </w:rPr>
        <w:t>O edital exigia experiência em imprimação mínima de 47.992,50 m².</w:t>
      </w:r>
    </w:p>
    <w:p w:rsidR="00C326AF" w:rsidRDefault="007B0B99">
      <w:pPr>
        <w:numPr>
          <w:ilvl w:val="0"/>
          <w:numId w:val="4"/>
        </w:numPr>
        <w:spacing w:line="360" w:lineRule="auto"/>
        <w:jc w:val="both"/>
      </w:pPr>
      <w:r>
        <w:rPr>
          <w:rFonts w:ascii="Cambria" w:eastAsia="Cambria" w:hAnsi="Cambria" w:cs="Cambria"/>
        </w:rPr>
        <w:t xml:space="preserve">A </w:t>
      </w:r>
      <w:proofErr w:type="spellStart"/>
      <w:r>
        <w:rPr>
          <w:rFonts w:ascii="Cambria" w:eastAsia="Cambria" w:hAnsi="Cambria" w:cs="Cambria"/>
        </w:rPr>
        <w:t>Ayla</w:t>
      </w:r>
      <w:proofErr w:type="spellEnd"/>
      <w:r>
        <w:rPr>
          <w:rFonts w:ascii="Cambria" w:eastAsia="Cambria" w:hAnsi="Cambria" w:cs="Cambria"/>
        </w:rPr>
        <w:t xml:space="preserve"> comprovou apenas 11.831,16 m², e ainda em serviço distinto (pintura de ligação).</w:t>
      </w:r>
    </w:p>
    <w:p w:rsidR="00C326AF" w:rsidRDefault="00C326AF">
      <w:pPr>
        <w:spacing w:line="360" w:lineRule="auto"/>
        <w:ind w:left="720"/>
        <w:rPr>
          <w:rFonts w:ascii="Cambria" w:eastAsia="Cambria" w:hAnsi="Cambria" w:cs="Cambria"/>
        </w:rPr>
      </w:pP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Ocorre que a </w:t>
      </w:r>
      <w:r>
        <w:rPr>
          <w:rFonts w:ascii="Cambria" w:eastAsia="Cambria" w:hAnsi="Cambria" w:cs="Cambria"/>
          <w:b/>
        </w:rPr>
        <w:t>CONSTRUTORA AYLA LTDA</w:t>
      </w:r>
      <w:r>
        <w:rPr>
          <w:rFonts w:ascii="Cambria" w:eastAsia="Cambria" w:hAnsi="Cambria" w:cs="Cambria"/>
        </w:rPr>
        <w:t>, vencedora do certame, apresentou dois atestados de capacidade técnica emitidos – em seu nome - pelo Município de Belford Roxo em outubro de 2024 e abril de 2025 (CAT profissional Bruno Henrique Marques de Souza e Souza), o que atende</w:t>
      </w:r>
      <w:r>
        <w:rPr>
          <w:rFonts w:ascii="Cambria" w:eastAsia="Cambria" w:hAnsi="Cambria" w:cs="Cambria"/>
        </w:rPr>
        <w:t xml:space="preserve"> à exigência do Termo de Referência, no que se refere ao prazo mínimo não superior a 03 (três anos).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>Da interpretação do item, significa que o objeto usado como prova precisa ter ocorrido dentro de um período recém-ocorrido — até 3 anos antes da data do e</w:t>
      </w:r>
      <w:r>
        <w:rPr>
          <w:rFonts w:ascii="Cambria" w:eastAsia="Cambria" w:hAnsi="Cambria" w:cs="Cambria"/>
        </w:rPr>
        <w:t>dital-, devendo comprovar experiência recente, garantindo que a empresa ainda mantém capacidade técnica e operacional.</w:t>
      </w:r>
    </w:p>
    <w:p w:rsidR="00C326AF" w:rsidRDefault="00C326AF">
      <w:pPr>
        <w:spacing w:line="360" w:lineRule="auto"/>
        <w:ind w:firstLine="36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Desta forma, os atestados apresentados referem-se à execução de serviços de pavimentação em logradouros, atividade técnica e operacional</w:t>
      </w:r>
      <w:r>
        <w:rPr>
          <w:rFonts w:ascii="Cambria" w:eastAsia="Cambria" w:hAnsi="Cambria" w:cs="Cambria"/>
        </w:rPr>
        <w:t>mente compatível, se não superior ao objeto licitado, que admite a comprovação de experiência em serviços similares ou de complexidade superior ao escopo do ato convocatório.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Outrossim, a recorrente aduz sobre a incapacidade técnica para a parcela de maio</w:t>
      </w:r>
      <w:r>
        <w:rPr>
          <w:rFonts w:ascii="Cambria" w:eastAsia="Cambria" w:hAnsi="Cambria" w:cs="Cambria"/>
        </w:rPr>
        <w:t>r relevância de “imprimação”.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Mais uma vez, analisando o atestado de capacidade técnica emitido pelo Município de Belford Roxo, correspondente à CAT 6947/2025, tem-se o seguinte:</w:t>
      </w:r>
    </w:p>
    <w:p w:rsidR="00C326AF" w:rsidRDefault="00C326AF">
      <w:pPr>
        <w:spacing w:line="360" w:lineRule="auto"/>
        <w:ind w:left="720"/>
        <w:jc w:val="both"/>
        <w:rPr>
          <w:rFonts w:ascii="Cambria" w:eastAsia="Cambria" w:hAnsi="Cambria" w:cs="Cambria"/>
        </w:rPr>
      </w:pPr>
    </w:p>
    <w:tbl>
      <w:tblPr>
        <w:tblStyle w:val="a"/>
        <w:tblW w:w="9135" w:type="dxa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96"/>
        <w:gridCol w:w="1734"/>
        <w:gridCol w:w="1735"/>
        <w:gridCol w:w="1735"/>
        <w:gridCol w:w="1735"/>
      </w:tblGrid>
      <w:tr w:rsidR="00C326AF">
        <w:tc>
          <w:tcPr>
            <w:tcW w:w="2196" w:type="dxa"/>
          </w:tcPr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ITEM</w:t>
            </w:r>
          </w:p>
        </w:tc>
        <w:tc>
          <w:tcPr>
            <w:tcW w:w="1734" w:type="dxa"/>
          </w:tcPr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UNID</w:t>
            </w:r>
          </w:p>
        </w:tc>
        <w:tc>
          <w:tcPr>
            <w:tcW w:w="1735" w:type="dxa"/>
          </w:tcPr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QUANT</w:t>
            </w:r>
          </w:p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(EDITAL)</w:t>
            </w:r>
          </w:p>
        </w:tc>
        <w:tc>
          <w:tcPr>
            <w:tcW w:w="1735" w:type="dxa"/>
          </w:tcPr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25%</w:t>
            </w:r>
          </w:p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(EXIGIDO)</w:t>
            </w:r>
          </w:p>
        </w:tc>
        <w:tc>
          <w:tcPr>
            <w:tcW w:w="1735" w:type="dxa"/>
          </w:tcPr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QT (ATESTADO)</w:t>
            </w:r>
          </w:p>
        </w:tc>
      </w:tr>
      <w:tr w:rsidR="00C326AF">
        <w:tc>
          <w:tcPr>
            <w:tcW w:w="2196" w:type="dxa"/>
          </w:tcPr>
          <w:p w:rsidR="00C326AF" w:rsidRDefault="007B0B99">
            <w:pPr>
              <w:spacing w:line="360" w:lineRule="auto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IMPRIMAÇÃO DE BASE DE PAVIMENTAÇÃO, DE ACORDO COM AS "INSTRUÇÕES PARA EXECUÇÃO”, DO DER-RJ</w:t>
            </w:r>
          </w:p>
        </w:tc>
        <w:tc>
          <w:tcPr>
            <w:tcW w:w="1734" w:type="dxa"/>
          </w:tcPr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M2</w:t>
            </w:r>
          </w:p>
        </w:tc>
        <w:tc>
          <w:tcPr>
            <w:tcW w:w="1735" w:type="dxa"/>
          </w:tcPr>
          <w:p w:rsidR="00C326AF" w:rsidRDefault="00C326AF">
            <w:pPr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C326AF">
            <w:pPr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C326AF">
            <w:pPr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7B0B99">
            <w:pPr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191.970,00</w:t>
            </w:r>
          </w:p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</w:tc>
        <w:tc>
          <w:tcPr>
            <w:tcW w:w="1735" w:type="dxa"/>
          </w:tcPr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47.994,5</w:t>
            </w:r>
          </w:p>
        </w:tc>
        <w:tc>
          <w:tcPr>
            <w:tcW w:w="1735" w:type="dxa"/>
          </w:tcPr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C326AF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</w:p>
          <w:p w:rsidR="00C326AF" w:rsidRDefault="007B0B99">
            <w:pPr>
              <w:spacing w:line="360" w:lineRule="auto"/>
              <w:jc w:val="center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44.754</w:t>
            </w:r>
          </w:p>
        </w:tc>
      </w:tr>
    </w:tbl>
    <w:p w:rsidR="00C326AF" w:rsidRDefault="00C326AF">
      <w:pPr>
        <w:spacing w:line="360" w:lineRule="auto"/>
        <w:ind w:left="720"/>
        <w:jc w:val="both"/>
        <w:rPr>
          <w:rFonts w:ascii="Cambria" w:eastAsia="Cambria" w:hAnsi="Cambria" w:cs="Cambria"/>
        </w:rPr>
      </w:pPr>
    </w:p>
    <w:p w:rsidR="00C326AF" w:rsidRDefault="00C326AF">
      <w:pPr>
        <w:spacing w:line="360" w:lineRule="auto"/>
        <w:ind w:left="72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Desta forma, resta comprovada a parcela de maior relevância, em atenção ao quantitativo exigido no Edital.</w:t>
      </w:r>
    </w:p>
    <w:p w:rsidR="00C326AF" w:rsidRDefault="00C326AF">
      <w:pPr>
        <w:spacing w:line="360" w:lineRule="auto"/>
        <w:ind w:left="720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>Além disso, a comprovação deve ser objetiva e restrita ao necessário para garantir a execução do contrato, vedadas exigências abusivas, devendo o pregoeiro habilitar aquela que ofertou a melhor proposta, assim entendido como o menor valor + cumprimento das</w:t>
      </w:r>
      <w:r>
        <w:rPr>
          <w:rFonts w:ascii="Cambria" w:eastAsia="Cambria" w:hAnsi="Cambria" w:cs="Cambria"/>
        </w:rPr>
        <w:t xml:space="preserve"> condições de habilitação.</w:t>
      </w:r>
    </w:p>
    <w:p w:rsidR="00C326AF" w:rsidRDefault="00C326AF">
      <w:pPr>
        <w:spacing w:line="360" w:lineRule="auto"/>
        <w:ind w:firstLine="708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4 - CONCLUSÃO </w:t>
      </w:r>
    </w:p>
    <w:p w:rsidR="00C326AF" w:rsidRDefault="007B0B99">
      <w:pPr>
        <w:spacing w:line="360" w:lineRule="auto"/>
        <w:ind w:firstLine="7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Diante do exposto, infere-se que os argumentos trazidos pela recorrente em sua peça recursal mostram-se insuficiente para comprovar a necessidade de reforma da decisão anteriormente proferida pelo Pregoeiro.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    </w:t>
      </w:r>
      <w:r>
        <w:rPr>
          <w:rFonts w:ascii="Cambria" w:eastAsia="Cambria" w:hAnsi="Cambria" w:cs="Cambria"/>
          <w:b/>
        </w:rPr>
        <w:t xml:space="preserve">       5 - </w:t>
      </w:r>
      <w:r>
        <w:rPr>
          <w:rFonts w:ascii="Cambria" w:eastAsia="Cambria" w:hAnsi="Cambria" w:cs="Cambria"/>
          <w:b/>
        </w:rPr>
        <w:t>DECISÃO</w:t>
      </w: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Diante de todo o exposto, verifica-se que o recurso interposto pela empresa </w:t>
      </w:r>
      <w:r>
        <w:rPr>
          <w:rFonts w:ascii="Cambria" w:eastAsia="Cambria" w:hAnsi="Cambria" w:cs="Cambria"/>
          <w:b/>
        </w:rPr>
        <w:t>ENGEBIO ENGENHARIA DO MEIO AMBIENTE LTDA</w:t>
      </w:r>
      <w:r>
        <w:rPr>
          <w:rFonts w:ascii="Cambria" w:eastAsia="Cambria" w:hAnsi="Cambria" w:cs="Cambria"/>
        </w:rPr>
        <w:t>. preencheu os requisitos formais de admissibilidade, razão pela qual foi devidamente conhecido.</w:t>
      </w:r>
    </w:p>
    <w:p w:rsidR="00C326AF" w:rsidRDefault="00C326A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No mérito, contudo, nã</w:t>
      </w:r>
      <w:r>
        <w:rPr>
          <w:rFonts w:ascii="Cambria" w:eastAsia="Cambria" w:hAnsi="Cambria" w:cs="Cambria"/>
        </w:rPr>
        <w:t>o merece prosperar.</w:t>
      </w:r>
    </w:p>
    <w:p w:rsidR="00C326AF" w:rsidRDefault="00C326A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 análise dos documentos constantes nos autos demonstra que a empresa </w:t>
      </w:r>
      <w:r>
        <w:rPr>
          <w:rFonts w:ascii="Cambria" w:eastAsia="Cambria" w:hAnsi="Cambria" w:cs="Cambria"/>
          <w:b/>
        </w:rPr>
        <w:t>CONSTRUTORA AYLA LTDA</w:t>
      </w:r>
      <w:r>
        <w:rPr>
          <w:rFonts w:ascii="Cambria" w:eastAsia="Cambria" w:hAnsi="Cambria" w:cs="Cambria"/>
        </w:rPr>
        <w:t xml:space="preserve">. atendeu integralmente às exigências </w:t>
      </w:r>
      <w:proofErr w:type="spellStart"/>
      <w:r>
        <w:rPr>
          <w:rFonts w:ascii="Cambria" w:eastAsia="Cambria" w:hAnsi="Cambria" w:cs="Cambria"/>
        </w:rPr>
        <w:t>editalícias</w:t>
      </w:r>
      <w:proofErr w:type="spellEnd"/>
      <w:r>
        <w:rPr>
          <w:rFonts w:ascii="Cambria" w:eastAsia="Cambria" w:hAnsi="Cambria" w:cs="Cambria"/>
        </w:rPr>
        <w:t xml:space="preserve"> relativas à qualificação técnica, apresentando atestados de capacidade técnica e respectivas C</w:t>
      </w:r>
      <w:r>
        <w:rPr>
          <w:rFonts w:ascii="Cambria" w:eastAsia="Cambria" w:hAnsi="Cambria" w:cs="Cambria"/>
        </w:rPr>
        <w:t>ertidões de Acervo Técnico (</w:t>
      </w:r>
      <w:proofErr w:type="spellStart"/>
      <w:r>
        <w:rPr>
          <w:rFonts w:ascii="Cambria" w:eastAsia="Cambria" w:hAnsi="Cambria" w:cs="Cambria"/>
        </w:rPr>
        <w:t>CATs</w:t>
      </w:r>
      <w:proofErr w:type="spellEnd"/>
      <w:r>
        <w:rPr>
          <w:rFonts w:ascii="Cambria" w:eastAsia="Cambria" w:hAnsi="Cambria" w:cs="Cambria"/>
        </w:rPr>
        <w:t>) em nome de profissional habilitado, dentro do prazo temporal exigido (até 3 anos) e com quantitativos compatíveis com os itens de maior relevância do objeto licitado, conforme os parâmetros estabelecidos no Termo de Referê</w:t>
      </w:r>
      <w:r>
        <w:rPr>
          <w:rFonts w:ascii="Cambria" w:eastAsia="Cambria" w:hAnsi="Cambria" w:cs="Cambria"/>
        </w:rPr>
        <w:t>ncia.</w:t>
      </w:r>
    </w:p>
    <w:p w:rsidR="00C326AF" w:rsidRDefault="00C326A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Verificou-se ainda que os atestados apresentados pela vencedora comprovam a execução de serviços de pavimentação e imprimação técnica e operacionalmente compatíveis — senão superiores — ao objeto desta licitação, atendendo, portanto, ao disposto no </w:t>
      </w:r>
      <w:r>
        <w:rPr>
          <w:rFonts w:ascii="Cambria" w:eastAsia="Cambria" w:hAnsi="Cambria" w:cs="Cambria"/>
        </w:rPr>
        <w:t>item 11.7 do edital e na Lei nº 14.133/2021, que admite a comprovação de experiência em serviços similares ou de maior complexidade técnica.</w:t>
      </w:r>
    </w:p>
    <w:p w:rsidR="00C326AF" w:rsidRDefault="00C326A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Dessa forma, não se constatam irregularidades ou afronta aos princípios da legalidade, vinculação ao edital, isono</w:t>
      </w:r>
      <w:r>
        <w:rPr>
          <w:rFonts w:ascii="Cambria" w:eastAsia="Cambria" w:hAnsi="Cambria" w:cs="Cambria"/>
        </w:rPr>
        <w:t xml:space="preserve">mia e julgamento objetivo, motivo pelo qual não há fundamentos para a reforma da decisão que declarou habilitada a empresa </w:t>
      </w:r>
      <w:r>
        <w:rPr>
          <w:rFonts w:ascii="Cambria" w:eastAsia="Cambria" w:hAnsi="Cambria" w:cs="Cambria"/>
          <w:b/>
        </w:rPr>
        <w:t>CONSTRUTORA AYLA LTDA.</w:t>
      </w:r>
    </w:p>
    <w:p w:rsidR="00C326AF" w:rsidRDefault="00C326A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Ante o exposto, conheço do recurso interposto pela empresa </w:t>
      </w:r>
      <w:r>
        <w:rPr>
          <w:rFonts w:ascii="Cambria" w:eastAsia="Cambria" w:hAnsi="Cambria" w:cs="Cambria"/>
          <w:b/>
        </w:rPr>
        <w:t>ENGEBIO ENGENHARIA DO MEIO AMBIENTE LTDA</w:t>
      </w:r>
      <w:r>
        <w:rPr>
          <w:rFonts w:ascii="Cambria" w:eastAsia="Cambria" w:hAnsi="Cambria" w:cs="Cambria"/>
        </w:rPr>
        <w:t>., para, n</w:t>
      </w:r>
      <w:r>
        <w:rPr>
          <w:rFonts w:ascii="Cambria" w:eastAsia="Cambria" w:hAnsi="Cambria" w:cs="Cambria"/>
        </w:rPr>
        <w:t xml:space="preserve">o mérito, negar-lhe provimento, mantendo-se integralmente a decisão que declarou habilitada e vencedora a empresa </w:t>
      </w:r>
      <w:r>
        <w:rPr>
          <w:rFonts w:ascii="Cambria" w:eastAsia="Cambria" w:hAnsi="Cambria" w:cs="Cambria"/>
          <w:b/>
        </w:rPr>
        <w:t>CONSTRUTORA AYLA LTDA.</w:t>
      </w:r>
    </w:p>
    <w:p w:rsidR="00C326AF" w:rsidRDefault="00C326A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:rsidR="00C326AF" w:rsidRDefault="00C326AF">
      <w:pPr>
        <w:spacing w:line="360" w:lineRule="auto"/>
        <w:jc w:val="both"/>
        <w:rPr>
          <w:rFonts w:ascii="Cambria" w:eastAsia="Cambria" w:hAnsi="Cambria" w:cs="Cambria"/>
        </w:rPr>
      </w:pPr>
    </w:p>
    <w:p w:rsidR="00C326AF" w:rsidRDefault="007B0B99">
      <w:pPr>
        <w:spacing w:line="360" w:lineRule="auto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FÁBIO DOS SANTOS ARAÚJO</w:t>
      </w:r>
    </w:p>
    <w:p w:rsidR="00C326AF" w:rsidRDefault="007B0B99">
      <w:pPr>
        <w:spacing w:line="360" w:lineRule="auto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PREGOEIRO</w:t>
      </w:r>
    </w:p>
    <w:sectPr w:rsidR="00C326AF">
      <w:headerReference w:type="default" r:id="rId7"/>
      <w:pgSz w:w="11906" w:h="16838"/>
      <w:pgMar w:top="2977" w:right="1133" w:bottom="125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B99" w:rsidRDefault="007B0B99">
      <w:r>
        <w:separator/>
      </w:r>
    </w:p>
  </w:endnote>
  <w:endnote w:type="continuationSeparator" w:id="0">
    <w:p w:rsidR="007B0B99" w:rsidRDefault="007B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B99" w:rsidRDefault="007B0B99">
      <w:r>
        <w:separator/>
      </w:r>
    </w:p>
  </w:footnote>
  <w:footnote w:type="continuationSeparator" w:id="0">
    <w:p w:rsidR="007B0B99" w:rsidRDefault="007B0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6AF" w:rsidRDefault="007B0B9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-770889</wp:posOffset>
              </wp:positionH>
              <wp:positionV relativeFrom="paragraph">
                <wp:posOffset>-252728</wp:posOffset>
              </wp:positionV>
              <wp:extent cx="10229850" cy="1762125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29850" cy="1762125"/>
                        <a:chOff x="-374" y="82"/>
                        <a:chExt cx="16110" cy="2775"/>
                      </a:xfrm>
                    </wpg:grpSpPr>
                    <wpg:grpSp>
                      <wpg:cNvPr id="2" name="Grupo 2"/>
                      <wpg:cNvGrpSpPr>
                        <a:grpSpLocks/>
                      </wpg:cNvGrpSpPr>
                      <wpg:grpSpPr bwMode="auto">
                        <a:xfrm>
                          <a:off x="-374" y="82"/>
                          <a:ext cx="16110" cy="2775"/>
                          <a:chOff x="-374" y="82"/>
                          <a:chExt cx="16110" cy="2775"/>
                        </a:xfrm>
                      </wpg:grpSpPr>
                      <wps:wsp>
                        <wps:cNvPr id="3" name="Retângulo 3"/>
                        <wps:cNvSpPr>
                          <a:spLocks noChangeArrowheads="1"/>
                        </wps:cNvSpPr>
                        <wps:spPr bwMode="auto">
                          <a:xfrm>
                            <a:off x="-374" y="985"/>
                            <a:ext cx="16110" cy="705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9050">
                            <a:solidFill>
                              <a:srgbClr val="FFFFFF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rot="0" vert="horz" wrap="square" lIns="91425" tIns="91425" rIns="91425" bIns="91425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" y="82"/>
                            <a:ext cx="2775" cy="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wpg:grpSp>
                    <wps:wsp>
                      <wps:cNvPr id="5" name="Retângulo 5"/>
                      <wps:cNvSpPr>
                        <a:spLocks noChangeArrowheads="1"/>
                      </wps:cNvSpPr>
                      <wps:spPr bwMode="auto">
                        <a:xfrm>
                          <a:off x="2560" y="1118"/>
                          <a:ext cx="7892" cy="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bodyPr rot="0" vert="horz" wrap="square" lIns="91425" tIns="45700" rIns="91425" bIns="4570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-770889</wp:posOffset>
              </wp:positionH>
              <wp:positionV relativeFrom="paragraph">
                <wp:posOffset>-252728</wp:posOffset>
              </wp:positionV>
              <wp:extent cx="10229850" cy="176212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29850" cy="1762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544A21"/>
    <w:multiLevelType w:val="multilevel"/>
    <w:tmpl w:val="3FE6E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">
    <w:nsid w:val="547011DC"/>
    <w:multiLevelType w:val="multilevel"/>
    <w:tmpl w:val="9488BA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">
    <w:nsid w:val="6A5878DA"/>
    <w:multiLevelType w:val="multilevel"/>
    <w:tmpl w:val="0FE63A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">
    <w:nsid w:val="6C6F3D50"/>
    <w:multiLevelType w:val="multilevel"/>
    <w:tmpl w:val="ED4861B4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6AF"/>
    <w:rsid w:val="00527462"/>
    <w:rsid w:val="007B0B99"/>
    <w:rsid w:val="00C3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68FD2-0B0B-4EDF-90E3-ED48DDC8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1490</Words>
  <Characters>8051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2025-10-15T17:07:00Z</dcterms:created>
  <dcterms:modified xsi:type="dcterms:W3CDTF">2025-10-15T17:07:00Z</dcterms:modified>
</cp:coreProperties>
</file>