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png" ContentType="image/png"/>
  <Override PartName="/word/media/image3.png" ContentType="image/png"/>
  <Override PartName="/word/media/image4.png" ContentType="image/png"/>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header2.xml.rels" ContentType="application/vnd.openxmlformats-package.relationships+xml"/>
  <Override PartName="/word/_rels/footer3.xml.rels" ContentType="application/vnd.openxmlformats-package.relationships+xml"/>
  <Override PartName="/word/_rels/footer2.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LO-normal"/>
        <w:ind w:hanging="0" w:right="142"/>
        <w:jc w:val="center"/>
        <w:rPr>
          <w:rFonts w:ascii="Calibri" w:hAnsi="Calibri" w:eastAsia="Calibri" w:cs="Calibri"/>
          <w:b/>
          <w:sz w:val="20"/>
          <w:szCs w:val="20"/>
        </w:rPr>
      </w:pPr>
      <w:r>
        <w:rPr>
          <w:rFonts w:eastAsia="Calibri" w:cs="Calibri" w:ascii="Calibri" w:hAnsi="Calibri"/>
          <w:b/>
          <w:sz w:val="20"/>
          <w:szCs w:val="20"/>
        </w:rPr>
      </w:r>
    </w:p>
    <w:p>
      <w:pPr>
        <w:pStyle w:val="LO-normal"/>
        <w:ind w:hanging="0" w:right="142"/>
        <w:jc w:val="center"/>
        <w:rPr/>
      </w:pPr>
      <w:r>
        <w:drawing>
          <wp:anchor behindDoc="0" distT="0" distB="0" distL="0" distR="0" simplePos="0" locked="0" layoutInCell="1" allowOverlap="1" relativeHeight="29">
            <wp:simplePos x="0" y="0"/>
            <wp:positionH relativeFrom="column">
              <wp:posOffset>5122545</wp:posOffset>
            </wp:positionH>
            <wp:positionV relativeFrom="paragraph">
              <wp:posOffset>-1867535</wp:posOffset>
            </wp:positionV>
            <wp:extent cx="1350010" cy="1157605"/>
            <wp:effectExtent l="0" t="0" r="0" b="0"/>
            <wp:wrapNone/>
            <wp:docPr id="1" name="Imagem 7" descr="Uma imagem contendo objeto, relógi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7" descr="Uma imagem contendo objeto, relógio&#10;&#10;Descrição gerada automaticamente"/>
                    <pic:cNvPicPr>
                      <a:picLocks noChangeAspect="1" noChangeArrowheads="1"/>
                    </pic:cNvPicPr>
                  </pic:nvPicPr>
                  <pic:blipFill>
                    <a:blip r:embed="rId2"/>
                    <a:srcRect l="0" t="0" r="0" b="14232"/>
                    <a:stretch>
                      <a:fillRect/>
                    </a:stretch>
                  </pic:blipFill>
                  <pic:spPr bwMode="auto">
                    <a:xfrm>
                      <a:off x="0" y="0"/>
                      <a:ext cx="1350010" cy="1157605"/>
                    </a:xfrm>
                    <a:prstGeom prst="rect">
                      <a:avLst/>
                    </a:prstGeom>
                  </pic:spPr>
                </pic:pic>
              </a:graphicData>
            </a:graphic>
          </wp:anchor>
        </w:drawing>
      </w:r>
      <w:r>
        <w:rPr>
          <w:rFonts w:eastAsia="Calibri" w:cs="Calibri" w:ascii="Calibri" w:hAnsi="Calibri"/>
          <w:b/>
          <w:sz w:val="20"/>
          <w:szCs w:val="20"/>
        </w:rPr>
        <w:t>TERMO DE REFERÊNCIA</w:t>
      </w:r>
    </w:p>
    <w:p>
      <w:pPr>
        <w:pStyle w:val="LO-normal"/>
        <w:keepNext w:val="true"/>
        <w:keepLines/>
        <w:numPr>
          <w:ilvl w:val="0"/>
          <w:numId w:val="1"/>
        </w:numPr>
        <w:spacing w:before="0" w:after="0"/>
        <w:ind w:hanging="426" w:left="426" w:right="142"/>
        <w:jc w:val="both"/>
        <w:rPr/>
      </w:pPr>
      <w:r>
        <w:rPr>
          <w:rFonts w:eastAsia="Calibri" w:cs="Calibri" w:ascii="Calibri" w:hAnsi="Calibri"/>
          <w:b/>
          <w:color w:val="000000"/>
          <w:sz w:val="20"/>
          <w:szCs w:val="20"/>
        </w:rPr>
        <w:t>DO OBJETO</w:t>
      </w:r>
    </w:p>
    <w:p>
      <w:pPr>
        <w:pStyle w:val="LO-normal"/>
        <w:numPr>
          <w:ilvl w:val="1"/>
          <w:numId w:val="2"/>
        </w:numPr>
        <w:spacing w:before="240" w:after="240"/>
        <w:ind w:hanging="426" w:left="426" w:right="142"/>
        <w:jc w:val="both"/>
        <w:rPr/>
      </w:pPr>
      <w:r>
        <w:rPr>
          <w:rFonts w:eastAsia="Calibri" w:cs="Calibri" w:ascii="Calibri" w:hAnsi="Calibri"/>
          <w:sz w:val="20"/>
          <w:szCs w:val="20"/>
        </w:rPr>
        <w:t>Dispensa de licitação com fundamento no</w:t>
      </w:r>
      <w:r>
        <w:rPr>
          <w:rFonts w:eastAsia="Calibri" w:cs="Calibri" w:ascii="Calibri" w:hAnsi="Calibri"/>
          <w:color w:val="4472C4"/>
          <w:sz w:val="20"/>
          <w:szCs w:val="20"/>
        </w:rPr>
        <w:t xml:space="preserve"> </w:t>
      </w:r>
      <w:r>
        <w:rPr>
          <w:rFonts w:eastAsia="Calibri" w:cs="Calibri" w:ascii="Calibri" w:hAnsi="Calibri"/>
          <w:color w:val="000000"/>
          <w:sz w:val="20"/>
          <w:szCs w:val="20"/>
        </w:rPr>
        <w:t>art. 75, inc. II da Lei nº 14.133/21, visando a aquisição de extintores de incêndio Pó químico ABC 6kg + suporte + placa sinalizadora e extintores Co2 6kg Bc Novo e carregado + Suporte De Parede, para atender as necessidades da Autarquia Distrito Estadual de Fernando de Noronha-PE, conforme as condições, especificações,  quantidades e exigências contidas neste Termo de Referência.</w:t>
      </w:r>
    </w:p>
    <w:p>
      <w:pPr>
        <w:pStyle w:val="LO-normal"/>
        <w:rPr/>
      </w:pPr>
      <w:r>
        <w:rPr/>
        <w:t>As especificações e os quantitativos do objeto desta dispensa estão descritos conforme quadro abaixo:</w:t>
      </w:r>
    </w:p>
    <w:p>
      <w:pPr>
        <w:pStyle w:val="LO-normal"/>
        <w:rPr/>
      </w:pPr>
      <w:r>
        <w:rPr/>
      </w:r>
    </w:p>
    <w:p>
      <w:pPr>
        <w:pStyle w:val="LO-normal"/>
        <w:spacing w:before="240" w:after="240"/>
        <w:ind w:hanging="426" w:left="426" w:right="142"/>
        <w:jc w:val="both"/>
        <w:rPr/>
      </w:pPr>
      <w:r>
        <w:rPr>
          <w:rFonts w:eastAsia="Calibri" w:cs="Calibri" w:ascii="Calibri" w:hAnsi="Calibri"/>
          <w:color w:val="000000"/>
          <w:sz w:val="20"/>
          <w:szCs w:val="20"/>
        </w:rPr>
        <w:tab/>
        <w:tab/>
      </w:r>
      <w:r>
        <w:rPr/>
        <w:t xml:space="preserve">                                            </w:t>
      </w:r>
      <w:r>
        <w:rPr>
          <w:color w:val="000000"/>
        </w:rPr>
        <w:t xml:space="preserve">   </w:t>
      </w:r>
      <w:r>
        <w:rPr>
          <w:rFonts w:eastAsia="Calibri" w:cs="Calibri" w:ascii="Calibri" w:hAnsi="Calibri"/>
          <w:b/>
          <w:color w:val="000000"/>
          <w:sz w:val="20"/>
          <w:szCs w:val="20"/>
        </w:rPr>
        <w:t>ITENS DE COTA EXCLUSIVA</w:t>
      </w:r>
    </w:p>
    <w:tbl>
      <w:tblPr>
        <w:tblW w:w="8799" w:type="dxa"/>
        <w:jc w:val="left"/>
        <w:tblInd w:w="658" w:type="dxa"/>
        <w:tblLayout w:type="fixed"/>
        <w:tblCellMar>
          <w:top w:w="0" w:type="dxa"/>
          <w:left w:w="108" w:type="dxa"/>
          <w:bottom w:w="0" w:type="dxa"/>
          <w:right w:w="108" w:type="dxa"/>
        </w:tblCellMar>
        <w:tblLook w:firstRow="1" w:noVBand="1" w:lastRow="0" w:firstColumn="1" w:lastColumn="0" w:noHBand="0" w:val="04a0"/>
      </w:tblPr>
      <w:tblGrid>
        <w:gridCol w:w="732"/>
        <w:gridCol w:w="1084"/>
        <w:gridCol w:w="1642"/>
        <w:gridCol w:w="1142"/>
        <w:gridCol w:w="1591"/>
        <w:gridCol w:w="1076"/>
        <w:gridCol w:w="1531"/>
      </w:tblGrid>
      <w:tr>
        <w:trPr>
          <w:trHeight w:val="344" w:hRule="atLeast"/>
        </w:trPr>
        <w:tc>
          <w:tcPr>
            <w:tcW w:w="732" w:type="dxa"/>
            <w:tcBorders>
              <w:top w:val="single" w:sz="4" w:space="0" w:color="000000"/>
              <w:left w:val="single" w:sz="4" w:space="0" w:color="000000"/>
              <w:right w:val="single" w:sz="4" w:space="0" w:color="000000"/>
            </w:tcBorders>
            <w:shd w:color="auto" w:fill="D8D8D8" w:val="clear"/>
            <w:vAlign w:val="center"/>
          </w:tcPr>
          <w:p>
            <w:pPr>
              <w:pStyle w:val="Normal"/>
              <w:spacing w:before="0" w:after="0"/>
              <w:jc w:val="center"/>
              <w:rPr>
                <w:color w:val="000000"/>
              </w:rPr>
            </w:pPr>
            <w:r>
              <w:rPr>
                <w:b/>
                <w:color w:val="000000"/>
                <w:sz w:val="20"/>
                <w:szCs w:val="20"/>
              </w:rPr>
              <w:t>Itens/ Lotes</w:t>
            </w:r>
          </w:p>
        </w:tc>
        <w:tc>
          <w:tcPr>
            <w:tcW w:w="1084" w:type="dxa"/>
            <w:tcBorders>
              <w:top w:val="single" w:sz="4" w:space="0" w:color="000000"/>
              <w:right w:val="single" w:sz="4" w:space="0" w:color="000000"/>
            </w:tcBorders>
            <w:shd w:color="auto" w:fill="D8D8D8" w:val="clear"/>
            <w:vAlign w:val="center"/>
          </w:tcPr>
          <w:p>
            <w:pPr>
              <w:pStyle w:val="Normal"/>
              <w:spacing w:before="0" w:after="0"/>
              <w:jc w:val="center"/>
              <w:rPr>
                <w:color w:val="000000"/>
              </w:rPr>
            </w:pPr>
            <w:r>
              <w:rPr>
                <w:b/>
                <w:color w:val="000000"/>
                <w:sz w:val="20"/>
                <w:szCs w:val="20"/>
              </w:rPr>
              <w:t>Código E-Fisco</w:t>
            </w:r>
          </w:p>
        </w:tc>
        <w:tc>
          <w:tcPr>
            <w:tcW w:w="1642" w:type="dxa"/>
            <w:tcBorders>
              <w:top w:val="single" w:sz="4" w:space="0" w:color="000000"/>
              <w:right w:val="single" w:sz="4" w:space="0" w:color="000000"/>
            </w:tcBorders>
            <w:shd w:color="auto" w:fill="D8D8D8" w:val="clear"/>
            <w:vAlign w:val="center"/>
          </w:tcPr>
          <w:p>
            <w:pPr>
              <w:pStyle w:val="Normal"/>
              <w:spacing w:before="0" w:after="0"/>
              <w:jc w:val="center"/>
              <w:rPr>
                <w:color w:val="000000"/>
              </w:rPr>
            </w:pPr>
            <w:r>
              <w:rPr>
                <w:b/>
                <w:color w:val="000000"/>
                <w:sz w:val="20"/>
                <w:szCs w:val="20"/>
              </w:rPr>
              <w:t>Descrição</w:t>
            </w:r>
          </w:p>
        </w:tc>
        <w:tc>
          <w:tcPr>
            <w:tcW w:w="1142" w:type="dxa"/>
            <w:tcBorders>
              <w:top w:val="single" w:sz="4" w:space="0" w:color="000000"/>
              <w:right w:val="single" w:sz="4" w:space="0" w:color="000000"/>
            </w:tcBorders>
            <w:shd w:color="auto" w:fill="D8D8D8" w:val="clear"/>
            <w:vAlign w:val="center"/>
          </w:tcPr>
          <w:p>
            <w:pPr>
              <w:pStyle w:val="Normal"/>
              <w:spacing w:before="0" w:after="0"/>
              <w:jc w:val="center"/>
              <w:rPr>
                <w:color w:val="000000"/>
              </w:rPr>
            </w:pPr>
            <w:r>
              <w:rPr>
                <w:b/>
                <w:color w:val="000000"/>
                <w:sz w:val="20"/>
                <w:szCs w:val="20"/>
              </w:rPr>
              <w:t>Unid.</w:t>
            </w:r>
          </w:p>
        </w:tc>
        <w:tc>
          <w:tcPr>
            <w:tcW w:w="1591" w:type="dxa"/>
            <w:tcBorders>
              <w:top w:val="single" w:sz="4" w:space="0" w:color="000000"/>
              <w:bottom w:val="single" w:sz="4" w:space="0" w:color="000000"/>
              <w:right w:val="single" w:sz="4" w:space="0" w:color="000000"/>
            </w:tcBorders>
            <w:shd w:color="auto" w:fill="D8D8D8" w:val="clear"/>
            <w:vAlign w:val="center"/>
          </w:tcPr>
          <w:p>
            <w:pPr>
              <w:pStyle w:val="Normal"/>
              <w:spacing w:before="0" w:after="0"/>
              <w:jc w:val="center"/>
              <w:rPr>
                <w:color w:val="000000"/>
              </w:rPr>
            </w:pPr>
            <w:r>
              <w:rPr>
                <w:b/>
                <w:color w:val="000000"/>
                <w:sz w:val="20"/>
                <w:szCs w:val="20"/>
              </w:rPr>
              <w:t>Valor unitário máximo</w:t>
            </w:r>
          </w:p>
        </w:tc>
        <w:tc>
          <w:tcPr>
            <w:tcW w:w="1076" w:type="dxa"/>
            <w:tcBorders>
              <w:top w:val="single" w:sz="4" w:space="0" w:color="000000"/>
              <w:bottom w:val="single" w:sz="4" w:space="0" w:color="000000"/>
              <w:right w:val="single" w:sz="4" w:space="0" w:color="000000"/>
            </w:tcBorders>
            <w:shd w:color="auto" w:fill="D8D8D8" w:val="clear"/>
            <w:vAlign w:val="center"/>
          </w:tcPr>
          <w:p>
            <w:pPr>
              <w:pStyle w:val="Normal"/>
              <w:spacing w:before="0" w:after="0"/>
              <w:jc w:val="center"/>
              <w:rPr>
                <w:color w:val="000000"/>
              </w:rPr>
            </w:pPr>
            <w:r>
              <w:rPr>
                <w:b/>
                <w:color w:val="000000"/>
                <w:sz w:val="20"/>
                <w:szCs w:val="20"/>
              </w:rPr>
              <w:t>Qtde</w:t>
            </w:r>
          </w:p>
        </w:tc>
        <w:tc>
          <w:tcPr>
            <w:tcW w:w="1531" w:type="dxa"/>
            <w:tcBorders>
              <w:top w:val="single" w:sz="4" w:space="0" w:color="000000"/>
              <w:left w:val="single" w:sz="4" w:space="0" w:color="000000"/>
              <w:bottom w:val="single" w:sz="4" w:space="0" w:color="000000"/>
              <w:right w:val="single" w:sz="4" w:space="0" w:color="000000"/>
            </w:tcBorders>
            <w:shd w:color="auto" w:fill="D8D8D8" w:val="clear"/>
            <w:vAlign w:val="center"/>
          </w:tcPr>
          <w:p>
            <w:pPr>
              <w:pStyle w:val="Normal"/>
              <w:spacing w:before="0" w:after="0"/>
              <w:jc w:val="center"/>
              <w:rPr>
                <w:color w:val="000000"/>
              </w:rPr>
            </w:pPr>
            <w:r>
              <w:rPr>
                <w:b/>
                <w:color w:val="000000"/>
                <w:sz w:val="20"/>
                <w:szCs w:val="20"/>
              </w:rPr>
              <w:t>Valor Total</w:t>
            </w:r>
          </w:p>
        </w:tc>
      </w:tr>
      <w:tr>
        <w:trPr>
          <w:trHeight w:val="471" w:hRule="atLeast"/>
        </w:trPr>
        <w:tc>
          <w:tcPr>
            <w:tcW w:w="73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0"/>
              <w:ind w:hanging="0"/>
              <w:jc w:val="center"/>
              <w:rPr>
                <w:color w:val="000000"/>
              </w:rPr>
            </w:pPr>
            <w:r>
              <w:rPr>
                <w:color w:val="000000"/>
              </w:rPr>
            </w:r>
          </w:p>
          <w:p>
            <w:pPr>
              <w:pStyle w:val="Normal"/>
              <w:spacing w:before="0" w:after="0"/>
              <w:ind w:hanging="0"/>
              <w:jc w:val="center"/>
              <w:rPr>
                <w:color w:val="000000"/>
              </w:rPr>
            </w:pPr>
            <w:r>
              <w:rPr>
                <w:color w:val="000000"/>
                <w:sz w:val="20"/>
                <w:szCs w:val="20"/>
              </w:rPr>
              <w:t>1</w:t>
            </w:r>
          </w:p>
        </w:tc>
        <w:tc>
          <w:tcPr>
            <w:tcW w:w="1084" w:type="dxa"/>
            <w:tcBorders>
              <w:top w:val="single" w:sz="4" w:space="0" w:color="000000"/>
              <w:bottom w:val="single" w:sz="4" w:space="0" w:color="000000"/>
              <w:right w:val="single" w:sz="4" w:space="0" w:color="000000"/>
            </w:tcBorders>
            <w:shd w:color="auto" w:fill="auto" w:val="clear"/>
            <w:vAlign w:val="center"/>
          </w:tcPr>
          <w:p>
            <w:pPr>
              <w:pStyle w:val="Normal"/>
              <w:spacing w:before="0" w:after="0"/>
              <w:jc w:val="center"/>
              <w:rPr>
                <w:rFonts w:ascii="Calibri" w:hAnsi="Calibri"/>
                <w:color w:val="000000"/>
                <w:sz w:val="20"/>
                <w:szCs w:val="20"/>
              </w:rPr>
            </w:pPr>
            <w:r>
              <w:rPr>
                <w:color w:val="000000"/>
                <w:sz w:val="20"/>
                <w:szCs w:val="20"/>
              </w:rPr>
            </w:r>
          </w:p>
        </w:tc>
        <w:tc>
          <w:tcPr>
            <w:tcW w:w="1642" w:type="dxa"/>
            <w:tcBorders>
              <w:top w:val="single" w:sz="4" w:space="0" w:color="000000"/>
              <w:bottom w:val="single" w:sz="4" w:space="0" w:color="000000"/>
              <w:right w:val="single" w:sz="4" w:space="0" w:color="000000"/>
            </w:tcBorders>
            <w:shd w:color="auto" w:fill="auto" w:val="clear"/>
            <w:vAlign w:val="bottom"/>
          </w:tcPr>
          <w:p>
            <w:pPr>
              <w:pStyle w:val="LO-normal"/>
              <w:spacing w:before="240" w:after="240"/>
              <w:ind w:hanging="0" w:left="426" w:right="142"/>
              <w:jc w:val="left"/>
              <w:rPr/>
            </w:pPr>
            <w:r>
              <w:rPr>
                <w:rFonts w:eastAsia="Calibri" w:cs="Calibri" w:ascii="Calibri" w:hAnsi="Calibri"/>
                <w:color w:val="000000"/>
                <w:sz w:val="20"/>
                <w:szCs w:val="20"/>
              </w:rPr>
              <w:t>Extintor de incêndio Pó químico ABC 6kg + suporte + placa sinalizadora</w:t>
            </w:r>
          </w:p>
        </w:tc>
        <w:tc>
          <w:tcPr>
            <w:tcW w:w="1142" w:type="dxa"/>
            <w:tcBorders>
              <w:top w:val="single" w:sz="4" w:space="0" w:color="000000"/>
              <w:bottom w:val="single" w:sz="4" w:space="0" w:color="000000"/>
              <w:right w:val="single" w:sz="4" w:space="0" w:color="000000"/>
            </w:tcBorders>
            <w:shd w:color="auto" w:fill="auto" w:val="clear"/>
            <w:vAlign w:val="center"/>
          </w:tcPr>
          <w:p>
            <w:pPr>
              <w:pStyle w:val="Normal"/>
              <w:spacing w:before="0" w:after="0"/>
              <w:jc w:val="center"/>
              <w:rPr>
                <w:rFonts w:ascii="Calibri" w:hAnsi="Calibri"/>
                <w:color w:val="000000"/>
                <w:sz w:val="20"/>
                <w:szCs w:val="20"/>
              </w:rPr>
            </w:pPr>
            <w:r>
              <w:rPr>
                <w:color w:val="000000"/>
                <w:sz w:val="20"/>
                <w:szCs w:val="20"/>
              </w:rPr>
              <w:t>UNIDADE</w:t>
            </w:r>
          </w:p>
        </w:tc>
        <w:tc>
          <w:tcPr>
            <w:tcW w:w="1591" w:type="dxa"/>
            <w:tcBorders>
              <w:bottom w:val="single" w:sz="4" w:space="0" w:color="000000"/>
              <w:right w:val="single" w:sz="4" w:space="0" w:color="000000"/>
            </w:tcBorders>
            <w:shd w:color="auto" w:fill="auto" w:val="clear"/>
            <w:vAlign w:val="center"/>
          </w:tcPr>
          <w:p>
            <w:pPr>
              <w:pStyle w:val="Normal"/>
              <w:spacing w:before="0" w:after="0"/>
              <w:jc w:val="center"/>
              <w:rPr>
                <w:color w:val="000000"/>
              </w:rPr>
            </w:pPr>
            <w:r>
              <w:rPr>
                <w:color w:val="000000"/>
                <w:sz w:val="20"/>
                <w:szCs w:val="20"/>
              </w:rPr>
              <w:t>R$</w:t>
            </w:r>
          </w:p>
        </w:tc>
        <w:tc>
          <w:tcPr>
            <w:tcW w:w="1076" w:type="dxa"/>
            <w:tcBorders>
              <w:top w:val="single" w:sz="4" w:space="0" w:color="000000"/>
              <w:bottom w:val="single" w:sz="4" w:space="0" w:color="000000"/>
              <w:right w:val="single" w:sz="4" w:space="0" w:color="000000"/>
            </w:tcBorders>
          </w:tcPr>
          <w:p>
            <w:pPr>
              <w:pStyle w:val="Normal"/>
              <w:spacing w:before="0" w:after="0"/>
              <w:jc w:val="center"/>
              <w:rPr>
                <w:rFonts w:ascii="Calibri" w:hAnsi="Calibri"/>
                <w:color w:val="000000"/>
                <w:sz w:val="20"/>
                <w:szCs w:val="20"/>
              </w:rPr>
            </w:pPr>
            <w:r>
              <w:rPr>
                <w:color w:val="000000"/>
                <w:sz w:val="20"/>
                <w:szCs w:val="20"/>
              </w:rPr>
            </w:r>
          </w:p>
          <w:p>
            <w:pPr>
              <w:pStyle w:val="Normal"/>
              <w:spacing w:before="0" w:after="0"/>
              <w:jc w:val="center"/>
              <w:rPr>
                <w:rFonts w:ascii="Calibri" w:hAnsi="Calibri"/>
                <w:color w:val="000000"/>
                <w:sz w:val="20"/>
                <w:szCs w:val="20"/>
              </w:rPr>
            </w:pPr>
            <w:r>
              <w:rPr>
                <w:color w:val="000000"/>
                <w:sz w:val="20"/>
                <w:szCs w:val="20"/>
              </w:rPr>
            </w:r>
          </w:p>
          <w:p>
            <w:pPr>
              <w:pStyle w:val="Normal"/>
              <w:spacing w:before="0" w:after="0"/>
              <w:jc w:val="center"/>
              <w:rPr>
                <w:rFonts w:ascii="Calibri" w:hAnsi="Calibri"/>
                <w:color w:val="000000"/>
                <w:sz w:val="20"/>
                <w:szCs w:val="20"/>
              </w:rPr>
            </w:pPr>
            <w:r>
              <w:rPr>
                <w:color w:val="000000"/>
                <w:sz w:val="20"/>
                <w:szCs w:val="20"/>
              </w:rPr>
              <w:br/>
              <w:br/>
              <w:br/>
              <w:br/>
              <w:t>05</w:t>
            </w:r>
          </w:p>
          <w:p>
            <w:pPr>
              <w:pStyle w:val="Normal"/>
              <w:spacing w:before="0" w:after="0"/>
              <w:jc w:val="center"/>
              <w:rPr>
                <w:rFonts w:ascii="Calibri" w:hAnsi="Calibri"/>
                <w:color w:val="000000"/>
                <w:sz w:val="20"/>
                <w:szCs w:val="20"/>
              </w:rPr>
            </w:pPr>
            <w:r>
              <w:rPr>
                <w:color w:val="000000"/>
                <w:sz w:val="20"/>
                <w:szCs w:val="20"/>
              </w:rPr>
            </w:r>
          </w:p>
          <w:p>
            <w:pPr>
              <w:pStyle w:val="Normal"/>
              <w:spacing w:before="0" w:after="0"/>
              <w:jc w:val="center"/>
              <w:rPr/>
            </w:pPr>
            <w:r>
              <w:rPr/>
            </w:r>
          </w:p>
        </w:tc>
        <w:tc>
          <w:tcPr>
            <w:tcW w:w="1531" w:type="dxa"/>
            <w:tcBorders>
              <w:left w:val="single" w:sz="4" w:space="0" w:color="000000"/>
              <w:bottom w:val="single" w:sz="4" w:space="0" w:color="000000"/>
              <w:right w:val="single" w:sz="4" w:space="0" w:color="000000"/>
            </w:tcBorders>
            <w:shd w:color="auto" w:fill="auto" w:val="clear"/>
            <w:vAlign w:val="center"/>
          </w:tcPr>
          <w:p>
            <w:pPr>
              <w:pStyle w:val="Normal"/>
              <w:spacing w:before="0" w:after="0"/>
              <w:jc w:val="left"/>
              <w:rPr>
                <w:color w:val="000000"/>
              </w:rPr>
            </w:pPr>
            <w:r>
              <w:rPr>
                <w:color w:val="000000"/>
                <w:sz w:val="20"/>
                <w:szCs w:val="20"/>
              </w:rPr>
              <w:t xml:space="preserve">         </w:t>
            </w:r>
            <w:r>
              <w:rPr>
                <w:color w:val="000000"/>
                <w:sz w:val="20"/>
                <w:szCs w:val="20"/>
              </w:rPr>
              <w:t>R$</w:t>
            </w:r>
          </w:p>
        </w:tc>
      </w:tr>
      <w:tr>
        <w:trPr>
          <w:trHeight w:val="471" w:hRule="atLeast"/>
        </w:trPr>
        <w:tc>
          <w:tcPr>
            <w:tcW w:w="732" w:type="dxa"/>
            <w:tcBorders>
              <w:left w:val="single" w:sz="4" w:space="0" w:color="000000"/>
              <w:bottom w:val="single" w:sz="4" w:space="0" w:color="000000"/>
              <w:right w:val="single" w:sz="4" w:space="0" w:color="000000"/>
            </w:tcBorders>
            <w:shd w:color="auto" w:fill="auto" w:val="clear"/>
            <w:vAlign w:val="center"/>
          </w:tcPr>
          <w:p>
            <w:pPr>
              <w:pStyle w:val="Normal"/>
              <w:spacing w:before="0" w:after="0"/>
              <w:ind w:hanging="0"/>
              <w:jc w:val="center"/>
              <w:rPr>
                <w:color w:val="000000"/>
              </w:rPr>
            </w:pPr>
            <w:r>
              <w:rPr>
                <w:color w:val="000000"/>
              </w:rPr>
              <w:t>2</w:t>
            </w:r>
          </w:p>
        </w:tc>
        <w:tc>
          <w:tcPr>
            <w:tcW w:w="1084" w:type="dxa"/>
            <w:tcBorders>
              <w:bottom w:val="single" w:sz="4" w:space="0" w:color="000000"/>
              <w:right w:val="single" w:sz="4" w:space="0" w:color="000000"/>
            </w:tcBorders>
            <w:shd w:color="auto" w:fill="auto" w:val="clear"/>
            <w:vAlign w:val="center"/>
          </w:tcPr>
          <w:p>
            <w:pPr>
              <w:pStyle w:val="Normal"/>
              <w:spacing w:before="0" w:after="0"/>
              <w:jc w:val="center"/>
              <w:rPr>
                <w:rFonts w:ascii="Calibri" w:hAnsi="Calibri"/>
                <w:color w:val="000000"/>
                <w:sz w:val="20"/>
                <w:szCs w:val="20"/>
              </w:rPr>
            </w:pPr>
            <w:r>
              <w:rPr>
                <w:color w:val="000000"/>
                <w:sz w:val="20"/>
                <w:szCs w:val="20"/>
              </w:rPr>
            </w:r>
          </w:p>
        </w:tc>
        <w:tc>
          <w:tcPr>
            <w:tcW w:w="1642" w:type="dxa"/>
            <w:tcBorders>
              <w:bottom w:val="single" w:sz="4" w:space="0" w:color="000000"/>
              <w:right w:val="single" w:sz="4" w:space="0" w:color="000000"/>
            </w:tcBorders>
            <w:shd w:color="auto" w:fill="auto" w:val="clear"/>
            <w:vAlign w:val="bottom"/>
          </w:tcPr>
          <w:p>
            <w:pPr>
              <w:pStyle w:val="Heading1"/>
              <w:spacing w:before="240" w:after="240"/>
              <w:ind w:hanging="0" w:left="426" w:right="142"/>
              <w:jc w:val="left"/>
              <w:rPr>
                <w:rFonts w:ascii="Calibri" w:hAnsi="Calibri"/>
                <w:b w:val="false"/>
                <w:bCs w:val="false"/>
                <w:sz w:val="20"/>
                <w:szCs w:val="20"/>
              </w:rPr>
            </w:pPr>
            <w:r>
              <w:rPr>
                <w:rFonts w:ascii="Calibri" w:hAnsi="Calibri"/>
                <w:b w:val="false"/>
                <w:bCs w:val="false"/>
                <w:sz w:val="20"/>
                <w:szCs w:val="20"/>
              </w:rPr>
              <w:t>Extintor Co2 6kg Bc Novo E Carregado + Suporte De Parede</w:t>
            </w:r>
          </w:p>
          <w:p>
            <w:pPr>
              <w:pStyle w:val="LO-normal"/>
              <w:spacing w:before="240" w:after="240"/>
              <w:ind w:hanging="0" w:left="426" w:right="142"/>
              <w:jc w:val="left"/>
              <w:rPr>
                <w:rFonts w:ascii="Calibri" w:hAnsi="Calibri"/>
                <w:sz w:val="20"/>
                <w:szCs w:val="20"/>
              </w:rPr>
            </w:pPr>
            <w:r>
              <w:rPr>
                <w:rFonts w:ascii="Calibri" w:hAnsi="Calibri"/>
                <w:sz w:val="20"/>
                <w:szCs w:val="20"/>
              </w:rPr>
            </w:r>
          </w:p>
        </w:tc>
        <w:tc>
          <w:tcPr>
            <w:tcW w:w="1142" w:type="dxa"/>
            <w:tcBorders>
              <w:bottom w:val="single" w:sz="4" w:space="0" w:color="000000"/>
              <w:right w:val="single" w:sz="4" w:space="0" w:color="000000"/>
            </w:tcBorders>
            <w:shd w:color="auto" w:fill="auto" w:val="clear"/>
            <w:vAlign w:val="center"/>
          </w:tcPr>
          <w:p>
            <w:pPr>
              <w:pStyle w:val="Normal"/>
              <w:spacing w:before="0" w:after="0"/>
              <w:jc w:val="center"/>
              <w:rPr>
                <w:rFonts w:ascii="Calibri" w:hAnsi="Calibri"/>
                <w:color w:val="000000"/>
                <w:sz w:val="20"/>
                <w:szCs w:val="20"/>
              </w:rPr>
            </w:pPr>
            <w:r>
              <w:rPr>
                <w:color w:val="000000"/>
                <w:sz w:val="20"/>
                <w:szCs w:val="20"/>
              </w:rPr>
              <w:t>UNIDADE</w:t>
            </w:r>
          </w:p>
        </w:tc>
        <w:tc>
          <w:tcPr>
            <w:tcW w:w="1591" w:type="dxa"/>
            <w:tcBorders>
              <w:bottom w:val="single" w:sz="4" w:space="0" w:color="000000"/>
              <w:right w:val="single" w:sz="4" w:space="0" w:color="000000"/>
            </w:tcBorders>
            <w:shd w:color="auto" w:fill="auto" w:val="clear"/>
            <w:vAlign w:val="center"/>
          </w:tcPr>
          <w:p>
            <w:pPr>
              <w:pStyle w:val="Normal"/>
              <w:spacing w:before="0" w:after="0"/>
              <w:jc w:val="center"/>
              <w:rPr>
                <w:color w:val="000000"/>
                <w:sz w:val="20"/>
                <w:szCs w:val="20"/>
              </w:rPr>
            </w:pPr>
            <w:r>
              <w:rPr>
                <w:color w:val="000000"/>
                <w:sz w:val="20"/>
                <w:szCs w:val="20"/>
              </w:rPr>
              <w:t>R$</w:t>
            </w:r>
          </w:p>
        </w:tc>
        <w:tc>
          <w:tcPr>
            <w:tcW w:w="1076" w:type="dxa"/>
            <w:tcBorders>
              <w:bottom w:val="single" w:sz="4" w:space="0" w:color="000000"/>
              <w:right w:val="single" w:sz="4" w:space="0" w:color="000000"/>
            </w:tcBorders>
          </w:tcPr>
          <w:p>
            <w:pPr>
              <w:pStyle w:val="Normal"/>
              <w:spacing w:before="0" w:after="0"/>
              <w:jc w:val="center"/>
              <w:rPr>
                <w:rFonts w:ascii="Calibri" w:hAnsi="Calibri"/>
                <w:color w:val="000000"/>
                <w:sz w:val="20"/>
                <w:szCs w:val="20"/>
              </w:rPr>
            </w:pPr>
            <w:r>
              <w:rPr>
                <w:color w:val="000000"/>
                <w:sz w:val="20"/>
                <w:szCs w:val="20"/>
              </w:rPr>
            </w:r>
          </w:p>
          <w:p>
            <w:pPr>
              <w:pStyle w:val="Normal"/>
              <w:spacing w:before="0" w:after="0"/>
              <w:jc w:val="center"/>
              <w:rPr>
                <w:rFonts w:ascii="Calibri" w:hAnsi="Calibri"/>
                <w:color w:val="000000"/>
                <w:sz w:val="20"/>
                <w:szCs w:val="20"/>
              </w:rPr>
            </w:pPr>
            <w:r>
              <w:rPr>
                <w:color w:val="000000"/>
                <w:sz w:val="20"/>
                <w:szCs w:val="20"/>
              </w:rPr>
            </w:r>
          </w:p>
          <w:p>
            <w:pPr>
              <w:pStyle w:val="Normal"/>
              <w:spacing w:before="0" w:after="0"/>
              <w:jc w:val="center"/>
              <w:rPr>
                <w:rFonts w:ascii="Calibri" w:hAnsi="Calibri"/>
                <w:color w:val="000000"/>
                <w:sz w:val="20"/>
                <w:szCs w:val="20"/>
              </w:rPr>
            </w:pPr>
            <w:r>
              <w:rPr>
                <w:color w:val="000000"/>
                <w:sz w:val="20"/>
                <w:szCs w:val="20"/>
              </w:rPr>
            </w:r>
          </w:p>
          <w:p>
            <w:pPr>
              <w:pStyle w:val="Normal"/>
              <w:spacing w:before="0" w:after="0"/>
              <w:jc w:val="center"/>
              <w:rPr>
                <w:rFonts w:ascii="Calibri" w:hAnsi="Calibri"/>
                <w:color w:val="000000"/>
                <w:sz w:val="20"/>
                <w:szCs w:val="20"/>
              </w:rPr>
            </w:pPr>
            <w:r>
              <w:rPr>
                <w:color w:val="000000"/>
                <w:sz w:val="20"/>
                <w:szCs w:val="20"/>
              </w:rPr>
              <w:br/>
              <w:t>05</w:t>
            </w:r>
          </w:p>
        </w:tc>
        <w:tc>
          <w:tcPr>
            <w:tcW w:w="1531" w:type="dxa"/>
            <w:tcBorders>
              <w:left w:val="single" w:sz="4" w:space="0" w:color="000000"/>
              <w:bottom w:val="single" w:sz="4" w:space="0" w:color="000000"/>
              <w:right w:val="single" w:sz="4" w:space="0" w:color="000000"/>
            </w:tcBorders>
            <w:shd w:color="auto" w:fill="auto" w:val="clear"/>
            <w:vAlign w:val="center"/>
          </w:tcPr>
          <w:p>
            <w:pPr>
              <w:pStyle w:val="Normal"/>
              <w:spacing w:before="0" w:after="0"/>
              <w:jc w:val="left"/>
              <w:rPr>
                <w:color w:val="000000"/>
                <w:sz w:val="20"/>
                <w:szCs w:val="20"/>
              </w:rPr>
            </w:pPr>
            <w:r>
              <w:rPr>
                <w:color w:val="000000"/>
                <w:sz w:val="20"/>
                <w:szCs w:val="20"/>
              </w:rPr>
              <w:t xml:space="preserve">         </w:t>
            </w:r>
            <w:r>
              <w:rPr>
                <w:color w:val="000000"/>
                <w:sz w:val="20"/>
                <w:szCs w:val="20"/>
              </w:rPr>
              <w:t>R$</w:t>
            </w:r>
          </w:p>
        </w:tc>
      </w:tr>
    </w:tbl>
    <w:p>
      <w:pPr>
        <w:pStyle w:val="Normal"/>
        <w:spacing w:before="240" w:after="240"/>
        <w:ind w:hanging="426" w:left="426" w:right="142"/>
        <w:jc w:val="both"/>
        <w:rPr>
          <w:b/>
          <w:bCs/>
        </w:rPr>
      </w:pPr>
      <w:r>
        <w:rPr/>
        <w:tab/>
        <w:tab/>
        <w:tab/>
        <w:tab/>
      </w:r>
    </w:p>
    <w:p>
      <w:pPr>
        <w:pStyle w:val="Normal"/>
        <w:spacing w:before="240" w:after="240"/>
        <w:ind w:hanging="426" w:left="426" w:right="142"/>
        <w:jc w:val="both"/>
        <w:rPr>
          <w:b/>
          <w:bCs/>
        </w:rPr>
      </w:pPr>
      <w:r>
        <w:rPr/>
        <w:tab/>
        <w:tab/>
        <w:t xml:space="preserve">                      </w:t>
      </w:r>
    </w:p>
    <w:p>
      <w:pPr>
        <w:pStyle w:val="Normal"/>
        <w:spacing w:before="240" w:after="240"/>
        <w:ind w:hanging="426" w:left="426" w:right="142"/>
        <w:jc w:val="both"/>
        <w:rPr>
          <w:b/>
          <w:bCs/>
        </w:rPr>
      </w:pPr>
      <w:r>
        <w:rPr>
          <w:b/>
          <w:bCs/>
        </w:rPr>
      </w:r>
    </w:p>
    <w:p>
      <w:pPr>
        <w:pStyle w:val="Normal"/>
        <w:spacing w:before="240" w:after="240"/>
        <w:ind w:hanging="426" w:left="426" w:right="142"/>
        <w:jc w:val="both"/>
        <w:rPr>
          <w:b/>
          <w:bCs/>
        </w:rPr>
      </w:pPr>
      <w:r>
        <w:rPr>
          <w:b/>
          <w:bCs/>
        </w:rPr>
      </w:r>
    </w:p>
    <w:p>
      <w:pPr>
        <w:pStyle w:val="Normal"/>
        <w:spacing w:before="240" w:after="240"/>
        <w:ind w:hanging="426" w:left="426" w:right="142"/>
        <w:jc w:val="both"/>
        <w:rPr>
          <w:b/>
          <w:bCs/>
        </w:rPr>
      </w:pPr>
      <w:r>
        <w:rPr>
          <w:b/>
          <w:bCs/>
        </w:rPr>
      </w:r>
    </w:p>
    <w:p>
      <w:pPr>
        <w:pStyle w:val="LO-normal"/>
        <w:keepNext w:val="true"/>
        <w:keepLines/>
        <w:numPr>
          <w:ilvl w:val="0"/>
          <w:numId w:val="3"/>
        </w:numPr>
        <w:spacing w:before="0" w:after="0"/>
        <w:ind w:hanging="426" w:left="426" w:right="142"/>
        <w:jc w:val="both"/>
        <w:rPr/>
      </w:pPr>
      <w:r>
        <w:rPr>
          <w:rFonts w:eastAsia="Calibri" w:cs="Calibri" w:ascii="Calibri" w:hAnsi="Calibri"/>
          <w:b/>
          <w:sz w:val="20"/>
          <w:szCs w:val="20"/>
        </w:rPr>
        <w:t>2.  DAS JUSTIFICATIVAS</w:t>
      </w:r>
    </w:p>
    <w:p>
      <w:pPr>
        <w:pStyle w:val="LO-normal"/>
        <w:spacing w:before="0" w:after="0"/>
        <w:ind w:hanging="0" w:left="360" w:right="142"/>
        <w:rPr>
          <w:rFonts w:ascii="Calibri" w:hAnsi="Calibri" w:eastAsia="Calibri" w:cs="Calibri"/>
          <w:b/>
          <w:color w:val="000000"/>
          <w:sz w:val="20"/>
          <w:szCs w:val="20"/>
          <w:highlight w:val="green"/>
        </w:rPr>
      </w:pPr>
      <w:r>
        <w:rPr>
          <w:rFonts w:eastAsia="Calibri" w:cs="Calibri" w:ascii="Calibri" w:hAnsi="Calibri"/>
          <w:b/>
          <w:color w:val="000000"/>
          <w:sz w:val="20"/>
          <w:szCs w:val="20"/>
          <w:highlight w:val="green"/>
        </w:rPr>
      </w:r>
    </w:p>
    <w:p>
      <w:pPr>
        <w:pStyle w:val="LO-normal"/>
        <w:numPr>
          <w:ilvl w:val="1"/>
          <w:numId w:val="3"/>
        </w:numPr>
        <w:spacing w:before="0" w:after="0"/>
        <w:ind w:hanging="426" w:left="426" w:right="142"/>
        <w:rPr/>
      </w:pPr>
      <w:r>
        <w:rPr>
          <w:rFonts w:eastAsia="Calibri" w:cs="Calibri" w:ascii="Calibri" w:hAnsi="Calibri"/>
          <w:b/>
          <w:color w:val="000000"/>
          <w:sz w:val="20"/>
          <w:szCs w:val="20"/>
        </w:rPr>
        <w:t>DA CONTRATAÇÃO POR DISPENSA DE LICITAÇÃO</w:t>
      </w:r>
    </w:p>
    <w:p>
      <w:pPr>
        <w:pStyle w:val="LO-normal"/>
        <w:spacing w:before="0" w:after="0"/>
        <w:ind w:hanging="0" w:right="142"/>
        <w:rPr>
          <w:rFonts w:ascii="Calibri" w:hAnsi="Calibri" w:eastAsia="Calibri" w:cs="Calibri"/>
          <w:color w:val="000000"/>
          <w:sz w:val="20"/>
          <w:szCs w:val="20"/>
        </w:rPr>
      </w:pPr>
      <w:r>
        <w:rPr>
          <w:rFonts w:eastAsia="Calibri" w:cs="Calibri" w:ascii="Calibri" w:hAnsi="Calibri"/>
          <w:color w:val="000000"/>
          <w:sz w:val="20"/>
          <w:szCs w:val="20"/>
        </w:rPr>
      </w:r>
    </w:p>
    <w:p>
      <w:pPr>
        <w:pStyle w:val="LO-normal"/>
        <w:spacing w:before="0" w:after="0"/>
        <w:ind w:hanging="0" w:left="426" w:right="142"/>
        <w:jc w:val="both"/>
        <w:rPr/>
      </w:pPr>
      <w:r>
        <w:rPr>
          <w:rFonts w:eastAsia="Calibri" w:cs="Calibri" w:ascii="Calibri" w:hAnsi="Calibri"/>
          <w:color w:val="000000"/>
          <w:sz w:val="20"/>
          <w:szCs w:val="20"/>
        </w:rPr>
        <w:t xml:space="preserve">A contratação será formalizada por meio de dispensa de licitação, conforme permissivo legal contido no art. 75, II da Lei Federal nº 14.133/21, que permite contratação direta que envolva valores inferiores a R$ 50.000,00 (cinquenta mil reais), no caso de serviços em geral e compras. O valor foi atualizado pelo Decreto 11.871/2023, para </w:t>
      </w:r>
      <w:r>
        <w:rPr>
          <w:rFonts w:eastAsia="Calibri" w:cs="Calibri" w:ascii="Calibri" w:hAnsi="Calibri"/>
          <w:i/>
          <w:iCs/>
          <w:color w:val="000000"/>
          <w:sz w:val="20"/>
          <w:szCs w:val="20"/>
          <w:u w:val="single"/>
        </w:rPr>
        <w:t>R$ 59.906,02(cinquenta e nove mil novecentos e seis reais e dois centavos</w:t>
      </w:r>
      <w:r>
        <w:rPr>
          <w:rFonts w:eastAsia="Calibri" w:cs="Calibri" w:ascii="Calibri" w:hAnsi="Calibri"/>
          <w:color w:val="000000"/>
          <w:sz w:val="20"/>
          <w:szCs w:val="20"/>
        </w:rPr>
        <w:t>).</w:t>
      </w:r>
    </w:p>
    <w:p>
      <w:pPr>
        <w:pStyle w:val="LO-normal"/>
        <w:spacing w:before="0" w:after="0"/>
        <w:ind w:hanging="0" w:left="426" w:right="142"/>
        <w:jc w:val="both"/>
        <w:rPr>
          <w:rFonts w:ascii="Calibri" w:hAnsi="Calibri" w:eastAsia="Calibri" w:cs="Calibri"/>
          <w:color w:val="000000"/>
          <w:sz w:val="20"/>
          <w:szCs w:val="20"/>
        </w:rPr>
      </w:pPr>
      <w:r>
        <w:rPr>
          <w:rFonts w:eastAsia="Calibri" w:cs="Calibri" w:ascii="Calibri" w:hAnsi="Calibri"/>
          <w:color w:val="000000"/>
          <w:sz w:val="20"/>
          <w:szCs w:val="20"/>
        </w:rPr>
      </w:r>
    </w:p>
    <w:p>
      <w:pPr>
        <w:pStyle w:val="LO-normal"/>
        <w:spacing w:before="0" w:after="0"/>
        <w:ind w:hanging="0" w:left="426" w:right="142"/>
        <w:jc w:val="both"/>
        <w:rPr/>
      </w:pPr>
      <w:r>
        <w:rPr>
          <w:rFonts w:eastAsia="Calibri" w:cs="Calibri" w:ascii="Calibri" w:hAnsi="Calibri"/>
          <w:color w:val="000000"/>
          <w:sz w:val="20"/>
          <w:szCs w:val="20"/>
        </w:rPr>
        <w:t>Nesse sentido, uma vez que a contratação pretendida corresponde a valor inferior ao referido na lei e a despesa não constitui fracionamento indevido, bem como o somatório das despesas realizadas com objetos idênticos ou de mesma natureza (do mesmo ramo de atividade), no mesmo exercício financeiro, por esta unidade gestora, não ultrapassa o limite estabelecido pelo art. 75, II da Lei Federal nº 14.133/21, destaca-se o pleno atendimento dos requisitos legais.</w:t>
      </w:r>
    </w:p>
    <w:p>
      <w:pPr>
        <w:pStyle w:val="LO-normal"/>
        <w:spacing w:before="0" w:after="0"/>
        <w:ind w:hanging="0" w:right="142"/>
        <w:rPr>
          <w:rFonts w:ascii="Calibri" w:hAnsi="Calibri" w:eastAsia="Calibri" w:cs="Calibri"/>
          <w:color w:val="000000"/>
          <w:sz w:val="20"/>
          <w:szCs w:val="20"/>
        </w:rPr>
      </w:pPr>
      <w:r>
        <w:rPr>
          <w:rFonts w:eastAsia="Calibri" w:cs="Calibri" w:ascii="Calibri" w:hAnsi="Calibri"/>
          <w:color w:val="000000"/>
          <w:sz w:val="20"/>
          <w:szCs w:val="20"/>
        </w:rPr>
      </w:r>
    </w:p>
    <w:p>
      <w:pPr>
        <w:pStyle w:val="LO-normal"/>
        <w:numPr>
          <w:ilvl w:val="1"/>
          <w:numId w:val="3"/>
        </w:numPr>
        <w:spacing w:before="0" w:after="0"/>
        <w:ind w:hanging="426" w:left="426" w:right="142"/>
        <w:rPr/>
      </w:pPr>
      <w:r>
        <w:rPr>
          <w:rFonts w:eastAsia="Calibri" w:cs="Calibri" w:ascii="Calibri" w:hAnsi="Calibri"/>
          <w:b/>
          <w:color w:val="000000"/>
          <w:sz w:val="20"/>
          <w:szCs w:val="20"/>
        </w:rPr>
        <w:t xml:space="preserve">DA NECESSIDADE DA CONTRATAÇÃO </w:t>
      </w:r>
    </w:p>
    <w:p>
      <w:pPr>
        <w:pStyle w:val="LO-normal"/>
        <w:spacing w:before="0" w:after="0"/>
        <w:jc w:val="both"/>
        <w:rPr>
          <w:rFonts w:ascii="Calibri" w:hAnsi="Calibri" w:eastAsia="Calibri" w:cs="Calibri"/>
          <w:color w:val="000000"/>
          <w:sz w:val="20"/>
          <w:szCs w:val="20"/>
        </w:rPr>
      </w:pPr>
      <w:r>
        <w:rPr>
          <w:rFonts w:eastAsia="Calibri" w:cs="Calibri" w:ascii="Calibri" w:hAnsi="Calibri"/>
          <w:color w:val="000000"/>
          <w:sz w:val="20"/>
          <w:szCs w:val="20"/>
        </w:rPr>
      </w:r>
    </w:p>
    <w:p>
      <w:pPr>
        <w:pStyle w:val="LO-normal"/>
        <w:ind w:hanging="0" w:left="426"/>
        <w:jc w:val="both"/>
        <w:rPr/>
      </w:pPr>
      <w:r>
        <w:rPr>
          <w:rFonts w:eastAsia="Calibri" w:cs="Calibri" w:ascii="Calibri" w:hAnsi="Calibri"/>
          <w:color w:val="000000"/>
          <w:sz w:val="20"/>
          <w:szCs w:val="20"/>
        </w:rPr>
        <w:t xml:space="preserve">A presente contratação se dará em função da necessidade de aquisição dos produtos, uma vez que são necessários para utilização em eventos na ilha, bem como para </w:t>
      </w:r>
      <w:r>
        <w:rPr>
          <w:rFonts w:eastAsia="Calibri" w:cs="Calibri" w:ascii="Calibri" w:hAnsi="Calibri"/>
          <w:color w:val="000000"/>
          <w:sz w:val="20"/>
          <w:szCs w:val="20"/>
        </w:rPr>
        <w:t>serem</w:t>
      </w:r>
      <w:r>
        <w:rPr>
          <w:rFonts w:eastAsia="Calibri" w:cs="Calibri" w:ascii="Calibri" w:hAnsi="Calibri"/>
          <w:color w:val="000000"/>
          <w:sz w:val="20"/>
          <w:szCs w:val="20"/>
        </w:rPr>
        <w:t xml:space="preserve"> mantidos em prédios públicos, a fim de atender a Autarquia Distrito Estadual de Fernando de Noronha-PE, uma vez que é importante que haja equipamentos adequados à disposição para prover todos os eventos </w:t>
      </w:r>
      <w:r>
        <w:rPr>
          <w:rFonts w:eastAsia="Calibri" w:cs="Calibri" w:ascii="Calibri" w:hAnsi="Calibri"/>
          <w:color w:val="000000"/>
          <w:sz w:val="20"/>
          <w:szCs w:val="20"/>
        </w:rPr>
        <w:t>e prédios</w:t>
      </w:r>
      <w:r>
        <w:rPr>
          <w:rFonts w:eastAsia="Calibri" w:cs="Calibri" w:ascii="Calibri" w:hAnsi="Calibri"/>
          <w:color w:val="000000"/>
          <w:sz w:val="20"/>
          <w:szCs w:val="20"/>
        </w:rPr>
        <w:t xml:space="preserve"> com a estrutura necessária.</w:t>
      </w:r>
    </w:p>
    <w:p>
      <w:pPr>
        <w:pStyle w:val="LO-normal"/>
        <w:numPr>
          <w:ilvl w:val="1"/>
          <w:numId w:val="4"/>
        </w:numPr>
        <w:spacing w:lineRule="auto" w:line="240" w:before="0" w:after="0"/>
        <w:ind w:hanging="426" w:left="426" w:right="142"/>
        <w:jc w:val="both"/>
        <w:rPr/>
      </w:pPr>
      <w:r>
        <w:rPr>
          <w:rFonts w:eastAsia="Calibri" w:cs="Calibri" w:ascii="Calibri" w:hAnsi="Calibri"/>
          <w:b/>
          <w:color w:val="000000"/>
          <w:sz w:val="20"/>
          <w:szCs w:val="20"/>
        </w:rPr>
        <w:t>DO QUANTITATIVO ESTIMADO</w:t>
      </w:r>
    </w:p>
    <w:p>
      <w:pPr>
        <w:pStyle w:val="LO-normal"/>
        <w:numPr>
          <w:ilvl w:val="0"/>
          <w:numId w:val="0"/>
        </w:numPr>
        <w:spacing w:lineRule="auto" w:line="240" w:before="0" w:after="0"/>
        <w:ind w:hanging="0" w:left="426" w:right="142"/>
        <w:jc w:val="both"/>
        <w:rPr>
          <w:rFonts w:ascii="Calibri" w:hAnsi="Calibri" w:eastAsia="Calibri" w:cs="Calibri"/>
          <w:b/>
          <w:color w:val="000000"/>
          <w:sz w:val="20"/>
          <w:szCs w:val="20"/>
        </w:rPr>
      </w:pPr>
      <w:r>
        <w:rPr>
          <w:rFonts w:eastAsia="Calibri" w:cs="Calibri" w:ascii="Calibri" w:hAnsi="Calibri"/>
          <w:b/>
          <w:color w:val="000000"/>
          <w:sz w:val="20"/>
          <w:szCs w:val="20"/>
        </w:rPr>
      </w:r>
    </w:p>
    <w:p>
      <w:pPr>
        <w:pStyle w:val="LO-normal"/>
        <w:spacing w:before="0" w:after="0"/>
        <w:ind w:hanging="0" w:left="426"/>
        <w:jc w:val="both"/>
        <w:rPr/>
      </w:pPr>
      <w:r>
        <w:rPr>
          <w:rFonts w:eastAsia="Calibri" w:cs="Calibri" w:ascii="Calibri" w:hAnsi="Calibri"/>
          <w:color w:val="000000"/>
          <w:sz w:val="20"/>
          <w:szCs w:val="20"/>
        </w:rPr>
        <w:t>O quantitativo previsto no presente Termo de Referência foi definido a partir da necessidade da Superintendência e da Autarquia, que entendem ser suficientes as aquisições dos quantitativos informados, pois suprirão a carência que existe atualmente em Fernando de Noronha-PE.</w:t>
      </w:r>
    </w:p>
    <w:p>
      <w:pPr>
        <w:pStyle w:val="LO-normal"/>
        <w:numPr>
          <w:ilvl w:val="0"/>
          <w:numId w:val="3"/>
        </w:numPr>
        <w:spacing w:before="240" w:after="0"/>
        <w:ind w:hanging="360" w:left="360" w:right="142"/>
        <w:jc w:val="both"/>
        <w:rPr/>
      </w:pPr>
      <w:r>
        <w:rPr>
          <w:rFonts w:eastAsia="Calibri" w:cs="Calibri" w:ascii="Calibri" w:hAnsi="Calibri"/>
          <w:b/>
          <w:color w:val="000000"/>
          <w:sz w:val="20"/>
          <w:szCs w:val="20"/>
        </w:rPr>
        <w:t>DAS ESPECIFICAÇÕES DO OBJETO</w:t>
      </w:r>
    </w:p>
    <w:p>
      <w:pPr>
        <w:pStyle w:val="LO-normal"/>
        <w:numPr>
          <w:ilvl w:val="0"/>
          <w:numId w:val="0"/>
        </w:numPr>
        <w:spacing w:before="240" w:after="0"/>
        <w:ind w:hanging="0" w:left="360" w:right="142"/>
        <w:jc w:val="both"/>
        <w:rPr>
          <w:b w:val="false"/>
          <w:bCs w:val="false"/>
        </w:rPr>
      </w:pPr>
      <w:r>
        <w:rPr>
          <w:rFonts w:eastAsia="Calibri" w:cs="Calibri" w:ascii="Calibri" w:hAnsi="Calibri"/>
          <w:b/>
          <w:bCs/>
          <w:color w:val="000000"/>
          <w:sz w:val="20"/>
          <w:szCs w:val="20"/>
          <w:u w:val="single"/>
        </w:rPr>
        <w:t>Extintor de Incêndio Pó Químico ABC 6kg - Classe ABC + 1 Placa Sinalizadora e suporte tripé.</w:t>
      </w:r>
      <w:r>
        <w:rPr>
          <w:rFonts w:eastAsia="Calibri" w:cs="Calibri" w:ascii="Calibri" w:hAnsi="Calibri"/>
          <w:b w:val="false"/>
          <w:bCs w:val="false"/>
          <w:color w:val="000000"/>
          <w:sz w:val="20"/>
          <w:szCs w:val="20"/>
        </w:rPr>
        <w:t xml:space="preserve"> Para o combate a fogo em materiais sólidos, como: papel, papelão, tecido, madeira; materiais inflamáveis, como: gases, líquidos inflamáveis, álcool, diesel, gasolina, querosene, GLP; e materiais ou equipamentos energizados, como: instalações elétricas, fios sobrecarregados, tomadas, fontes, transformadores, quadros de distribuição, motores entre outros. Comercial - Residencial - Industrial, seja qual for a destinação. Validade do casco: 5 anos; recarga - 1 ano. Recarga anual do EXTINTOR .</w:t>
      </w:r>
    </w:p>
    <w:p>
      <w:pPr>
        <w:pStyle w:val="Heading1"/>
        <w:numPr>
          <w:ilvl w:val="0"/>
          <w:numId w:val="0"/>
        </w:numPr>
        <w:spacing w:before="240" w:after="0"/>
        <w:ind w:hanging="0" w:left="360" w:right="142"/>
        <w:jc w:val="both"/>
        <w:rPr/>
      </w:pPr>
      <w:r>
        <w:rPr>
          <w:rFonts w:eastAsia="Calibri" w:cs="Calibri" w:ascii="Calibri" w:hAnsi="Calibri"/>
          <w:b/>
          <w:bCs/>
          <w:color w:val="000000"/>
          <w:sz w:val="20"/>
          <w:szCs w:val="20"/>
          <w:u w:val="single"/>
        </w:rPr>
        <w:t>Extintor Co2 6kg Bc Novo E Carregado + Suporte De Parede</w:t>
      </w:r>
    </w:p>
    <w:p>
      <w:pPr>
        <w:pStyle w:val="LO-normal"/>
        <w:spacing w:before="240" w:after="240"/>
        <w:ind w:hanging="0" w:left="426" w:right="142"/>
        <w:jc w:val="both"/>
        <w:rPr>
          <w:color w:val="000000"/>
        </w:rPr>
      </w:pPr>
      <w:r>
        <w:rPr/>
      </w:r>
    </w:p>
    <w:p>
      <w:pPr>
        <w:pStyle w:val="LO-normal"/>
        <w:numPr>
          <w:ilvl w:val="0"/>
          <w:numId w:val="5"/>
        </w:numPr>
        <w:spacing w:lineRule="auto" w:line="240" w:before="0" w:after="0"/>
        <w:ind w:hanging="426" w:left="426" w:right="142"/>
        <w:jc w:val="both"/>
        <w:rPr/>
      </w:pPr>
      <w:r>
        <w:rPr>
          <w:rFonts w:eastAsia="Calibri" w:cs="Calibri" w:ascii="Calibri" w:hAnsi="Calibri"/>
          <w:b/>
          <w:color w:val="000000"/>
          <w:sz w:val="20"/>
          <w:szCs w:val="20"/>
        </w:rPr>
        <w:t>DA</w:t>
      </w:r>
      <w:r>
        <w:rPr>
          <w:rFonts w:eastAsia="Calibri" w:cs="Calibri" w:ascii="Calibri" w:hAnsi="Calibri"/>
          <w:b/>
          <w:i/>
          <w:color w:val="000000"/>
          <w:sz w:val="20"/>
          <w:szCs w:val="20"/>
        </w:rPr>
        <w:t xml:space="preserve"> </w:t>
      </w:r>
      <w:r>
        <w:rPr>
          <w:rFonts w:eastAsia="Calibri" w:cs="Calibri" w:ascii="Calibri" w:hAnsi="Calibri"/>
          <w:b/>
          <w:color w:val="000000"/>
          <w:sz w:val="20"/>
          <w:szCs w:val="20"/>
        </w:rPr>
        <w:t xml:space="preserve">CLASSIFICAÇÃO ORÇAMENTÁRIA DA DESPESA E DO BENEFÍCIO PREVISTO NA LEI COMPLEMENTAR </w:t>
      </w:r>
      <w:r>
        <w:rPr>
          <w:rFonts w:eastAsia="Calibri" w:cs="Calibri" w:ascii="Calibri" w:hAnsi="Calibri"/>
          <w:b/>
          <w:sz w:val="20"/>
          <w:szCs w:val="20"/>
        </w:rPr>
        <w:t xml:space="preserve">Nº </w:t>
      </w:r>
      <w:r>
        <w:rPr>
          <w:rFonts w:eastAsia="Calibri" w:cs="Calibri" w:ascii="Calibri" w:hAnsi="Calibri"/>
          <w:b/>
          <w:color w:val="000000"/>
          <w:sz w:val="20"/>
          <w:szCs w:val="20"/>
        </w:rPr>
        <w:t>123/2006</w:t>
      </w:r>
    </w:p>
    <w:p>
      <w:pPr>
        <w:pStyle w:val="LO-normal"/>
        <w:keepNext w:val="true"/>
        <w:keepLines/>
        <w:spacing w:before="0" w:after="0"/>
        <w:ind w:hanging="0" w:right="142"/>
        <w:jc w:val="both"/>
        <w:rPr>
          <w:rFonts w:ascii="Calibri" w:hAnsi="Calibri" w:eastAsia="Calibri" w:cs="Calibri"/>
          <w:color w:val="000000"/>
          <w:sz w:val="20"/>
          <w:szCs w:val="20"/>
        </w:rPr>
      </w:pPr>
      <w:r>
        <w:rPr>
          <w:rFonts w:eastAsia="Calibri" w:cs="Calibri" w:ascii="Calibri" w:hAnsi="Calibri"/>
          <w:color w:val="000000"/>
          <w:sz w:val="20"/>
          <w:szCs w:val="20"/>
        </w:rPr>
      </w:r>
    </w:p>
    <w:p>
      <w:pPr>
        <w:pStyle w:val="LO-normal"/>
        <w:numPr>
          <w:ilvl w:val="1"/>
          <w:numId w:val="5"/>
        </w:numPr>
        <w:spacing w:lineRule="auto" w:line="240" w:before="0" w:after="0"/>
        <w:ind w:hanging="426" w:left="426" w:right="-285"/>
        <w:jc w:val="both"/>
        <w:rPr/>
      </w:pPr>
      <w:r>
        <w:rPr>
          <w:rFonts w:eastAsia="Calibri" w:cs="Calibri" w:ascii="Calibri" w:hAnsi="Calibri"/>
          <w:b/>
          <w:color w:val="000000"/>
          <w:sz w:val="20"/>
          <w:szCs w:val="20"/>
        </w:rPr>
        <w:t>CLASSIFICAÇÃO ORÇAMENTÁRIA DA DESPESA</w:t>
      </w:r>
    </w:p>
    <w:p>
      <w:pPr>
        <w:pStyle w:val="LO-normal"/>
        <w:numPr>
          <w:ilvl w:val="2"/>
          <w:numId w:val="5"/>
        </w:numPr>
        <w:spacing w:before="240" w:after="240"/>
        <w:ind w:hanging="709" w:left="709" w:right="142"/>
        <w:jc w:val="both"/>
        <w:rPr/>
      </w:pPr>
      <w:r>
        <w:rPr>
          <w:rFonts w:eastAsia="Calibri" w:cs="Calibri" w:ascii="Calibri" w:hAnsi="Calibri"/>
          <w:color w:val="000000"/>
          <w:sz w:val="20"/>
          <w:szCs w:val="20"/>
        </w:rPr>
        <w:t>As despesas decorrentes desta contratação estão programadas em dotação orçamentária própria, prevista no orçamento do Estado de Pernambuco, para o exercício de 2024, na classificação abaixo:</w:t>
      </w:r>
    </w:p>
    <w:p>
      <w:pPr>
        <w:pStyle w:val="LO-normal"/>
        <w:rPr>
          <w:color w:val="000000"/>
        </w:rPr>
      </w:pPr>
      <w:r>
        <w:rPr>
          <w:rFonts w:cs="Calibri" w:ascii="Calibri" w:hAnsi="Calibri"/>
          <w:color w:val="000000"/>
          <w:sz w:val="20"/>
          <w:szCs w:val="20"/>
        </w:rPr>
        <w:t>Fonte:</w:t>
      </w:r>
      <w:r>
        <w:rPr>
          <w:rFonts w:cs="Calibri" w:ascii="Calibri" w:hAnsi="Calibri"/>
          <w:bCs/>
          <w:color w:val="000000"/>
          <w:sz w:val="20"/>
          <w:szCs w:val="20"/>
        </w:rPr>
        <w:t xml:space="preserve"> 0753</w:t>
      </w:r>
      <w:r>
        <w:rPr>
          <w:rFonts w:cs="Calibri" w:ascii="Calibri" w:hAnsi="Calibri"/>
          <w:color w:val="000000"/>
          <w:sz w:val="20"/>
          <w:szCs w:val="20"/>
        </w:rPr>
        <w:t>;</w:t>
      </w:r>
    </w:p>
    <w:p>
      <w:pPr>
        <w:pStyle w:val="LO-normal"/>
        <w:rPr>
          <w:color w:val="000000"/>
        </w:rPr>
      </w:pPr>
      <w:r>
        <w:rPr>
          <w:rFonts w:cs="Calibri" w:ascii="Calibri" w:hAnsi="Calibri"/>
          <w:color w:val="000000"/>
          <w:sz w:val="20"/>
          <w:szCs w:val="20"/>
        </w:rPr>
        <w:t>Unidade Orçamentária:</w:t>
      </w:r>
      <w:r>
        <w:rPr>
          <w:rFonts w:cs="Calibri" w:ascii="Calibri" w:hAnsi="Calibri"/>
          <w:bCs/>
          <w:color w:val="000000"/>
          <w:sz w:val="20"/>
          <w:szCs w:val="20"/>
        </w:rPr>
        <w:t xml:space="preserve"> 00309</w:t>
      </w:r>
      <w:r>
        <w:rPr>
          <w:rFonts w:cs="Calibri" w:ascii="Calibri" w:hAnsi="Calibri"/>
          <w:color w:val="000000"/>
          <w:sz w:val="20"/>
          <w:szCs w:val="20"/>
        </w:rPr>
        <w:t>;</w:t>
      </w:r>
    </w:p>
    <w:p>
      <w:pPr>
        <w:pStyle w:val="LO-normal"/>
        <w:rPr>
          <w:color w:val="000000"/>
        </w:rPr>
      </w:pPr>
      <w:r>
        <w:rPr>
          <w:rFonts w:cs="Calibri" w:ascii="Calibri" w:hAnsi="Calibri"/>
          <w:color w:val="000000"/>
          <w:sz w:val="20"/>
          <w:szCs w:val="20"/>
        </w:rPr>
        <w:t>Elemento de Despesa:</w:t>
      </w:r>
      <w:r>
        <w:rPr>
          <w:rFonts w:cs="Calibri" w:ascii="Calibri" w:hAnsi="Calibri"/>
          <w:bCs/>
          <w:color w:val="000000"/>
          <w:sz w:val="20"/>
          <w:szCs w:val="20"/>
        </w:rPr>
        <w:t xml:space="preserve"> 610600 / 610601</w:t>
      </w:r>
      <w:r>
        <w:rPr>
          <w:rFonts w:cs="Calibri" w:ascii="Calibri" w:hAnsi="Calibri"/>
          <w:color w:val="000000"/>
          <w:sz w:val="20"/>
          <w:szCs w:val="20"/>
        </w:rPr>
        <w:t>;</w:t>
      </w:r>
    </w:p>
    <w:p>
      <w:pPr>
        <w:pStyle w:val="LO-normal"/>
        <w:rPr>
          <w:color w:val="000000"/>
        </w:rPr>
      </w:pPr>
      <w:r>
        <w:rPr>
          <w:rFonts w:cs="Calibri" w:ascii="Calibri" w:hAnsi="Calibri"/>
          <w:color w:val="000000"/>
          <w:sz w:val="20"/>
          <w:szCs w:val="20"/>
        </w:rPr>
        <w:t>Atividade (Programa de Trabalho):</w:t>
      </w:r>
      <w:r>
        <w:rPr>
          <w:rFonts w:cs="Calibri" w:ascii="Calibri" w:hAnsi="Calibri"/>
          <w:bCs/>
          <w:color w:val="000000"/>
          <w:sz w:val="20"/>
          <w:szCs w:val="20"/>
        </w:rPr>
        <w:t xml:space="preserve"> 0450</w:t>
      </w:r>
      <w:r>
        <w:rPr>
          <w:rFonts w:cs="Calibri" w:ascii="Calibri" w:hAnsi="Calibri"/>
          <w:color w:val="000000"/>
          <w:sz w:val="20"/>
          <w:szCs w:val="20"/>
        </w:rPr>
        <w:t>.</w:t>
      </w:r>
    </w:p>
    <w:p>
      <w:pPr>
        <w:pStyle w:val="LO-normal"/>
        <w:numPr>
          <w:ilvl w:val="2"/>
          <w:numId w:val="5"/>
        </w:numPr>
        <w:spacing w:before="240" w:after="240"/>
        <w:ind w:hanging="709" w:left="709" w:right="142"/>
        <w:jc w:val="both"/>
        <w:rPr/>
      </w:pPr>
      <w:r>
        <w:rPr>
          <w:rFonts w:eastAsia="Calibri" w:cs="Calibri" w:ascii="Calibri" w:hAnsi="Calibri"/>
          <w:sz w:val="20"/>
          <w:szCs w:val="20"/>
        </w:rPr>
        <w:t>Caso ultrapasse o exercício financeiro, as despesas do exercício seguinte correrão a conta dos recursos próprios para atender às despesas da mesma natureza, cuja alocação será feita mediante apostilamento no início de cada exercício financeiro, nos termos do art. 105, caput da Lei nº 14.133/21.</w:t>
      </w:r>
    </w:p>
    <w:p>
      <w:pPr>
        <w:pStyle w:val="LO-normal"/>
        <w:numPr>
          <w:ilvl w:val="1"/>
          <w:numId w:val="5"/>
        </w:numPr>
        <w:spacing w:lineRule="auto" w:line="240" w:before="0" w:after="0"/>
        <w:ind w:hanging="426" w:left="426" w:right="142"/>
        <w:jc w:val="both"/>
        <w:rPr/>
      </w:pPr>
      <w:r>
        <w:rPr>
          <w:rFonts w:eastAsia="Calibri" w:cs="Calibri" w:ascii="Calibri" w:hAnsi="Calibri"/>
          <w:b/>
          <w:sz w:val="20"/>
          <w:szCs w:val="20"/>
        </w:rPr>
        <w:t xml:space="preserve"> </w:t>
      </w:r>
      <w:r>
        <w:rPr>
          <w:rFonts w:eastAsia="Calibri" w:cs="Calibri" w:ascii="Calibri" w:hAnsi="Calibri"/>
          <w:b/>
          <w:color w:val="000000"/>
          <w:sz w:val="20"/>
          <w:szCs w:val="20"/>
        </w:rPr>
        <w:t xml:space="preserve">JUSTIFICATIVA PARA APLICAÇÃO OU NÃO DO BENEFÍCIO PREVISTO NA LEI COMPLEMENTAR Nº 123/2006 </w:t>
      </w:r>
    </w:p>
    <w:p>
      <w:pPr>
        <w:pStyle w:val="LO-normal"/>
        <w:spacing w:lineRule="auto" w:line="240" w:before="0" w:after="0"/>
        <w:ind w:hanging="0" w:right="142"/>
        <w:jc w:val="both"/>
        <w:rPr>
          <w:rFonts w:ascii="Calibri" w:hAnsi="Calibri" w:eastAsia="Calibri" w:cs="Calibri"/>
          <w:color w:val="000000"/>
          <w:sz w:val="20"/>
          <w:szCs w:val="20"/>
        </w:rPr>
      </w:pPr>
      <w:r>
        <w:rPr>
          <w:rFonts w:eastAsia="Calibri" w:cs="Calibri" w:ascii="Calibri" w:hAnsi="Calibri"/>
          <w:color w:val="000000"/>
          <w:sz w:val="20"/>
          <w:szCs w:val="20"/>
        </w:rPr>
      </w:r>
    </w:p>
    <w:p>
      <w:pPr>
        <w:pStyle w:val="Normal"/>
        <w:ind w:hanging="0" w:left="426"/>
        <w:jc w:val="both"/>
        <w:rPr/>
      </w:pPr>
      <w:r>
        <w:rPr>
          <w:rFonts w:eastAsia="Calibri" w:cs="Calibri"/>
          <w:color w:val="000000"/>
          <w:sz w:val="20"/>
          <w:szCs w:val="20"/>
        </w:rPr>
        <w:t>De acordo com o que preceitua o art. 49, inciso IV, da Lei Complementar nº 123/2006, as contratações com base no art. 75, inc. II da Lei nº 14.133/21 deverão ser realizadas preferencialmente com microempresas e empresas de pequeno porte (EM/EPP).</w:t>
        <w:br/>
      </w:r>
    </w:p>
    <w:p>
      <w:pPr>
        <w:pStyle w:val="LO-normal"/>
        <w:numPr>
          <w:ilvl w:val="0"/>
          <w:numId w:val="5"/>
        </w:numPr>
        <w:spacing w:lineRule="auto" w:line="240" w:before="0" w:after="0"/>
        <w:ind w:hanging="426" w:left="426" w:right="142"/>
        <w:jc w:val="both"/>
        <w:rPr/>
      </w:pPr>
      <w:r>
        <w:rPr>
          <w:rFonts w:eastAsia="Calibri" w:cs="Calibri" w:ascii="Calibri" w:hAnsi="Calibri"/>
          <w:b/>
          <w:color w:val="000000"/>
          <w:sz w:val="20"/>
          <w:szCs w:val="20"/>
        </w:rPr>
        <w:t>PROPOSTA</w:t>
      </w:r>
    </w:p>
    <w:p>
      <w:pPr>
        <w:pStyle w:val="LO-normal"/>
        <w:spacing w:lineRule="auto" w:line="240" w:before="0" w:after="0"/>
        <w:ind w:hanging="0" w:right="142"/>
        <w:jc w:val="both"/>
        <w:rPr>
          <w:rFonts w:ascii="Calibri" w:hAnsi="Calibri" w:eastAsia="Calibri" w:cs="Calibri"/>
          <w:sz w:val="20"/>
          <w:szCs w:val="20"/>
        </w:rPr>
      </w:pPr>
      <w:r>
        <w:rPr>
          <w:rFonts w:eastAsia="Calibri" w:cs="Calibri" w:ascii="Calibri" w:hAnsi="Calibri"/>
          <w:sz w:val="20"/>
          <w:szCs w:val="20"/>
        </w:rPr>
      </w:r>
    </w:p>
    <w:p>
      <w:pPr>
        <w:pStyle w:val="LO-normal"/>
        <w:numPr>
          <w:ilvl w:val="1"/>
          <w:numId w:val="6"/>
        </w:numPr>
        <w:spacing w:lineRule="auto" w:line="240" w:before="0" w:after="0"/>
        <w:ind w:hanging="426" w:left="426" w:right="142"/>
        <w:jc w:val="both"/>
        <w:rPr/>
      </w:pPr>
      <w:r>
        <w:rPr>
          <w:rFonts w:eastAsia="Calibri" w:cs="Calibri" w:ascii="Calibri" w:hAnsi="Calibri"/>
          <w:b/>
          <w:color w:val="000000"/>
          <w:sz w:val="20"/>
          <w:szCs w:val="20"/>
        </w:rPr>
        <w:t>PRAZO DE VALIDADE DA PROPOSTA</w:t>
      </w:r>
    </w:p>
    <w:p>
      <w:pPr>
        <w:pStyle w:val="LO-normal"/>
        <w:spacing w:lineRule="auto" w:line="240" w:before="0" w:after="0"/>
        <w:ind w:hanging="0" w:right="142"/>
        <w:jc w:val="both"/>
        <w:rPr>
          <w:rFonts w:ascii="Calibri" w:hAnsi="Calibri" w:eastAsia="Calibri" w:cs="Calibri"/>
          <w:color w:val="000000"/>
          <w:sz w:val="20"/>
          <w:szCs w:val="20"/>
        </w:rPr>
      </w:pPr>
      <w:r>
        <w:rPr>
          <w:rFonts w:eastAsia="Calibri" w:cs="Calibri" w:ascii="Calibri" w:hAnsi="Calibri"/>
          <w:color w:val="000000"/>
          <w:sz w:val="20"/>
          <w:szCs w:val="20"/>
        </w:rPr>
      </w:r>
    </w:p>
    <w:p>
      <w:pPr>
        <w:pStyle w:val="LO-normal"/>
        <w:spacing w:lineRule="auto" w:line="240" w:before="0" w:after="0"/>
        <w:ind w:hanging="0" w:left="426" w:right="142"/>
        <w:jc w:val="both"/>
        <w:rPr/>
      </w:pPr>
      <w:r>
        <w:rPr>
          <w:rFonts w:eastAsia="Calibri" w:cs="Calibri" w:ascii="Calibri" w:hAnsi="Calibri"/>
          <w:color w:val="000000"/>
          <w:sz w:val="20"/>
          <w:szCs w:val="20"/>
        </w:rPr>
        <w:t>As propostas deverão ter validade de, no mínimo, 60 (sessenta) dias, contados da data da sua apresentação, independente de declaração da empresa.</w:t>
      </w:r>
    </w:p>
    <w:p>
      <w:pPr>
        <w:pStyle w:val="Normal"/>
        <w:ind w:hanging="0" w:left="-11" w:right="-285"/>
        <w:jc w:val="both"/>
        <w:rPr>
          <w:rFonts w:ascii="Calibri" w:hAnsi="Calibri" w:cs="Calibri"/>
          <w:sz w:val="20"/>
          <w:szCs w:val="20"/>
          <w:u w:val="single"/>
        </w:rPr>
      </w:pPr>
      <w:r>
        <w:rPr>
          <w:rFonts w:cs="Calibri"/>
          <w:sz w:val="20"/>
          <w:szCs w:val="20"/>
          <w:u w:val="single"/>
        </w:rPr>
      </w:r>
    </w:p>
    <w:p>
      <w:pPr>
        <w:pStyle w:val="LO-normal"/>
        <w:numPr>
          <w:ilvl w:val="0"/>
          <w:numId w:val="5"/>
        </w:numPr>
        <w:spacing w:before="0" w:after="0"/>
        <w:ind w:hanging="360" w:left="360" w:right="142"/>
        <w:jc w:val="both"/>
        <w:rPr/>
      </w:pPr>
      <w:r>
        <w:rPr>
          <w:rFonts w:eastAsia="Calibri" w:cs="Calibri" w:ascii="Calibri" w:hAnsi="Calibri"/>
          <w:b/>
          <w:color w:val="000000"/>
          <w:sz w:val="20"/>
          <w:szCs w:val="20"/>
        </w:rPr>
        <w:t>DOS DOCUMENTOS DE HABILITAÇÃO</w:t>
      </w:r>
    </w:p>
    <w:p>
      <w:pPr>
        <w:pStyle w:val="LO-normal"/>
        <w:spacing w:lineRule="auto" w:line="240" w:before="0" w:after="0"/>
        <w:ind w:hanging="0" w:left="720" w:right="142"/>
        <w:jc w:val="both"/>
        <w:rPr>
          <w:rFonts w:ascii="Calibri" w:hAnsi="Calibri" w:eastAsia="Calibri" w:cs="Calibri"/>
          <w:b/>
          <w:color w:val="000000"/>
          <w:sz w:val="20"/>
          <w:szCs w:val="20"/>
          <w:u w:val="single"/>
        </w:rPr>
      </w:pPr>
      <w:r>
        <w:rPr>
          <w:rFonts w:eastAsia="Calibri" w:cs="Calibri" w:ascii="Calibri" w:hAnsi="Calibri"/>
          <w:b/>
          <w:color w:val="000000"/>
          <w:sz w:val="20"/>
          <w:szCs w:val="20"/>
          <w:u w:val="single"/>
        </w:rPr>
      </w:r>
    </w:p>
    <w:p>
      <w:pPr>
        <w:pStyle w:val="LO-normal"/>
        <w:numPr>
          <w:ilvl w:val="0"/>
          <w:numId w:val="0"/>
        </w:numPr>
        <w:spacing w:lineRule="auto" w:line="240" w:before="0" w:after="0"/>
        <w:ind w:hanging="0" w:left="0" w:right="142"/>
        <w:jc w:val="both"/>
        <w:rPr/>
      </w:pPr>
      <w:r>
        <w:rPr>
          <w:rFonts w:cs="Arial" w:ascii="Calibri" w:hAnsi="Calibri"/>
          <w:b/>
          <w:sz w:val="20"/>
          <w:szCs w:val="20"/>
        </w:rPr>
        <w:t>6.1  HABILITAÇÃO JURÍDICA:</w:t>
      </w:r>
    </w:p>
    <w:p>
      <w:pPr>
        <w:pStyle w:val="Normal"/>
        <w:tabs>
          <w:tab w:val="clear" w:pos="720"/>
          <w:tab w:val="left" w:pos="851" w:leader="none"/>
        </w:tabs>
        <w:ind w:hanging="0" w:left="600"/>
        <w:jc w:val="both"/>
        <w:rPr>
          <w:rFonts w:ascii="Calibri" w:hAnsi="Calibri" w:cs="Arial"/>
          <w:b/>
          <w:sz w:val="20"/>
          <w:szCs w:val="20"/>
        </w:rPr>
      </w:pPr>
      <w:r>
        <w:rPr>
          <w:rFonts w:cs="Arial"/>
          <w:b/>
          <w:sz w:val="20"/>
          <w:szCs w:val="20"/>
        </w:rPr>
      </w:r>
    </w:p>
    <w:p>
      <w:pPr>
        <w:pStyle w:val="LO-normal"/>
        <w:numPr>
          <w:ilvl w:val="2"/>
          <w:numId w:val="7"/>
        </w:numPr>
        <w:rPr>
          <w:rFonts w:ascii="Calibri" w:hAnsi="Calibri"/>
          <w:sz w:val="20"/>
          <w:szCs w:val="20"/>
        </w:rPr>
      </w:pPr>
      <w:r>
        <w:rPr>
          <w:rFonts w:ascii="Calibri" w:hAnsi="Calibri"/>
          <w:sz w:val="20"/>
          <w:szCs w:val="20"/>
        </w:rPr>
        <w:t>Registro comercial, no caso de empresa individual; ato constitutivo, estatuto ou contrato social em vigor, devidamente registrado, em se tratando de sociedades comerciais, e, no caso de sociedades por ações, acompanhado de documentos de eleição de seus administradores; ou inscrição do ato constitutivo, no caso de sociedades civis, acompanhada de prova de diretoria em exercício.</w:t>
      </w:r>
    </w:p>
    <w:p>
      <w:pPr>
        <w:pStyle w:val="LO-normal"/>
        <w:numPr>
          <w:ilvl w:val="2"/>
          <w:numId w:val="7"/>
        </w:numPr>
        <w:rPr>
          <w:rFonts w:ascii="Calibri" w:hAnsi="Calibri"/>
          <w:sz w:val="20"/>
          <w:szCs w:val="20"/>
        </w:rPr>
      </w:pPr>
      <w:r>
        <w:rPr>
          <w:rFonts w:ascii="Calibri" w:hAnsi="Calibri"/>
          <w:sz w:val="20"/>
          <w:szCs w:val="20"/>
        </w:rPr>
        <w:t>Decreto de autorização, em se tratando de empresa ou sociedade estrangeira em funcionamento no País, e ato de registro ou autorização para funcionamento expedido pelo órgão competente, quando a atividade assim o exigir.</w:t>
      </w:r>
    </w:p>
    <w:p>
      <w:pPr>
        <w:pStyle w:val="Normal"/>
        <w:tabs>
          <w:tab w:val="clear" w:pos="720"/>
          <w:tab w:val="left" w:pos="851" w:leader="none"/>
        </w:tabs>
        <w:ind w:hanging="0" w:left="600"/>
        <w:jc w:val="both"/>
        <w:rPr>
          <w:rFonts w:ascii="Calibri" w:hAnsi="Calibri" w:cs="Arial"/>
          <w:b/>
          <w:sz w:val="20"/>
          <w:szCs w:val="20"/>
        </w:rPr>
      </w:pPr>
      <w:r>
        <w:rPr>
          <w:rFonts w:cs="Arial"/>
          <w:b/>
          <w:sz w:val="20"/>
          <w:szCs w:val="20"/>
        </w:rPr>
      </w:r>
    </w:p>
    <w:p>
      <w:pPr>
        <w:pStyle w:val="LO-normal"/>
        <w:numPr>
          <w:ilvl w:val="1"/>
          <w:numId w:val="7"/>
        </w:numPr>
        <w:rPr>
          <w:rFonts w:ascii="Calibri" w:hAnsi="Calibri"/>
          <w:b/>
          <w:bCs/>
          <w:sz w:val="20"/>
          <w:szCs w:val="20"/>
        </w:rPr>
      </w:pPr>
      <w:r>
        <w:rPr>
          <w:rFonts w:ascii="Calibri" w:hAnsi="Calibri"/>
          <w:b/>
          <w:bCs/>
          <w:sz w:val="20"/>
          <w:szCs w:val="20"/>
        </w:rPr>
        <w:t xml:space="preserve">REGULARIDADE SOCIAL </w:t>
      </w:r>
    </w:p>
    <w:p>
      <w:pPr>
        <w:pStyle w:val="LO-normal"/>
        <w:numPr>
          <w:ilvl w:val="2"/>
          <w:numId w:val="7"/>
        </w:numPr>
        <w:rPr/>
      </w:pPr>
      <w:r>
        <w:rPr>
          <w:rFonts w:cs="Arial" w:ascii="Calibri" w:hAnsi="Calibri"/>
          <w:sz w:val="20"/>
          <w:szCs w:val="20"/>
        </w:rPr>
        <w:t xml:space="preserve">Declaração de comprovação do cumprimento do disposto no </w:t>
      </w:r>
      <w:r>
        <w:fldChar w:fldCharType="begin"/>
      </w:r>
      <w:r>
        <w:rPr>
          <w:rStyle w:val="Hyperlink"/>
          <w:u w:val="none"/>
          <w:rFonts w:cs="Arial" w:ascii="Calibri" w:hAnsi="Calibri"/>
          <w:color w:val="auto"/>
        </w:rPr>
        <w:instrText xml:space="preserve"> HYPERLINK "http://www.planalto.gov.br/ccivil_03/Constituicao/Constituicao.htm" \l "art7xxxiii"</w:instrText>
      </w:r>
      <w:r>
        <w:rPr>
          <w:rStyle w:val="Hyperlink"/>
          <w:u w:val="none"/>
          <w:rFonts w:cs="Arial" w:ascii="Calibri" w:hAnsi="Calibri"/>
          <w:color w:val="auto"/>
        </w:rPr>
        <w:fldChar w:fldCharType="separate"/>
      </w:r>
      <w:r>
        <w:rPr>
          <w:rStyle w:val="Hyperlink"/>
          <w:rFonts w:cs="Arial" w:ascii="Calibri" w:hAnsi="Calibri"/>
          <w:color w:val="auto"/>
          <w:u w:val="none"/>
        </w:rPr>
        <w:t>inciso XXXIII do art. 7º da Constituição Federal.</w:t>
      </w:r>
      <w:r>
        <w:rPr>
          <w:rStyle w:val="Hyperlink"/>
          <w:u w:val="none"/>
          <w:rFonts w:cs="Arial" w:ascii="Calibri" w:hAnsi="Calibri"/>
          <w:color w:val="auto"/>
        </w:rPr>
        <w:fldChar w:fldCharType="end"/>
      </w:r>
    </w:p>
    <w:p>
      <w:pPr>
        <w:pStyle w:val="LO-normal"/>
        <w:rPr>
          <w:rFonts w:ascii="Calibri" w:hAnsi="Calibri"/>
          <w:sz w:val="20"/>
          <w:szCs w:val="20"/>
        </w:rPr>
      </w:pPr>
      <w:r>
        <w:rPr>
          <w:rFonts w:cs="Arial" w:ascii="Calibri" w:hAnsi="Calibri"/>
          <w:b/>
          <w:sz w:val="20"/>
          <w:szCs w:val="20"/>
        </w:rPr>
        <w:t xml:space="preserve"> </w:t>
      </w:r>
    </w:p>
    <w:p>
      <w:pPr>
        <w:pStyle w:val="LO-normal"/>
        <w:rPr>
          <w:rFonts w:ascii="Calibri" w:hAnsi="Calibri"/>
          <w:sz w:val="20"/>
          <w:szCs w:val="20"/>
        </w:rPr>
      </w:pPr>
      <w:r>
        <w:rPr/>
      </w:r>
    </w:p>
    <w:p>
      <w:pPr>
        <w:pStyle w:val="LO-normal"/>
        <w:rPr>
          <w:rFonts w:ascii="Calibri" w:hAnsi="Calibri"/>
          <w:sz w:val="20"/>
          <w:szCs w:val="20"/>
        </w:rPr>
      </w:pPr>
      <w:r>
        <w:rPr>
          <w:rFonts w:ascii="Calibri" w:hAnsi="Calibri"/>
          <w:b/>
          <w:bCs/>
          <w:sz w:val="20"/>
          <w:szCs w:val="20"/>
        </w:rPr>
        <w:t>7.   DO CONTRATO</w:t>
      </w:r>
    </w:p>
    <w:p>
      <w:pPr>
        <w:pStyle w:val="LO-normal"/>
        <w:tabs>
          <w:tab w:val="clear" w:pos="720"/>
          <w:tab w:val="left" w:pos="379" w:leader="none"/>
          <w:tab w:val="left" w:pos="395" w:leader="none"/>
        </w:tabs>
        <w:rPr>
          <w:rFonts w:ascii="Calibri" w:hAnsi="Calibri"/>
          <w:sz w:val="20"/>
          <w:szCs w:val="20"/>
        </w:rPr>
      </w:pPr>
      <w:r>
        <w:rPr>
          <w:rFonts w:ascii="Calibri" w:hAnsi="Calibri"/>
          <w:b/>
          <w:bCs/>
          <w:sz w:val="20"/>
          <w:szCs w:val="20"/>
        </w:rPr>
        <w:t>7.1</w:t>
      </w:r>
      <w:r>
        <w:rPr>
          <w:rFonts w:ascii="Calibri" w:hAnsi="Calibri"/>
          <w:sz w:val="20"/>
          <w:szCs w:val="20"/>
        </w:rPr>
        <w:t xml:space="preserve">    A contratação será efetivada por meio de Nota de Empenho acompanhada de autorização de compra ou ordem de execução de serviço, nos termos do art. 95 da Lei nº 14.133/2021.</w:t>
        <w:br/>
        <w:br/>
      </w:r>
      <w:r>
        <w:rPr>
          <w:rFonts w:ascii="Calibri" w:hAnsi="Calibri"/>
          <w:b/>
          <w:bCs/>
          <w:sz w:val="20"/>
          <w:szCs w:val="20"/>
        </w:rPr>
        <w:t xml:space="preserve">7.2 </w:t>
      </w:r>
      <w:r>
        <w:rPr>
          <w:rFonts w:ascii="Calibri" w:hAnsi="Calibri"/>
          <w:sz w:val="20"/>
          <w:szCs w:val="20"/>
        </w:rPr>
        <w:t xml:space="preserve">  </w:t>
      </w:r>
      <w:r>
        <w:rPr>
          <w:rFonts w:ascii="Calibri" w:hAnsi="Calibri"/>
          <w:b/>
          <w:bCs/>
          <w:sz w:val="20"/>
          <w:szCs w:val="20"/>
        </w:rPr>
        <w:t xml:space="preserve">OBRIGAÇÕES DA CONTRATANTE </w:t>
      </w:r>
    </w:p>
    <w:p>
      <w:pPr>
        <w:pStyle w:val="LO-normal"/>
        <w:rPr>
          <w:rFonts w:ascii="Calibri" w:hAnsi="Calibri"/>
          <w:sz w:val="20"/>
          <w:szCs w:val="20"/>
        </w:rPr>
      </w:pPr>
      <w:r>
        <w:rPr>
          <w:rFonts w:cs="Calibri" w:ascii="Calibri" w:hAnsi="Calibri"/>
          <w:b/>
          <w:sz w:val="20"/>
          <w:szCs w:val="20"/>
        </w:rPr>
        <w:t xml:space="preserve">7.2.1 </w:t>
      </w:r>
      <w:r>
        <w:rPr>
          <w:rFonts w:cs="Calibri" w:ascii="Calibri" w:hAnsi="Calibri"/>
          <w:sz w:val="20"/>
          <w:szCs w:val="20"/>
        </w:rPr>
        <w:t xml:space="preserve">É dever da </w:t>
      </w:r>
      <w:r>
        <w:rPr>
          <w:rFonts w:cs="Calibri" w:ascii="Calibri" w:hAnsi="Calibri"/>
          <w:b/>
          <w:sz w:val="20"/>
          <w:szCs w:val="20"/>
        </w:rPr>
        <w:t xml:space="preserve">CONTRATANTE </w:t>
      </w:r>
      <w:r>
        <w:rPr>
          <w:rFonts w:cs="Calibri" w:ascii="Calibri" w:hAnsi="Calibri"/>
          <w:sz w:val="20"/>
          <w:szCs w:val="20"/>
        </w:rPr>
        <w:t xml:space="preserve">exigir o cumprimento de todas as obrigações assumidas pela </w:t>
      </w:r>
      <w:r>
        <w:rPr>
          <w:rFonts w:cs="Calibri" w:ascii="Calibri" w:hAnsi="Calibri"/>
          <w:b/>
          <w:sz w:val="20"/>
          <w:szCs w:val="20"/>
        </w:rPr>
        <w:t xml:space="preserve">CONTRATADA, </w:t>
      </w:r>
      <w:r>
        <w:rPr>
          <w:rFonts w:cs="Calibri" w:ascii="Calibri" w:hAnsi="Calibri"/>
          <w:sz w:val="20"/>
          <w:szCs w:val="20"/>
        </w:rPr>
        <w:t>em especial:</w:t>
      </w:r>
    </w:p>
    <w:p>
      <w:pPr>
        <w:pStyle w:val="LO-normal"/>
        <w:rPr>
          <w:rFonts w:ascii="Calibri" w:hAnsi="Calibri"/>
          <w:sz w:val="20"/>
          <w:szCs w:val="20"/>
        </w:rPr>
      </w:pPr>
      <w:r>
        <w:rPr>
          <w:rFonts w:cs="Calibri" w:ascii="Calibri" w:hAnsi="Calibri"/>
          <w:b/>
          <w:bCs/>
          <w:sz w:val="20"/>
          <w:szCs w:val="20"/>
        </w:rPr>
        <w:t>I.</w:t>
      </w:r>
      <w:r>
        <w:rPr>
          <w:rFonts w:cs="Calibri" w:ascii="Calibri" w:hAnsi="Calibri"/>
          <w:sz w:val="20"/>
          <w:szCs w:val="20"/>
        </w:rPr>
        <w:t xml:space="preserve"> Receber o objeto no prazo e condições estabelecidas no Termo de Referência;</w:t>
      </w:r>
    </w:p>
    <w:p>
      <w:pPr>
        <w:pStyle w:val="LO-normal"/>
        <w:rPr>
          <w:rFonts w:ascii="Calibri" w:hAnsi="Calibri"/>
          <w:sz w:val="20"/>
          <w:szCs w:val="20"/>
        </w:rPr>
      </w:pPr>
      <w:r>
        <w:rPr>
          <w:rFonts w:cs="Calibri" w:ascii="Calibri" w:hAnsi="Calibri"/>
          <w:b/>
          <w:bCs/>
          <w:sz w:val="20"/>
          <w:szCs w:val="20"/>
        </w:rPr>
        <w:t>II.</w:t>
      </w:r>
      <w:r>
        <w:rPr>
          <w:rFonts w:cs="Calibri" w:ascii="Calibri" w:hAnsi="Calibri"/>
          <w:sz w:val="20"/>
          <w:szCs w:val="20"/>
        </w:rPr>
        <w:t xml:space="preserve"> Acompanhar e fiscalizar a execução do objeto contratado, através de servidor designado para este fim;</w:t>
      </w:r>
    </w:p>
    <w:p>
      <w:pPr>
        <w:pStyle w:val="LO-normal"/>
        <w:rPr>
          <w:rFonts w:ascii="Calibri" w:hAnsi="Calibri"/>
          <w:sz w:val="20"/>
          <w:szCs w:val="20"/>
        </w:rPr>
      </w:pPr>
      <w:r>
        <w:rPr>
          <w:rFonts w:cs="Calibri" w:ascii="Calibri" w:hAnsi="Calibri"/>
          <w:b/>
          <w:bCs/>
          <w:sz w:val="20"/>
          <w:szCs w:val="20"/>
        </w:rPr>
        <w:t>III.</w:t>
      </w:r>
      <w:r>
        <w:rPr>
          <w:rFonts w:cs="Calibri" w:ascii="Calibri" w:hAnsi="Calibri"/>
          <w:sz w:val="20"/>
          <w:szCs w:val="20"/>
        </w:rPr>
        <w:t xml:space="preserve"> Informar à </w:t>
      </w:r>
      <w:r>
        <w:rPr>
          <w:rFonts w:cs="Calibri" w:ascii="Calibri" w:hAnsi="Calibri"/>
          <w:b/>
          <w:sz w:val="20"/>
          <w:szCs w:val="20"/>
        </w:rPr>
        <w:t>CONTRATADA</w:t>
      </w:r>
      <w:r>
        <w:rPr>
          <w:rFonts w:cs="Calibri" w:ascii="Calibri" w:hAnsi="Calibri"/>
          <w:sz w:val="20"/>
          <w:szCs w:val="20"/>
        </w:rPr>
        <w:t xml:space="preserve"> as normas e procedimentos de acesso às suas instalações para entrega dos bens;</w:t>
      </w:r>
    </w:p>
    <w:p>
      <w:pPr>
        <w:pStyle w:val="LO-normal"/>
        <w:rPr>
          <w:rFonts w:ascii="Calibri" w:hAnsi="Calibri"/>
          <w:sz w:val="20"/>
          <w:szCs w:val="20"/>
        </w:rPr>
      </w:pPr>
      <w:r>
        <w:rPr>
          <w:rFonts w:cs="Calibri" w:ascii="Calibri" w:hAnsi="Calibri"/>
          <w:b/>
          <w:bCs/>
          <w:sz w:val="20"/>
          <w:szCs w:val="20"/>
        </w:rPr>
        <w:t>IV.</w:t>
      </w:r>
      <w:r>
        <w:rPr>
          <w:rFonts w:cs="Calibri" w:ascii="Calibri" w:hAnsi="Calibri"/>
          <w:sz w:val="20"/>
          <w:szCs w:val="20"/>
        </w:rPr>
        <w:t xml:space="preserve"> Verificar a conformidade dos bens entregues com as especificações e quantidades exigidas, inclusive quanto à marca indicada na proposta;</w:t>
      </w:r>
    </w:p>
    <w:p>
      <w:pPr>
        <w:pStyle w:val="LO-normal"/>
        <w:jc w:val="both"/>
        <w:rPr>
          <w:rFonts w:ascii="Calibri" w:hAnsi="Calibri"/>
          <w:sz w:val="20"/>
          <w:szCs w:val="20"/>
        </w:rPr>
      </w:pPr>
      <w:r>
        <w:rPr>
          <w:rFonts w:cs="Calibri" w:ascii="Calibri" w:hAnsi="Calibri"/>
          <w:b/>
          <w:bCs/>
          <w:sz w:val="20"/>
          <w:szCs w:val="20"/>
        </w:rPr>
        <w:t>V.</w:t>
      </w:r>
      <w:r>
        <w:rPr>
          <w:rFonts w:cs="Calibri" w:ascii="Calibri" w:hAnsi="Calibri"/>
          <w:sz w:val="20"/>
          <w:szCs w:val="20"/>
        </w:rPr>
        <w:t xml:space="preserve"> Promover o recebimento provisório e definitivo do objeto;</w:t>
      </w:r>
    </w:p>
    <w:p>
      <w:pPr>
        <w:pStyle w:val="LO-normal"/>
        <w:rPr>
          <w:rFonts w:ascii="Calibri" w:hAnsi="Calibri"/>
          <w:sz w:val="20"/>
          <w:szCs w:val="20"/>
        </w:rPr>
      </w:pPr>
      <w:r>
        <w:rPr>
          <w:rFonts w:cs="Calibri" w:ascii="Calibri" w:hAnsi="Calibri"/>
          <w:b/>
          <w:bCs/>
          <w:sz w:val="20"/>
          <w:szCs w:val="20"/>
        </w:rPr>
        <w:t>VI.</w:t>
      </w:r>
      <w:r>
        <w:rPr>
          <w:rFonts w:cs="Calibri" w:ascii="Calibri" w:hAnsi="Calibri"/>
          <w:sz w:val="20"/>
          <w:szCs w:val="20"/>
        </w:rPr>
        <w:t xml:space="preserve"> Comunicar por escrito à </w:t>
      </w:r>
      <w:r>
        <w:rPr>
          <w:rFonts w:cs="Calibri" w:ascii="Calibri" w:hAnsi="Calibri"/>
          <w:b/>
          <w:sz w:val="20"/>
          <w:szCs w:val="20"/>
        </w:rPr>
        <w:t>CONTRATADA</w:t>
      </w:r>
      <w:r>
        <w:rPr>
          <w:rFonts w:cs="Calibri" w:ascii="Calibri" w:hAnsi="Calibri"/>
          <w:sz w:val="20"/>
          <w:szCs w:val="20"/>
        </w:rPr>
        <w:t xml:space="preserve"> qualquer vício, defeito ou irregularidade no objeto fornecido, solicitando a substituição, o reparo ou complementação do bem entregue, às suas expensas, no prazo fixado para o cumprimento da determinação;</w:t>
      </w:r>
    </w:p>
    <w:p>
      <w:pPr>
        <w:pStyle w:val="LO-normal"/>
        <w:rPr>
          <w:rFonts w:ascii="Calibri" w:hAnsi="Calibri"/>
          <w:sz w:val="20"/>
          <w:szCs w:val="20"/>
        </w:rPr>
      </w:pPr>
      <w:r>
        <w:rPr>
          <w:rFonts w:cs="Calibri" w:ascii="Calibri" w:hAnsi="Calibri"/>
          <w:b/>
          <w:bCs/>
          <w:sz w:val="20"/>
          <w:szCs w:val="20"/>
        </w:rPr>
        <w:t>VII.</w:t>
      </w:r>
      <w:r>
        <w:rPr>
          <w:rFonts w:cs="Calibri" w:ascii="Calibri" w:hAnsi="Calibri"/>
          <w:sz w:val="20"/>
          <w:szCs w:val="20"/>
        </w:rPr>
        <w:t xml:space="preserve"> Recusar o recebimento do bem que não atenda aos requisitos elencados nas especificações indicadas se, após o prazo fixado para substituição, reparo ou complementação, não for sanada a irregularidade verificada, comunicando à </w:t>
      </w:r>
      <w:r>
        <w:rPr>
          <w:rFonts w:cs="Calibri" w:ascii="Calibri" w:hAnsi="Calibri"/>
          <w:b/>
          <w:sz w:val="20"/>
          <w:szCs w:val="20"/>
        </w:rPr>
        <w:t>CONTRATADA</w:t>
      </w:r>
      <w:r>
        <w:rPr>
          <w:rFonts w:cs="Calibri" w:ascii="Calibri" w:hAnsi="Calibri"/>
          <w:sz w:val="20"/>
          <w:szCs w:val="20"/>
        </w:rPr>
        <w:t xml:space="preserve"> o fato por escrito;</w:t>
      </w:r>
    </w:p>
    <w:p>
      <w:pPr>
        <w:pStyle w:val="LO-normal"/>
        <w:rPr>
          <w:rFonts w:ascii="Calibri" w:hAnsi="Calibri"/>
          <w:sz w:val="20"/>
          <w:szCs w:val="20"/>
        </w:rPr>
      </w:pPr>
      <w:r>
        <w:rPr>
          <w:rFonts w:cs="Calibri" w:ascii="Calibri" w:hAnsi="Calibri"/>
          <w:b/>
          <w:bCs/>
          <w:sz w:val="20"/>
          <w:szCs w:val="20"/>
        </w:rPr>
        <w:t>VIII.</w:t>
      </w:r>
      <w:r>
        <w:rPr>
          <w:rFonts w:cs="Calibri" w:ascii="Calibri" w:hAnsi="Calibri"/>
          <w:sz w:val="20"/>
          <w:szCs w:val="20"/>
        </w:rPr>
        <w:t xml:space="preserve"> Analisar e atestar as Faturas e Notas Fiscais emitidas e efetuar os respectivos pagamentos nas condições e nos prazos estabelecidos;</w:t>
      </w:r>
    </w:p>
    <w:p>
      <w:pPr>
        <w:pStyle w:val="LO-normal"/>
        <w:rPr>
          <w:rFonts w:ascii="Calibri" w:hAnsi="Calibri"/>
          <w:sz w:val="20"/>
          <w:szCs w:val="20"/>
        </w:rPr>
      </w:pPr>
      <w:r>
        <w:rPr>
          <w:rFonts w:cs="Calibri" w:ascii="Calibri" w:hAnsi="Calibri"/>
          <w:b/>
          <w:bCs/>
          <w:sz w:val="20"/>
          <w:szCs w:val="20"/>
        </w:rPr>
        <w:t>IX.</w:t>
      </w:r>
      <w:r>
        <w:rPr>
          <w:rFonts w:cs="Calibri" w:ascii="Calibri" w:hAnsi="Calibri"/>
          <w:sz w:val="20"/>
          <w:szCs w:val="20"/>
        </w:rPr>
        <w:t xml:space="preserve"> Liberar o pagamento da parcela incontroversa da execução do objeto contratado, </w:t>
      </w:r>
      <w:r>
        <w:rPr>
          <w:rFonts w:cs="Calibri" w:ascii="Calibri" w:hAnsi="Calibri"/>
          <w:bCs/>
          <w:sz w:val="20"/>
          <w:szCs w:val="20"/>
        </w:rPr>
        <w:t>quando houver controvérsia sobre a dimensão, qualidade e quantidade do objeto executado;</w:t>
      </w:r>
    </w:p>
    <w:p>
      <w:pPr>
        <w:pStyle w:val="LO-normal"/>
        <w:rPr>
          <w:rFonts w:ascii="Calibri" w:hAnsi="Calibri"/>
          <w:sz w:val="20"/>
          <w:szCs w:val="20"/>
        </w:rPr>
      </w:pPr>
      <w:r>
        <w:rPr>
          <w:rFonts w:cs="Calibri" w:ascii="Calibri" w:hAnsi="Calibri"/>
          <w:b/>
          <w:bCs/>
          <w:sz w:val="20"/>
          <w:szCs w:val="20"/>
        </w:rPr>
        <w:t>X.</w:t>
      </w:r>
      <w:r>
        <w:rPr>
          <w:rFonts w:cs="Calibri" w:ascii="Calibri" w:hAnsi="Calibri"/>
          <w:sz w:val="20"/>
          <w:szCs w:val="20"/>
        </w:rPr>
        <w:t xml:space="preserve"> Comunicar à </w:t>
      </w:r>
      <w:r>
        <w:rPr>
          <w:rFonts w:cs="Calibri" w:ascii="Calibri" w:hAnsi="Calibri"/>
          <w:b/>
          <w:sz w:val="20"/>
          <w:szCs w:val="20"/>
        </w:rPr>
        <w:t>CONTRATADA</w:t>
      </w:r>
      <w:r>
        <w:rPr>
          <w:rFonts w:cs="Calibri" w:ascii="Calibri" w:hAnsi="Calibri"/>
          <w:sz w:val="20"/>
          <w:szCs w:val="20"/>
        </w:rPr>
        <w:t xml:space="preserve"> as ocorrências de quaisquer fatos que, a seu critério, exijam medidas corretivas;</w:t>
      </w:r>
    </w:p>
    <w:p>
      <w:pPr>
        <w:pStyle w:val="LO-normal"/>
        <w:rPr>
          <w:rFonts w:ascii="Calibri" w:hAnsi="Calibri"/>
          <w:sz w:val="20"/>
          <w:szCs w:val="20"/>
        </w:rPr>
      </w:pPr>
      <w:r>
        <w:rPr>
          <w:rFonts w:cs="Calibri" w:ascii="Calibri" w:hAnsi="Calibri"/>
          <w:b/>
          <w:bCs/>
          <w:sz w:val="20"/>
          <w:szCs w:val="20"/>
        </w:rPr>
        <w:t>XI.</w:t>
      </w:r>
      <w:r>
        <w:rPr>
          <w:rFonts w:cs="Calibri" w:ascii="Calibri" w:hAnsi="Calibri"/>
          <w:sz w:val="20"/>
          <w:szCs w:val="20"/>
        </w:rPr>
        <w:t xml:space="preserve"> Prestar as informações e esclarecimentos que venham a ser solicitados pela </w:t>
      </w:r>
      <w:r>
        <w:rPr>
          <w:rFonts w:cs="Calibri" w:ascii="Calibri" w:hAnsi="Calibri"/>
          <w:b/>
          <w:sz w:val="20"/>
          <w:szCs w:val="20"/>
        </w:rPr>
        <w:t>CONTRATADA</w:t>
      </w:r>
      <w:r>
        <w:rPr>
          <w:rFonts w:cs="Calibri" w:ascii="Calibri" w:hAnsi="Calibri"/>
          <w:sz w:val="20"/>
          <w:szCs w:val="20"/>
        </w:rPr>
        <w:t xml:space="preserve"> relacionados à execução contratual;</w:t>
      </w:r>
    </w:p>
    <w:p>
      <w:pPr>
        <w:pStyle w:val="LO-normal"/>
        <w:rPr>
          <w:rFonts w:ascii="Calibri" w:hAnsi="Calibri"/>
          <w:sz w:val="20"/>
          <w:szCs w:val="20"/>
        </w:rPr>
      </w:pPr>
      <w:r>
        <w:rPr>
          <w:rFonts w:cs="Calibri" w:ascii="Calibri" w:hAnsi="Calibri"/>
          <w:b/>
          <w:bCs/>
          <w:sz w:val="20"/>
          <w:szCs w:val="20"/>
        </w:rPr>
        <w:t>XII.</w:t>
      </w:r>
      <w:r>
        <w:rPr>
          <w:rFonts w:cs="Calibri" w:ascii="Calibri" w:hAnsi="Calibri"/>
          <w:sz w:val="20"/>
          <w:szCs w:val="20"/>
        </w:rPr>
        <w:t xml:space="preserve"> Aplicar as penalidades previstas na lei;</w:t>
      </w:r>
    </w:p>
    <w:p>
      <w:pPr>
        <w:pStyle w:val="LO-normal"/>
        <w:rPr>
          <w:rFonts w:ascii="Calibri" w:hAnsi="Calibri"/>
          <w:sz w:val="20"/>
          <w:szCs w:val="20"/>
        </w:rPr>
      </w:pPr>
      <w:r>
        <w:rPr>
          <w:rFonts w:cs="Calibri" w:ascii="Calibri" w:hAnsi="Calibri"/>
          <w:b/>
          <w:bCs/>
          <w:color w:val="000000"/>
          <w:sz w:val="20"/>
          <w:szCs w:val="20"/>
        </w:rPr>
        <w:t>XIII.</w:t>
      </w:r>
      <w:r>
        <w:rPr>
          <w:rFonts w:cs="Calibri" w:ascii="Calibri" w:hAnsi="Calibri"/>
          <w:color w:val="000000"/>
          <w:sz w:val="20"/>
          <w:szCs w:val="20"/>
        </w:rPr>
        <w:t xml:space="preserve"> Notificar, nos termos do §4º do art. 137 da Lei nº 14.133, de 2021, os emitentes das garantias quanto ao início de processo administrativo para apuração de descumprimento de cláusulas contratuais.;</w:t>
      </w:r>
      <w:bookmarkStart w:id="0" w:name="_Hlk128399711"/>
    </w:p>
    <w:p>
      <w:pPr>
        <w:pStyle w:val="LO-normal"/>
        <w:rPr>
          <w:rFonts w:ascii="Calibri" w:hAnsi="Calibri"/>
          <w:sz w:val="20"/>
          <w:szCs w:val="20"/>
        </w:rPr>
      </w:pPr>
      <w:r>
        <w:rPr>
          <w:rFonts w:cs="Calibri" w:ascii="Calibri" w:hAnsi="Calibri"/>
          <w:b/>
          <w:bCs/>
          <w:sz w:val="20"/>
          <w:szCs w:val="20"/>
        </w:rPr>
        <w:t>XIV.</w:t>
      </w:r>
      <w:r>
        <w:rPr>
          <w:rFonts w:cs="Calibri" w:ascii="Calibri" w:hAnsi="Calibri"/>
          <w:sz w:val="20"/>
          <w:szCs w:val="20"/>
        </w:rPr>
        <w:t xml:space="preserve"> Proferir, no prazo de 30 (trinta</w:t>
      </w:r>
      <w:r>
        <w:rPr>
          <w:rStyle w:val="FootnoteReference"/>
          <w:rFonts w:cs="Calibri" w:ascii="Calibri" w:hAnsi="Calibri"/>
          <w:sz w:val="20"/>
          <w:szCs w:val="20"/>
        </w:rPr>
        <w:footnoteReference w:id="2"/>
      </w:r>
      <w:r>
        <w:rPr>
          <w:rFonts w:cs="Calibri" w:ascii="Calibri" w:hAnsi="Calibri"/>
          <w:sz w:val="20"/>
          <w:szCs w:val="20"/>
        </w:rPr>
        <w:t xml:space="preserve">) dias a contar da data do protocolo do requerimento, admitida a prorrogação motivada por igual período, decisão explícita sobre todas as solicitações e reclamações relacionadas à execução do presente </w:t>
      </w:r>
      <w:r>
        <w:rPr>
          <w:rFonts w:cs="Calibri" w:ascii="Calibri" w:hAnsi="Calibri"/>
          <w:b/>
          <w:sz w:val="20"/>
          <w:szCs w:val="20"/>
        </w:rPr>
        <w:t>CONTRATO</w:t>
      </w:r>
      <w:r>
        <w:rPr>
          <w:rFonts w:cs="Calibri" w:ascii="Calibri" w:hAnsi="Calibri"/>
          <w:sz w:val="20"/>
          <w:szCs w:val="20"/>
        </w:rPr>
        <w:t>, ressalvados os requerimentos manifestamente impertinentes, meramente protelatórios ou de nenhum interesse para a boa execução do ajuste;</w:t>
      </w:r>
    </w:p>
    <w:p>
      <w:pPr>
        <w:pStyle w:val="LO-normal"/>
        <w:rPr>
          <w:rFonts w:ascii="Calibri" w:hAnsi="Calibri"/>
          <w:sz w:val="20"/>
          <w:szCs w:val="20"/>
        </w:rPr>
      </w:pPr>
      <w:r>
        <w:rPr>
          <w:rFonts w:cs="Calibri" w:ascii="Calibri" w:hAnsi="Calibri"/>
          <w:b/>
          <w:bCs/>
          <w:sz w:val="20"/>
          <w:szCs w:val="20"/>
        </w:rPr>
        <w:t>XV.</w:t>
      </w:r>
      <w:r>
        <w:rPr>
          <w:rFonts w:cs="Calibri" w:ascii="Calibri" w:hAnsi="Calibri"/>
          <w:sz w:val="20"/>
          <w:szCs w:val="20"/>
        </w:rPr>
        <w:t xml:space="preserve"> Responder a pedidos de reajustamento no prazo máximo de 60 (sessenta) dias e aos pedidos de restabelecimento do equilíbrio econômico-financeiro no prazo máximo de 90 (noventa) dias, contados a partir da instrução completa dos respectivos requerimento</w:t>
      </w:r>
      <w:bookmarkEnd w:id="0"/>
      <w:r>
        <w:rPr>
          <w:rFonts w:cs="Calibri" w:ascii="Calibri" w:hAnsi="Calibri"/>
          <w:sz w:val="20"/>
          <w:szCs w:val="20"/>
        </w:rPr>
        <w:t>s;</w:t>
      </w:r>
    </w:p>
    <w:p>
      <w:pPr>
        <w:pStyle w:val="LO-normal"/>
        <w:rPr>
          <w:rFonts w:ascii="Calibri" w:hAnsi="Calibri"/>
          <w:sz w:val="20"/>
          <w:szCs w:val="20"/>
        </w:rPr>
      </w:pPr>
      <w:r>
        <w:rPr>
          <w:rFonts w:ascii="Calibri" w:hAnsi="Calibri"/>
          <w:b/>
          <w:bCs/>
          <w:sz w:val="20"/>
          <w:szCs w:val="20"/>
        </w:rPr>
        <w:t>7.3</w:t>
      </w:r>
      <w:r>
        <w:rPr>
          <w:rFonts w:ascii="Calibri" w:hAnsi="Calibri"/>
          <w:sz w:val="20"/>
          <w:szCs w:val="20"/>
        </w:rPr>
        <w:t xml:space="preserve">  </w:t>
      </w:r>
      <w:r>
        <w:rPr>
          <w:rFonts w:ascii="Calibri" w:hAnsi="Calibri"/>
          <w:b/>
          <w:bCs/>
          <w:sz w:val="20"/>
          <w:szCs w:val="20"/>
        </w:rPr>
        <w:t>OBRIGAÇÕES DA CONTRATADA</w:t>
      </w:r>
    </w:p>
    <w:p>
      <w:pPr>
        <w:pStyle w:val="LO-normal"/>
        <w:rPr>
          <w:rFonts w:ascii="Calibri" w:hAnsi="Calibri"/>
          <w:sz w:val="20"/>
          <w:szCs w:val="20"/>
        </w:rPr>
      </w:pPr>
      <w:r>
        <w:rPr>
          <w:rFonts w:cs="Calibri" w:ascii="Calibri" w:hAnsi="Calibri"/>
          <w:b/>
          <w:sz w:val="20"/>
          <w:szCs w:val="20"/>
        </w:rPr>
        <w:t xml:space="preserve">7.3.1 </w:t>
      </w:r>
      <w:r>
        <w:rPr>
          <w:rFonts w:cs="Calibri" w:ascii="Calibri" w:hAnsi="Calibri"/>
          <w:sz w:val="20"/>
          <w:szCs w:val="20"/>
        </w:rPr>
        <w:t xml:space="preserve">A </w:t>
      </w:r>
      <w:r>
        <w:rPr>
          <w:rFonts w:cs="Calibri" w:ascii="Calibri" w:hAnsi="Calibri"/>
          <w:b/>
          <w:sz w:val="20"/>
          <w:szCs w:val="20"/>
        </w:rPr>
        <w:t>CONTRATADA</w:t>
      </w:r>
      <w:r>
        <w:rPr>
          <w:rFonts w:cs="Calibri" w:ascii="Calibri" w:hAnsi="Calibri"/>
          <w:sz w:val="20"/>
          <w:szCs w:val="20"/>
        </w:rPr>
        <w:t xml:space="preserve"> deve cumprir todas as obrigações constantes do Termo de Referência, de seus anexos e da proposta apresentada na licitação e, ainda:</w:t>
      </w:r>
    </w:p>
    <w:p>
      <w:pPr>
        <w:pStyle w:val="LO-normal"/>
        <w:rPr>
          <w:rFonts w:ascii="Calibri" w:hAnsi="Calibri"/>
          <w:sz w:val="20"/>
          <w:szCs w:val="20"/>
        </w:rPr>
      </w:pPr>
      <w:r>
        <w:rPr>
          <w:rFonts w:cs="Calibri" w:ascii="Calibri" w:hAnsi="Calibri"/>
          <w:b/>
          <w:bCs/>
          <w:sz w:val="20"/>
          <w:szCs w:val="20"/>
        </w:rPr>
        <w:t>I.</w:t>
      </w:r>
      <w:r>
        <w:rPr>
          <w:rFonts w:cs="Calibri" w:ascii="Calibri" w:hAnsi="Calibri"/>
          <w:sz w:val="20"/>
          <w:szCs w:val="20"/>
        </w:rPr>
        <w:t xml:space="preserve"> Fornecer o bem contratado, nas quantidades e especificações exigidas, salvo se obtiver por escrito prévia anuência da </w:t>
      </w:r>
      <w:r>
        <w:rPr>
          <w:rFonts w:cs="Calibri" w:ascii="Calibri" w:hAnsi="Calibri"/>
          <w:b/>
          <w:sz w:val="20"/>
          <w:szCs w:val="20"/>
        </w:rPr>
        <w:t>CONTRATANTE</w:t>
      </w:r>
      <w:r>
        <w:rPr>
          <w:rFonts w:cs="Calibri" w:ascii="Calibri" w:hAnsi="Calibri"/>
          <w:sz w:val="20"/>
          <w:szCs w:val="20"/>
        </w:rPr>
        <w:t xml:space="preserve"> para alteração nas condições do fornecimento;</w:t>
      </w:r>
    </w:p>
    <w:p>
      <w:pPr>
        <w:pStyle w:val="LO-normal"/>
        <w:rPr>
          <w:rFonts w:ascii="Calibri" w:hAnsi="Calibri"/>
          <w:sz w:val="20"/>
          <w:szCs w:val="20"/>
        </w:rPr>
      </w:pPr>
      <w:r>
        <w:rPr>
          <w:rFonts w:cs="Calibri" w:ascii="Calibri" w:hAnsi="Calibri"/>
          <w:b/>
          <w:bCs/>
          <w:sz w:val="20"/>
          <w:szCs w:val="20"/>
        </w:rPr>
        <w:t>II.</w:t>
      </w:r>
      <w:r>
        <w:rPr>
          <w:rFonts w:cs="Calibri" w:ascii="Calibri" w:hAnsi="Calibri"/>
          <w:sz w:val="20"/>
          <w:szCs w:val="20"/>
        </w:rPr>
        <w:t xml:space="preserve"> Fornecer o bem acondicionado de forma adequada, de modo a garantir seu perfeito estado de conservação e funcionamento; </w:t>
      </w:r>
    </w:p>
    <w:p>
      <w:pPr>
        <w:pStyle w:val="LO-normal"/>
        <w:rPr>
          <w:rFonts w:ascii="Calibri" w:hAnsi="Calibri"/>
          <w:sz w:val="20"/>
          <w:szCs w:val="20"/>
        </w:rPr>
      </w:pPr>
      <w:r>
        <w:rPr>
          <w:rFonts w:cs="Calibri" w:ascii="Calibri" w:hAnsi="Calibri"/>
          <w:b/>
          <w:bCs/>
          <w:sz w:val="20"/>
          <w:szCs w:val="20"/>
        </w:rPr>
        <w:t>III.</w:t>
      </w:r>
      <w:r>
        <w:rPr>
          <w:rFonts w:cs="Calibri" w:ascii="Calibri" w:hAnsi="Calibri"/>
          <w:sz w:val="20"/>
          <w:szCs w:val="20"/>
        </w:rPr>
        <w:t xml:space="preserve"> Cumprir o prazo de entrega estabelecido no contrato;</w:t>
      </w:r>
    </w:p>
    <w:p>
      <w:pPr>
        <w:pStyle w:val="LO-normal"/>
        <w:rPr>
          <w:rFonts w:ascii="Calibri" w:hAnsi="Calibri"/>
          <w:sz w:val="20"/>
          <w:szCs w:val="20"/>
        </w:rPr>
      </w:pPr>
      <w:r>
        <w:rPr>
          <w:rFonts w:cs="Calibri" w:ascii="Calibri" w:hAnsi="Calibri"/>
          <w:b/>
          <w:bCs/>
          <w:sz w:val="20"/>
          <w:szCs w:val="20"/>
        </w:rPr>
        <w:t>IV.</w:t>
      </w:r>
      <w:r>
        <w:rPr>
          <w:rFonts w:cs="Calibri" w:ascii="Calibri" w:hAnsi="Calibri"/>
          <w:sz w:val="20"/>
          <w:szCs w:val="20"/>
        </w:rPr>
        <w:t xml:space="preserve"> Substituir, corrigir, reparar ou complementar, às suas expensas, no todo ou em parte, conforme o caso, no prazo de até 02</w:t>
      </w:r>
      <w:r>
        <w:rPr>
          <w:rFonts w:cs="Calibri" w:ascii="Calibri" w:hAnsi="Calibri"/>
          <w:b/>
          <w:sz w:val="20"/>
          <w:szCs w:val="20"/>
        </w:rPr>
        <w:t xml:space="preserve"> </w:t>
      </w:r>
      <w:r>
        <w:rPr>
          <w:rFonts w:cs="Calibri" w:ascii="Calibri" w:hAnsi="Calibri"/>
          <w:sz w:val="20"/>
          <w:szCs w:val="20"/>
        </w:rPr>
        <w:t xml:space="preserve">(dois) dias úteis contado da respectiva notificação, ou no prazo assinalado pelo fiscal do </w:t>
      </w:r>
      <w:r>
        <w:rPr>
          <w:rFonts w:cs="Calibri" w:ascii="Calibri" w:hAnsi="Calibri"/>
          <w:b/>
          <w:sz w:val="20"/>
          <w:szCs w:val="20"/>
        </w:rPr>
        <w:t>CONTRATO</w:t>
      </w:r>
      <w:r>
        <w:rPr>
          <w:rFonts w:cs="Calibri" w:ascii="Calibri" w:hAnsi="Calibri"/>
          <w:sz w:val="20"/>
          <w:szCs w:val="20"/>
        </w:rPr>
        <w:t>, os bens que apresentarem vícios, defeitos ou qualquer irregularidade;</w:t>
      </w:r>
    </w:p>
    <w:p>
      <w:pPr>
        <w:pStyle w:val="LO-normal"/>
        <w:rPr>
          <w:rFonts w:ascii="Calibri" w:hAnsi="Calibri"/>
          <w:sz w:val="20"/>
          <w:szCs w:val="20"/>
        </w:rPr>
      </w:pPr>
      <w:r>
        <w:rPr>
          <w:rFonts w:cs="Calibri" w:ascii="Calibri" w:hAnsi="Calibri"/>
          <w:b/>
          <w:bCs/>
          <w:sz w:val="20"/>
          <w:szCs w:val="20"/>
        </w:rPr>
        <w:t>V.</w:t>
      </w:r>
      <w:r>
        <w:rPr>
          <w:rFonts w:cs="Calibri" w:ascii="Calibri" w:hAnsi="Calibri"/>
          <w:sz w:val="20"/>
          <w:szCs w:val="20"/>
        </w:rPr>
        <w:t xml:space="preserve"> Programar, com a necessária antecedência, data e hora para entrega do objeto contratado, inclusive quando esta ocorrer através de empresa transportadora, comunicando à </w:t>
      </w:r>
      <w:r>
        <w:rPr>
          <w:rFonts w:cs="Calibri" w:ascii="Calibri" w:hAnsi="Calibri"/>
          <w:b/>
          <w:color w:val="000000"/>
          <w:sz w:val="20"/>
          <w:szCs w:val="20"/>
        </w:rPr>
        <w:t>CONTRATANTE</w:t>
      </w:r>
      <w:r>
        <w:rPr>
          <w:rFonts w:cs="Calibri" w:ascii="Calibri" w:hAnsi="Calibri"/>
          <w:color w:val="000000"/>
          <w:sz w:val="20"/>
          <w:szCs w:val="20"/>
        </w:rPr>
        <w:t>, até 02 (dois) dias antes, qualquer impedimento à entrega, devidamente comprovado;</w:t>
      </w:r>
    </w:p>
    <w:p>
      <w:pPr>
        <w:pStyle w:val="LO-normal"/>
        <w:rPr>
          <w:rFonts w:ascii="Calibri" w:hAnsi="Calibri"/>
          <w:sz w:val="20"/>
          <w:szCs w:val="20"/>
        </w:rPr>
      </w:pPr>
      <w:r>
        <w:rPr>
          <w:rFonts w:cs="Calibri" w:ascii="Calibri" w:hAnsi="Calibri"/>
          <w:b/>
          <w:bCs/>
          <w:sz w:val="20"/>
          <w:szCs w:val="20"/>
        </w:rPr>
        <w:t>VI.</w:t>
      </w:r>
      <w:r>
        <w:rPr>
          <w:rFonts w:cs="Calibri" w:ascii="Calibri" w:hAnsi="Calibri"/>
          <w:sz w:val="20"/>
          <w:szCs w:val="20"/>
        </w:rPr>
        <w:t xml:space="preserve"> Entregar o manual do usuário, com uma versão em português, e da relação da rede de assistência técnica autorizada, conforme o caso;</w:t>
      </w:r>
    </w:p>
    <w:p>
      <w:pPr>
        <w:pStyle w:val="LO-normal"/>
        <w:rPr>
          <w:rFonts w:ascii="Calibri" w:hAnsi="Calibri"/>
          <w:sz w:val="20"/>
          <w:szCs w:val="20"/>
        </w:rPr>
      </w:pPr>
      <w:r>
        <w:rPr>
          <w:rFonts w:cs="Calibri" w:ascii="Calibri" w:hAnsi="Calibri"/>
          <w:b/>
          <w:bCs/>
          <w:sz w:val="20"/>
          <w:szCs w:val="20"/>
        </w:rPr>
        <w:t>VII.</w:t>
      </w:r>
      <w:r>
        <w:rPr>
          <w:rFonts w:cs="Calibri" w:ascii="Calibri" w:hAnsi="Calibri"/>
          <w:sz w:val="20"/>
          <w:szCs w:val="20"/>
        </w:rPr>
        <w:t xml:space="preserve">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pela </w:t>
      </w:r>
      <w:r>
        <w:rPr>
          <w:rFonts w:cs="Calibri" w:ascii="Calibri" w:hAnsi="Calibri"/>
          <w:b/>
          <w:bCs/>
          <w:sz w:val="20"/>
          <w:szCs w:val="20"/>
        </w:rPr>
        <w:t>CONTRATANTE</w:t>
      </w:r>
      <w:r>
        <w:rPr>
          <w:rFonts w:cs="Calibri" w:ascii="Calibri" w:hAnsi="Calibri"/>
          <w:sz w:val="20"/>
          <w:szCs w:val="20"/>
        </w:rPr>
        <w:t>, que ficará autorizada a descontar dos pagamentos devidos ou da garantia, caso exigida no Edital, o valor correspondente aos danos sofridos;</w:t>
      </w:r>
    </w:p>
    <w:p>
      <w:pPr>
        <w:pStyle w:val="LO-normal"/>
        <w:rPr>
          <w:rFonts w:ascii="Calibri" w:hAnsi="Calibri"/>
          <w:sz w:val="20"/>
          <w:szCs w:val="20"/>
        </w:rPr>
      </w:pPr>
      <w:bookmarkStart w:id="1" w:name="_Hlk130370627"/>
      <w:r>
        <w:rPr>
          <w:rFonts w:cs="Calibri" w:ascii="Calibri" w:hAnsi="Calibri"/>
          <w:b/>
          <w:bCs/>
          <w:sz w:val="20"/>
          <w:szCs w:val="20"/>
        </w:rPr>
        <w:t>VIII.</w:t>
      </w:r>
      <w:r>
        <w:rPr>
          <w:rFonts w:cs="Calibri" w:ascii="Calibri" w:hAnsi="Calibri"/>
          <w:sz w:val="20"/>
          <w:szCs w:val="20"/>
        </w:rPr>
        <w:t xml:space="preserve"> Não transferir a outrem, no todo ou em parte, o objeto do </w:t>
      </w:r>
      <w:r>
        <w:rPr>
          <w:rFonts w:cs="Calibri" w:ascii="Calibri" w:hAnsi="Calibri"/>
          <w:b/>
          <w:sz w:val="20"/>
          <w:szCs w:val="20"/>
        </w:rPr>
        <w:t xml:space="preserve">CONTRATO, </w:t>
      </w:r>
      <w:r>
        <w:rPr>
          <w:rFonts w:cs="Calibri" w:ascii="Calibri" w:hAnsi="Calibri"/>
          <w:sz w:val="20"/>
          <w:szCs w:val="20"/>
        </w:rPr>
        <w:t>ressalvadas as hipóteses de subcontratação autorizada no Termo de Referência;</w:t>
      </w:r>
      <w:bookmarkEnd w:id="1"/>
    </w:p>
    <w:p>
      <w:pPr>
        <w:pStyle w:val="LO-normal"/>
        <w:rPr>
          <w:rFonts w:cs="Calibri"/>
        </w:rPr>
      </w:pPr>
      <w:r>
        <w:rPr>
          <w:rFonts w:cs="Calibri" w:ascii="Calibri" w:hAnsi="Calibri"/>
          <w:b/>
          <w:bCs/>
          <w:sz w:val="20"/>
          <w:szCs w:val="20"/>
        </w:rPr>
        <w:t>IX.</w:t>
      </w:r>
      <w:r>
        <w:rPr>
          <w:rFonts w:cs="Calibri" w:ascii="Calibri" w:hAnsi="Calibri"/>
          <w:sz w:val="20"/>
          <w:szCs w:val="20"/>
        </w:rPr>
        <w:t xml:space="preserve"> Comunicar à </w:t>
      </w:r>
      <w:r>
        <w:rPr>
          <w:rFonts w:cs="Calibri" w:ascii="Calibri" w:hAnsi="Calibri"/>
          <w:b/>
          <w:sz w:val="20"/>
          <w:szCs w:val="20"/>
        </w:rPr>
        <w:t>CONTRATANTE</w:t>
      </w:r>
      <w:r>
        <w:rPr>
          <w:rFonts w:cs="Calibri" w:ascii="Calibri" w:hAnsi="Calibri"/>
          <w:sz w:val="20"/>
          <w:szCs w:val="20"/>
        </w:rPr>
        <w:t>, em tempo hábil e por escrito, a superveniência de fatos que venham a prejudicar o adequado fornecimento dos bens, de modo a se viabilizar a correção da situação apresentada;</w:t>
      </w:r>
    </w:p>
    <w:p>
      <w:pPr>
        <w:pStyle w:val="LO-normal"/>
        <w:rPr>
          <w:rFonts w:ascii="Calibri" w:hAnsi="Calibri"/>
          <w:sz w:val="20"/>
          <w:szCs w:val="20"/>
        </w:rPr>
      </w:pPr>
      <w:r>
        <w:rPr>
          <w:rFonts w:cs="Calibri" w:ascii="Calibri" w:hAnsi="Calibri"/>
          <w:b/>
          <w:bCs/>
          <w:sz w:val="20"/>
          <w:szCs w:val="20"/>
        </w:rPr>
        <w:t>X.</w:t>
      </w:r>
      <w:r>
        <w:rPr>
          <w:rFonts w:cs="Calibri" w:ascii="Calibri" w:hAnsi="Calibri"/>
          <w:sz w:val="20"/>
          <w:szCs w:val="20"/>
        </w:rPr>
        <w:t xml:space="preserve"> Designar preposto para representá-la perante a </w:t>
      </w:r>
      <w:r>
        <w:rPr>
          <w:rFonts w:cs="Calibri" w:ascii="Calibri" w:hAnsi="Calibri"/>
          <w:b/>
          <w:sz w:val="20"/>
          <w:szCs w:val="20"/>
        </w:rPr>
        <w:t xml:space="preserve">CONTRATANTE </w:t>
      </w:r>
      <w:r>
        <w:rPr>
          <w:rFonts w:cs="Calibri" w:ascii="Calibri" w:hAnsi="Calibri"/>
          <w:sz w:val="20"/>
          <w:szCs w:val="20"/>
        </w:rPr>
        <w:t>sempre que for necessário, indicando o respectivo telefone e e-mail para futuros contatos;</w:t>
      </w:r>
    </w:p>
    <w:p>
      <w:pPr>
        <w:pStyle w:val="LO-normal"/>
        <w:rPr>
          <w:rFonts w:ascii="Calibri" w:hAnsi="Calibri"/>
          <w:sz w:val="20"/>
          <w:szCs w:val="20"/>
        </w:rPr>
      </w:pPr>
      <w:r>
        <w:rPr>
          <w:rFonts w:cs="Calibri" w:ascii="Calibri" w:hAnsi="Calibri"/>
          <w:b/>
          <w:bCs/>
          <w:sz w:val="20"/>
          <w:szCs w:val="20"/>
        </w:rPr>
        <w:t>XI.</w:t>
      </w:r>
      <w:r>
        <w:rPr>
          <w:rFonts w:cs="Calibri" w:ascii="Calibri" w:hAnsi="Calibri"/>
          <w:sz w:val="20"/>
          <w:szCs w:val="20"/>
        </w:rPr>
        <w:t xml:space="preserve"> Prestar os necessários esclarecimentos sobre a execução do objeto contratual solicitados pela </w:t>
      </w:r>
      <w:r>
        <w:rPr>
          <w:rFonts w:cs="Calibri" w:ascii="Calibri" w:hAnsi="Calibri"/>
          <w:b/>
          <w:sz w:val="20"/>
          <w:szCs w:val="20"/>
        </w:rPr>
        <w:t>CONTRATANTE</w:t>
      </w:r>
      <w:r>
        <w:rPr>
          <w:rFonts w:cs="Calibri" w:ascii="Calibri" w:hAnsi="Calibri"/>
          <w:sz w:val="20"/>
          <w:szCs w:val="20"/>
        </w:rPr>
        <w:t>, no prazo máximo de 02 (dois) dias úteis após o recebimento da solicitação;</w:t>
      </w:r>
    </w:p>
    <w:p>
      <w:pPr>
        <w:pStyle w:val="LO-normal"/>
        <w:rPr>
          <w:rFonts w:ascii="Calibri" w:hAnsi="Calibri"/>
          <w:sz w:val="20"/>
          <w:szCs w:val="20"/>
        </w:rPr>
      </w:pPr>
      <w:r>
        <w:rPr>
          <w:rFonts w:cs="Calibri" w:ascii="Calibri" w:hAnsi="Calibri"/>
          <w:b/>
          <w:bCs/>
          <w:sz w:val="20"/>
          <w:szCs w:val="20"/>
        </w:rPr>
        <w:t>XII.</w:t>
      </w:r>
      <w:r>
        <w:rPr>
          <w:rFonts w:cs="Calibri" w:ascii="Calibri" w:hAnsi="Calibri"/>
          <w:sz w:val="20"/>
          <w:szCs w:val="20"/>
        </w:rPr>
        <w:t xml:space="preserve"> Responsabilizar-se pelos encargos trabalhistas, previdenciários, fiscais e comerciais resultantes da execução do objeto, cuja inadimplência não transfere a responsabilidade à </w:t>
      </w:r>
      <w:r>
        <w:rPr>
          <w:rFonts w:cs="Calibri" w:ascii="Calibri" w:hAnsi="Calibri"/>
          <w:b/>
          <w:sz w:val="20"/>
          <w:szCs w:val="20"/>
        </w:rPr>
        <w:t>CONTRATANTE</w:t>
      </w:r>
      <w:r>
        <w:rPr>
          <w:rFonts w:cs="Calibri" w:ascii="Calibri" w:hAnsi="Calibri"/>
          <w:sz w:val="20"/>
          <w:szCs w:val="20"/>
        </w:rPr>
        <w:t xml:space="preserve"> e não poderá onerar o objeto do </w:t>
      </w:r>
      <w:r>
        <w:rPr>
          <w:rFonts w:cs="Calibri" w:ascii="Calibri" w:hAnsi="Calibri"/>
          <w:b/>
          <w:sz w:val="20"/>
          <w:szCs w:val="20"/>
        </w:rPr>
        <w:t>CONTRATO</w:t>
      </w:r>
      <w:r>
        <w:rPr>
          <w:rFonts w:cs="Calibri" w:ascii="Calibri" w:hAnsi="Calibri"/>
          <w:sz w:val="20"/>
          <w:szCs w:val="20"/>
        </w:rPr>
        <w:t xml:space="preserve">, sendo que eventual pessoal alocado ao </w:t>
      </w:r>
      <w:r>
        <w:rPr>
          <w:rFonts w:cs="Calibri" w:ascii="Calibri" w:hAnsi="Calibri"/>
          <w:b/>
          <w:sz w:val="20"/>
          <w:szCs w:val="20"/>
        </w:rPr>
        <w:t>CONTRATO</w:t>
      </w:r>
      <w:r>
        <w:rPr>
          <w:rFonts w:cs="Calibri" w:ascii="Calibri" w:hAnsi="Calibri"/>
          <w:sz w:val="20"/>
          <w:szCs w:val="20"/>
        </w:rPr>
        <w:t xml:space="preserve"> não terá qualquer vínculo empregatício com a </w:t>
      </w:r>
      <w:r>
        <w:rPr>
          <w:rFonts w:cs="Calibri" w:ascii="Calibri" w:hAnsi="Calibri"/>
          <w:b/>
          <w:sz w:val="20"/>
          <w:szCs w:val="20"/>
        </w:rPr>
        <w:t>CONTRATANTE</w:t>
      </w:r>
      <w:r>
        <w:rPr>
          <w:rFonts w:cs="Calibri" w:ascii="Calibri" w:hAnsi="Calibri"/>
          <w:sz w:val="20"/>
          <w:szCs w:val="20"/>
        </w:rPr>
        <w:t>;</w:t>
      </w:r>
    </w:p>
    <w:p>
      <w:pPr>
        <w:pStyle w:val="LO-normal"/>
        <w:rPr>
          <w:rFonts w:ascii="Calibri" w:hAnsi="Calibri"/>
          <w:sz w:val="20"/>
          <w:szCs w:val="20"/>
        </w:rPr>
      </w:pPr>
      <w:r>
        <w:rPr>
          <w:rFonts w:cs="Calibri" w:ascii="Calibri" w:hAnsi="Calibri"/>
          <w:b/>
          <w:bCs/>
          <w:sz w:val="20"/>
          <w:szCs w:val="20"/>
        </w:rPr>
        <w:t>XIII.</w:t>
      </w:r>
      <w:r>
        <w:rPr>
          <w:rFonts w:cs="Calibri" w:ascii="Calibri" w:hAnsi="Calibri"/>
          <w:sz w:val="20"/>
          <w:szCs w:val="20"/>
        </w:rPr>
        <w:t xml:space="preserve"> Emitir documento fiscal com a discriminação expressa do percentual de isenção do ICMS, quando se tratar de operação abrangida pelo art. 63 do Anexo 7 do Decreto Estadual nº 44.650/17 (Convênio ICMS 73/04);</w:t>
      </w:r>
    </w:p>
    <w:p>
      <w:pPr>
        <w:pStyle w:val="LO-normal"/>
        <w:rPr>
          <w:rFonts w:ascii="Calibri" w:hAnsi="Calibri"/>
          <w:sz w:val="20"/>
          <w:szCs w:val="20"/>
        </w:rPr>
      </w:pPr>
      <w:r>
        <w:rPr>
          <w:rFonts w:cs="Calibri" w:ascii="Calibri" w:hAnsi="Calibri"/>
          <w:b/>
          <w:bCs/>
          <w:sz w:val="20"/>
          <w:szCs w:val="20"/>
        </w:rPr>
        <w:t>XIV.</w:t>
      </w:r>
      <w:r>
        <w:rPr>
          <w:rFonts w:cs="Calibri" w:ascii="Calibri" w:hAnsi="Calibri"/>
          <w:sz w:val="20"/>
          <w:szCs w:val="20"/>
        </w:rPr>
        <w:t xml:space="preserve"> Manter, durante o prazo de vigência do </w:t>
      </w:r>
      <w:r>
        <w:rPr>
          <w:rFonts w:cs="Calibri" w:ascii="Calibri" w:hAnsi="Calibri"/>
          <w:b/>
          <w:sz w:val="20"/>
          <w:szCs w:val="20"/>
        </w:rPr>
        <w:t>CONTRATO</w:t>
      </w:r>
      <w:r>
        <w:rPr>
          <w:rFonts w:cs="Calibri" w:ascii="Calibri" w:hAnsi="Calibri"/>
          <w:sz w:val="20"/>
          <w:szCs w:val="20"/>
        </w:rPr>
        <w:t>, todas as condições de habilitação e qualificação exigidas na licitação, inclusive sua inscrição no CADFOR-PE;</w:t>
      </w:r>
      <w:r>
        <w:rPr>
          <w:rFonts w:ascii="Calibri" w:hAnsi="Calibri"/>
          <w:sz w:val="20"/>
          <w:szCs w:val="20"/>
        </w:rPr>
        <w:t xml:space="preserve"> </w:t>
      </w:r>
    </w:p>
    <w:p>
      <w:pPr>
        <w:pStyle w:val="LO-normal"/>
        <w:rPr>
          <w:rFonts w:ascii="Calibri" w:hAnsi="Calibri"/>
          <w:sz w:val="20"/>
          <w:szCs w:val="20"/>
        </w:rPr>
      </w:pPr>
      <w:r>
        <w:rPr>
          <w:rFonts w:cs="Calibri" w:ascii="Calibri" w:hAnsi="Calibri"/>
          <w:b/>
          <w:bCs/>
          <w:sz w:val="20"/>
          <w:szCs w:val="20"/>
        </w:rPr>
        <w:t>XV.</w:t>
      </w:r>
      <w:r>
        <w:rPr>
          <w:rFonts w:cs="Calibri" w:ascii="Calibri" w:hAnsi="Calibri"/>
          <w:sz w:val="20"/>
          <w:szCs w:val="20"/>
        </w:rPr>
        <w:t xml:space="preserve"> Comprovar, quando for o caso, no início da execução contratual e sempre que solicitado pelo fiscal, a reserva de cargos prevista em lei para pessoa com deficiência, para reabilitado da Previdência Social para aprendiz, durante toda a vigência do </w:t>
      </w:r>
      <w:r>
        <w:rPr>
          <w:rFonts w:cs="Calibri" w:ascii="Calibri" w:hAnsi="Calibri"/>
          <w:b/>
          <w:sz w:val="20"/>
          <w:szCs w:val="20"/>
        </w:rPr>
        <w:t>CONTRATO</w:t>
      </w:r>
      <w:r>
        <w:rPr>
          <w:rFonts w:cs="Calibri" w:ascii="Calibri" w:hAnsi="Calibri"/>
          <w:sz w:val="20"/>
          <w:szCs w:val="20"/>
        </w:rPr>
        <w:t>, com a indicação dos empregados que preencheram as referidas vagas;</w:t>
      </w:r>
    </w:p>
    <w:p>
      <w:pPr>
        <w:pStyle w:val="LO-normal"/>
        <w:rPr>
          <w:rFonts w:ascii="Calibri" w:hAnsi="Calibri"/>
          <w:sz w:val="20"/>
          <w:szCs w:val="20"/>
        </w:rPr>
      </w:pPr>
      <w:r>
        <w:rPr>
          <w:rFonts w:cs="Calibri" w:ascii="Calibri" w:hAnsi="Calibri"/>
          <w:b/>
          <w:bCs/>
          <w:sz w:val="20"/>
          <w:szCs w:val="20"/>
        </w:rPr>
        <w:t>XVI.</w:t>
      </w:r>
      <w:r>
        <w:rPr>
          <w:rFonts w:cs="Calibri" w:ascii="Calibri" w:hAnsi="Calibri"/>
          <w:sz w:val="20"/>
          <w:szCs w:val="20"/>
        </w:rPr>
        <w:t xml:space="preserve"> Guardar sigilo sobre todas as informações obtidas em decorrência do cumprimento do</w:t>
      </w:r>
      <w:r>
        <w:rPr>
          <w:rFonts w:cs="Calibri" w:ascii="Calibri" w:hAnsi="Calibri"/>
          <w:b/>
          <w:sz w:val="20"/>
          <w:szCs w:val="20"/>
        </w:rPr>
        <w:t xml:space="preserve"> CONTRATO</w:t>
      </w:r>
      <w:r>
        <w:rPr>
          <w:rFonts w:cs="Calibri" w:ascii="Calibri" w:hAnsi="Calibri"/>
          <w:bCs/>
          <w:sz w:val="20"/>
          <w:szCs w:val="20"/>
        </w:rPr>
        <w:t xml:space="preserve"> e cumprir a Lei nº 13.709, de 14 de agosto de 2018 (LGPD), quanto a todos os dados pessoais a que tenha acesso em razão do certame ou do contrato administrativo, independentemente de declaração ou de aceitação expressa;</w:t>
      </w:r>
    </w:p>
    <w:p>
      <w:pPr>
        <w:pStyle w:val="LO-normal"/>
        <w:rPr>
          <w:rFonts w:ascii="Calibri" w:hAnsi="Calibri"/>
          <w:sz w:val="20"/>
          <w:szCs w:val="20"/>
        </w:rPr>
      </w:pPr>
      <w:r>
        <w:rPr>
          <w:rFonts w:cs="Calibri" w:ascii="Calibri" w:hAnsi="Calibri"/>
          <w:b/>
          <w:bCs/>
          <w:sz w:val="20"/>
          <w:szCs w:val="20"/>
        </w:rPr>
        <w:t>XVII.</w:t>
      </w:r>
      <w:r>
        <w:rPr>
          <w:rFonts w:cs="Calibri" w:ascii="Calibri" w:hAnsi="Calibri"/>
          <w:sz w:val="20"/>
          <w:szCs w:val="20"/>
        </w:rPr>
        <w:t xml:space="preserve"> Comunicar à </w:t>
      </w:r>
      <w:r>
        <w:rPr>
          <w:rFonts w:cs="Calibri" w:ascii="Calibri" w:hAnsi="Calibri"/>
          <w:b/>
          <w:sz w:val="20"/>
          <w:szCs w:val="20"/>
        </w:rPr>
        <w:t>CONTRATANTE</w:t>
      </w:r>
      <w:r>
        <w:rPr>
          <w:rFonts w:cs="Calibri" w:ascii="Calibri" w:hAnsi="Calibri"/>
          <w:sz w:val="20"/>
          <w:szCs w:val="20"/>
        </w:rPr>
        <w:t>, no prazo máximo de 05 (cinco) dias úteis, qualquer alteração no Contrato Social ou no endereço comercial;</w:t>
      </w:r>
    </w:p>
    <w:p>
      <w:pPr>
        <w:pStyle w:val="LO-normal"/>
        <w:rPr>
          <w:rFonts w:ascii="Calibri" w:hAnsi="Calibri"/>
          <w:sz w:val="20"/>
          <w:szCs w:val="20"/>
        </w:rPr>
      </w:pPr>
      <w:r>
        <w:rPr>
          <w:rFonts w:cs="Calibri" w:ascii="Calibri" w:hAnsi="Calibri"/>
          <w:b/>
          <w:bCs/>
          <w:sz w:val="20"/>
          <w:szCs w:val="20"/>
        </w:rPr>
        <w:t>XVIII.</w:t>
      </w:r>
      <w:r>
        <w:rPr>
          <w:rFonts w:cs="Calibri" w:ascii="Calibri" w:hAnsi="Calibri"/>
          <w:sz w:val="20"/>
          <w:szCs w:val="20"/>
        </w:rPr>
        <w:t xml:space="preserve"> Apresentar, suplementar ou estender a garantia de execução contratual, se exigível, no prazo assinalado no </w:t>
      </w:r>
      <w:r>
        <w:rPr>
          <w:rFonts w:cs="Calibri" w:ascii="Calibri" w:hAnsi="Calibri"/>
          <w:b/>
          <w:bCs/>
          <w:sz w:val="20"/>
          <w:szCs w:val="20"/>
        </w:rPr>
        <w:t>CONTRATO.</w:t>
      </w:r>
    </w:p>
    <w:p>
      <w:pPr>
        <w:pStyle w:val="LO-normal1"/>
        <w:numPr>
          <w:ilvl w:val="0"/>
          <w:numId w:val="0"/>
        </w:numPr>
        <w:spacing w:lineRule="auto" w:line="240" w:before="0" w:after="0"/>
        <w:ind w:hanging="0" w:left="0" w:right="142"/>
        <w:jc w:val="both"/>
        <w:rPr>
          <w:rFonts w:ascii="Calibri" w:hAnsi="Calibri" w:eastAsia="Calibri" w:cs="Calibri"/>
          <w:color w:val="000000"/>
          <w:sz w:val="20"/>
          <w:szCs w:val="20"/>
        </w:rPr>
      </w:pPr>
      <w:r>
        <w:rPr>
          <w:rFonts w:eastAsia="Calibri" w:cs="Calibri" w:ascii="Calibri" w:hAnsi="Calibri"/>
          <w:b/>
          <w:bCs/>
          <w:color w:val="000000"/>
          <w:sz w:val="20"/>
          <w:szCs w:val="20"/>
        </w:rPr>
        <w:t xml:space="preserve">8.  </w:t>
      </w:r>
      <w:r>
        <w:rPr>
          <w:rFonts w:eastAsia="Calibri" w:cs="Calibri" w:ascii="Calibri" w:hAnsi="Calibri"/>
          <w:b/>
          <w:color w:val="000000"/>
          <w:sz w:val="20"/>
          <w:szCs w:val="20"/>
        </w:rPr>
        <w:t>MODELO DE GESTÃO DO CONTRATO</w:t>
      </w:r>
    </w:p>
    <w:p>
      <w:pPr>
        <w:pStyle w:val="LO-normal1"/>
        <w:spacing w:lineRule="auto" w:line="240" w:before="0" w:after="0"/>
        <w:ind w:hanging="0" w:left="720" w:right="142"/>
        <w:jc w:val="both"/>
        <w:rPr>
          <w:rFonts w:ascii="Calibri" w:hAnsi="Calibri" w:eastAsia="Calibri" w:cs="Calibri"/>
          <w:color w:val="000000"/>
          <w:sz w:val="20"/>
          <w:szCs w:val="20"/>
          <w:highlight w:val="green"/>
          <w:u w:val="single"/>
        </w:rPr>
      </w:pPr>
      <w:r>
        <w:rPr>
          <w:rFonts w:eastAsia="Calibri" w:cs="Calibri" w:ascii="Calibri" w:hAnsi="Calibri"/>
          <w:color w:val="000000"/>
          <w:sz w:val="20"/>
          <w:szCs w:val="20"/>
          <w:highlight w:val="green"/>
          <w:u w:val="single"/>
        </w:rPr>
      </w:r>
    </w:p>
    <w:p>
      <w:pPr>
        <w:pStyle w:val="LO-normal1"/>
        <w:widowControl w:val="false"/>
        <w:numPr>
          <w:ilvl w:val="0"/>
          <w:numId w:val="0"/>
        </w:numPr>
        <w:spacing w:before="0" w:after="0"/>
        <w:ind w:hanging="0" w:left="0"/>
        <w:jc w:val="both"/>
        <w:rPr>
          <w:rFonts w:ascii="Calibri" w:hAnsi="Calibri" w:eastAsia="Calibri" w:cs="Calibri"/>
          <w:color w:val="000000"/>
          <w:sz w:val="20"/>
          <w:szCs w:val="20"/>
        </w:rPr>
      </w:pPr>
      <w:r>
        <w:rPr>
          <w:rFonts w:eastAsia="Calibri" w:cs="Calibri" w:ascii="Calibri" w:hAnsi="Calibri"/>
          <w:b/>
          <w:bCs/>
          <w:color w:val="000000"/>
          <w:sz w:val="20"/>
          <w:szCs w:val="20"/>
        </w:rPr>
        <w:t>8.1.1</w:t>
      </w:r>
      <w:r>
        <w:rPr>
          <w:rFonts w:eastAsia="Calibri" w:cs="Calibri" w:ascii="Calibri" w:hAnsi="Calibri"/>
          <w:color w:val="000000"/>
          <w:sz w:val="20"/>
          <w:szCs w:val="20"/>
        </w:rPr>
        <w:t xml:space="preserve">  A execução contratual será acompanhada e fiscalizada pelo órgão Contratante, devendo a CONTRATADA fornecer todas as informações solicitadas no prazo máximo de 02 (dois) dias úteis após o recebimento da solicitação.</w:t>
      </w:r>
    </w:p>
    <w:p>
      <w:pPr>
        <w:pStyle w:val="LO-normal1"/>
        <w:widowControl w:val="false"/>
        <w:numPr>
          <w:ilvl w:val="0"/>
          <w:numId w:val="0"/>
        </w:numPr>
        <w:spacing w:before="0" w:after="0"/>
        <w:ind w:hanging="0" w:left="0"/>
        <w:jc w:val="both"/>
        <w:rPr>
          <w:rFonts w:ascii="Calibri" w:hAnsi="Calibri" w:eastAsia="Calibri" w:cs="Calibri"/>
          <w:color w:val="000000"/>
          <w:sz w:val="20"/>
          <w:szCs w:val="20"/>
        </w:rPr>
      </w:pPr>
      <w:r>
        <w:rPr>
          <w:rFonts w:eastAsia="Calibri" w:cs="Calibri" w:ascii="Calibri" w:hAnsi="Calibri"/>
          <w:color w:val="000000"/>
          <w:sz w:val="20"/>
          <w:szCs w:val="20"/>
        </w:rPr>
      </w:r>
    </w:p>
    <w:p>
      <w:pPr>
        <w:pStyle w:val="LO-normal1"/>
        <w:widowControl w:val="false"/>
        <w:numPr>
          <w:ilvl w:val="0"/>
          <w:numId w:val="0"/>
        </w:numPr>
        <w:spacing w:before="0" w:after="0"/>
        <w:ind w:hanging="0" w:left="0"/>
        <w:jc w:val="both"/>
        <w:rPr>
          <w:rFonts w:ascii="Calibri" w:hAnsi="Calibri" w:eastAsia="Calibri" w:cs="Calibri"/>
          <w:color w:val="000000"/>
          <w:sz w:val="20"/>
          <w:szCs w:val="20"/>
        </w:rPr>
      </w:pPr>
      <w:r>
        <w:rPr>
          <w:rFonts w:cs="Calibri" w:ascii="Calibri" w:hAnsi="Calibri"/>
          <w:b/>
          <w:bCs/>
          <w:sz w:val="20"/>
          <w:szCs w:val="20"/>
        </w:rPr>
        <w:t>8.1.2</w:t>
      </w:r>
      <w:r>
        <w:rPr>
          <w:rFonts w:cs="Calibri" w:ascii="Calibri" w:hAnsi="Calibri"/>
          <w:sz w:val="20"/>
          <w:szCs w:val="20"/>
        </w:rPr>
        <w:t xml:space="preserve">  As obrigações dos agentes responsáveis pela gestão e fiscalização da presente contratação estão detalhadas </w:t>
      </w:r>
      <w:r>
        <w:rPr>
          <w:rFonts w:cs="Calibri" w:ascii="Calibri" w:hAnsi="Calibri"/>
          <w:sz w:val="20"/>
          <w:szCs w:val="20"/>
          <w:lang w:val="pt-BR"/>
        </w:rPr>
        <w:t>no Decreto Estadual nº 51.651/2021.</w:t>
      </w:r>
    </w:p>
    <w:p>
      <w:pPr>
        <w:pStyle w:val="LO-normal1"/>
        <w:widowControl w:val="false"/>
        <w:numPr>
          <w:ilvl w:val="0"/>
          <w:numId w:val="0"/>
        </w:numPr>
        <w:suppressAutoHyphens w:val="true"/>
        <w:bidi w:val="0"/>
        <w:spacing w:lineRule="auto" w:line="276" w:before="0" w:after="0"/>
        <w:ind w:hanging="0" w:left="0" w:right="0"/>
        <w:jc w:val="both"/>
        <w:rPr>
          <w:rFonts w:ascii="Calibri" w:hAnsi="Calibri" w:eastAsia="Calibri" w:cs="Calibri"/>
          <w:color w:val="000000"/>
          <w:sz w:val="20"/>
          <w:szCs w:val="20"/>
        </w:rPr>
      </w:pPr>
      <w:r>
        <w:rPr>
          <w:rFonts w:eastAsia="Calibri" w:cs="Calibri" w:ascii="Calibri" w:hAnsi="Calibri"/>
          <w:color w:val="000000"/>
          <w:sz w:val="20"/>
          <w:szCs w:val="20"/>
        </w:rPr>
      </w:r>
    </w:p>
    <w:p>
      <w:pPr>
        <w:pStyle w:val="LO-normal1"/>
        <w:widowControl w:val="false"/>
        <w:numPr>
          <w:ilvl w:val="0"/>
          <w:numId w:val="0"/>
        </w:numPr>
        <w:spacing w:before="0" w:after="0"/>
        <w:ind w:hanging="0" w:left="0"/>
        <w:jc w:val="both"/>
        <w:rPr>
          <w:rFonts w:ascii="Calibri" w:hAnsi="Calibri" w:eastAsia="Calibri" w:cs="Calibri"/>
          <w:color w:val="000000"/>
          <w:sz w:val="20"/>
          <w:szCs w:val="20"/>
        </w:rPr>
      </w:pPr>
      <w:r>
        <w:rPr>
          <w:rFonts w:eastAsia="Calibri" w:cs="Calibri" w:ascii="Calibri" w:hAnsi="Calibri"/>
          <w:b/>
          <w:bCs/>
          <w:color w:val="000000"/>
          <w:sz w:val="20"/>
          <w:szCs w:val="20"/>
          <w:lang w:val="pt-BR"/>
        </w:rPr>
        <w:t>8.1.3</w:t>
      </w:r>
      <w:r>
        <w:rPr>
          <w:rFonts w:eastAsia="Calibri" w:cs="Calibri" w:ascii="Calibri" w:hAnsi="Calibri"/>
          <w:color w:val="000000"/>
          <w:sz w:val="20"/>
          <w:szCs w:val="20"/>
          <w:lang w:val="pt-BR"/>
        </w:rPr>
        <w:t xml:space="preserve">  </w:t>
      </w:r>
      <w:r>
        <w:rPr>
          <w:rFonts w:eastAsia="Calibri" w:cs="Calibri" w:ascii="Calibri" w:hAnsi="Calibri"/>
          <w:color w:val="000000"/>
          <w:sz w:val="20"/>
          <w:szCs w:val="20"/>
        </w:rPr>
        <w:t xml:space="preserve">A comunicação entre a Contratante e a Contratada se dará por meio de ordem de serviço, sem prejuízo de outros meios disponíveis. </w:t>
      </w:r>
    </w:p>
    <w:p>
      <w:pPr>
        <w:pStyle w:val="LO-normal1"/>
        <w:widowControl w:val="false"/>
        <w:numPr>
          <w:ilvl w:val="0"/>
          <w:numId w:val="0"/>
        </w:numPr>
        <w:spacing w:before="0" w:after="0"/>
        <w:ind w:hanging="0" w:left="0"/>
        <w:jc w:val="both"/>
        <w:rPr>
          <w:rFonts w:ascii="Calibri" w:hAnsi="Calibri" w:eastAsia="Calibri" w:cs="Calibri"/>
          <w:color w:val="000000"/>
          <w:sz w:val="20"/>
          <w:szCs w:val="20"/>
        </w:rPr>
      </w:pPr>
      <w:r>
        <w:rPr>
          <w:rFonts w:eastAsia="Calibri" w:cs="Calibri" w:ascii="Calibri" w:hAnsi="Calibri"/>
          <w:color w:val="000000"/>
          <w:sz w:val="20"/>
          <w:szCs w:val="20"/>
        </w:rPr>
      </w:r>
    </w:p>
    <w:p>
      <w:pPr>
        <w:pStyle w:val="LO-normal1"/>
        <w:widowControl w:val="false"/>
        <w:numPr>
          <w:ilvl w:val="0"/>
          <w:numId w:val="0"/>
        </w:numPr>
        <w:spacing w:before="0" w:after="0"/>
        <w:ind w:hanging="0" w:left="0"/>
        <w:jc w:val="left"/>
        <w:rPr>
          <w:rFonts w:ascii="Calibri" w:hAnsi="Calibri" w:eastAsia="Calibri" w:cs="Calibri"/>
          <w:color w:val="000000"/>
          <w:sz w:val="20"/>
          <w:szCs w:val="20"/>
        </w:rPr>
      </w:pPr>
      <w:bookmarkStart w:id="2" w:name="_Hlk1303681371"/>
      <w:bookmarkEnd w:id="2"/>
      <w:r>
        <w:rPr>
          <w:rFonts w:eastAsia="Calibri" w:cs="Calibri" w:ascii="Calibri" w:hAnsi="Calibri"/>
          <w:b/>
          <w:bCs/>
          <w:color w:val="000000"/>
          <w:sz w:val="20"/>
          <w:szCs w:val="20"/>
        </w:rPr>
        <w:t xml:space="preserve">8.1.4 </w:t>
      </w:r>
      <w:r>
        <w:rPr>
          <w:rFonts w:eastAsia="Calibri" w:cs="Calibri" w:ascii="Calibri" w:hAnsi="Calibri"/>
          <w:b w:val="false"/>
          <w:bCs w:val="false"/>
          <w:color w:val="000000"/>
          <w:sz w:val="20"/>
          <w:szCs w:val="20"/>
        </w:rPr>
        <w:t xml:space="preserve"> A contratada deverá apresentar a Nota Fiscal ou fatura para atesto da Administração no seguinte endereço: Av.  Av. Rio Capibaribe, 147, São José, Recife-PE. CEP: 50.020-080.</w:t>
      </w:r>
      <w:bookmarkStart w:id="3" w:name="_Hlk130368137"/>
      <w:bookmarkEnd w:id="3"/>
      <w:r>
        <w:rPr>
          <w:rFonts w:eastAsia="Calibri" w:cs="Calibri" w:ascii="Calibri" w:hAnsi="Calibri"/>
          <w:b w:val="false"/>
          <w:bCs w:val="false"/>
          <w:color w:val="000000"/>
          <w:sz w:val="20"/>
          <w:szCs w:val="20"/>
        </w:rPr>
        <w:br/>
        <w:br/>
      </w:r>
      <w:r>
        <w:rPr>
          <w:rFonts w:ascii="Calibri" w:hAnsi="Calibri"/>
          <w:b/>
          <w:bCs/>
          <w:sz w:val="20"/>
          <w:szCs w:val="20"/>
        </w:rPr>
        <w:t xml:space="preserve">9.  DOS CRITÉRIOS E PRAZOS PARA PAGAMENTO </w:t>
        <w:br/>
        <w:br/>
        <w:t xml:space="preserve">9.1.   </w:t>
      </w:r>
      <w:r>
        <w:rPr>
          <w:rFonts w:ascii="Calibri" w:hAnsi="Calibri"/>
          <w:sz w:val="20"/>
          <w:szCs w:val="20"/>
        </w:rPr>
        <w:t>O empenhamento somente será efetuado, e consequentemente paga a despesa, na forma prevista neste termo de referência, se a contratada estiver inscrita no CADASTRO DE FORNECEDORES DO ESTADO DE PERNAMBUCO – CADFOR.</w:t>
      </w:r>
    </w:p>
    <w:p>
      <w:pPr>
        <w:pStyle w:val="LO-normal"/>
        <w:rPr>
          <w:rFonts w:ascii="Calibri" w:hAnsi="Calibri"/>
          <w:sz w:val="20"/>
          <w:szCs w:val="20"/>
        </w:rPr>
      </w:pPr>
      <w:r>
        <w:rPr>
          <w:rFonts w:cs="Calibri" w:ascii="Calibri" w:hAnsi="Calibri"/>
          <w:b/>
          <w:sz w:val="20"/>
          <w:szCs w:val="20"/>
        </w:rPr>
        <w:t>9.2</w:t>
      </w:r>
      <w:r>
        <w:rPr>
          <w:rFonts w:cs="Calibri" w:ascii="Calibri" w:hAnsi="Calibri"/>
          <w:sz w:val="20"/>
          <w:szCs w:val="20"/>
        </w:rPr>
        <w:t>. O pagamento deverá ser efetuado à Contratada, em até 30 (trinta) dias corridos, à vista de termo de recebimento definitivo dos bens ou de recibo, conforme o caso, acompanhado da apresentação de Nota Fiscal / fatura discriminativa, devidamente atestada pelo servidor competente.</w:t>
        <w:br/>
        <w:br/>
      </w:r>
      <w:r>
        <w:rPr>
          <w:rFonts w:cs="Calibri" w:ascii="Calibri" w:hAnsi="Calibri"/>
          <w:b/>
          <w:bCs/>
          <w:sz w:val="20"/>
          <w:szCs w:val="20"/>
        </w:rPr>
        <w:t>9.3.</w:t>
      </w:r>
      <w:r>
        <w:rPr>
          <w:rFonts w:cs="Calibri" w:ascii="Calibri" w:hAnsi="Calibri"/>
          <w:sz w:val="20"/>
          <w:szCs w:val="20"/>
        </w:rPr>
        <w:t xml:space="preserve">  </w:t>
      </w:r>
      <w:r>
        <w:rPr>
          <w:rFonts w:ascii="Calibri" w:hAnsi="Calibri"/>
          <w:sz w:val="20"/>
          <w:szCs w:val="20"/>
        </w:rPr>
        <w:t>Nos casos de eventuais atrasos de pagamento, verificados por culpa única e exclusiva da CONTRATANTE, fica convencionado que a taxa de atualização financeira, devida pela Contratante entre o prazo referido no item anterior e o correspondente ao efetivo adimplemento da parcela, será calculada mediante a aplicação da seguinte fórmula:</w:t>
      </w:r>
    </w:p>
    <w:p>
      <w:pPr>
        <w:pStyle w:val="LO-normal"/>
        <w:rPr>
          <w:rFonts w:ascii="Calibri" w:hAnsi="Calibri"/>
          <w:sz w:val="20"/>
          <w:szCs w:val="20"/>
        </w:rPr>
      </w:pPr>
      <w:r>
        <w:rPr>
          <w:rFonts w:ascii="Calibri" w:hAnsi="Calibri"/>
          <w:sz w:val="20"/>
          <w:szCs w:val="20"/>
        </w:rPr>
        <w:br/>
        <w:tab/>
        <w:tab/>
        <w:tab/>
        <w:tab/>
        <w:t xml:space="preserve">         EM = I x N x VP</w:t>
      </w:r>
    </w:p>
    <w:p>
      <w:pPr>
        <w:pStyle w:val="LO-normal"/>
        <w:rPr>
          <w:rFonts w:ascii="Calibri" w:hAnsi="Calibri"/>
          <w:sz w:val="20"/>
          <w:szCs w:val="20"/>
        </w:rPr>
      </w:pPr>
      <w:r>
        <w:rPr>
          <w:rFonts w:ascii="Calibri" w:hAnsi="Calibri"/>
          <w:sz w:val="20"/>
          <w:szCs w:val="20"/>
        </w:rPr>
        <w:t>Onde:</w:t>
      </w:r>
    </w:p>
    <w:p>
      <w:pPr>
        <w:pStyle w:val="LO-normal"/>
        <w:rPr>
          <w:rFonts w:ascii="Calibri" w:hAnsi="Calibri"/>
          <w:sz w:val="20"/>
          <w:szCs w:val="20"/>
        </w:rPr>
      </w:pPr>
      <w:r>
        <w:rPr>
          <w:rFonts w:ascii="Calibri" w:hAnsi="Calibri"/>
          <w:sz w:val="20"/>
          <w:szCs w:val="20"/>
        </w:rPr>
        <w:t>EM = Encargos Moratórios</w:t>
      </w:r>
    </w:p>
    <w:p>
      <w:pPr>
        <w:pStyle w:val="LO-normal"/>
        <w:rPr>
          <w:rFonts w:ascii="Calibri" w:hAnsi="Calibri"/>
          <w:sz w:val="20"/>
          <w:szCs w:val="20"/>
        </w:rPr>
      </w:pPr>
      <w:r>
        <w:rPr>
          <w:rFonts w:ascii="Calibri" w:hAnsi="Calibri"/>
          <w:sz w:val="20"/>
          <w:szCs w:val="20"/>
        </w:rPr>
        <w:t>N = Número de dias entre a data prevista para pagamento e a do efetivo pagamento </w:t>
      </w:r>
    </w:p>
    <w:p>
      <w:pPr>
        <w:pStyle w:val="LO-normal"/>
        <w:rPr>
          <w:rFonts w:ascii="Calibri" w:hAnsi="Calibri"/>
          <w:sz w:val="20"/>
          <w:szCs w:val="20"/>
        </w:rPr>
      </w:pPr>
      <w:r>
        <w:rPr>
          <w:rFonts w:ascii="Calibri" w:hAnsi="Calibri"/>
          <w:sz w:val="20"/>
          <w:szCs w:val="20"/>
        </w:rPr>
        <w:t>VP = Valor da parcela a ser paga</w:t>
      </w:r>
    </w:p>
    <w:p>
      <w:pPr>
        <w:pStyle w:val="LO-normal"/>
        <w:rPr>
          <w:rFonts w:ascii="Calibri" w:hAnsi="Calibri"/>
          <w:sz w:val="20"/>
          <w:szCs w:val="20"/>
        </w:rPr>
      </w:pPr>
      <w:r>
        <w:rPr>
          <w:rFonts w:eastAsia="Calibri" w:cs="Calibri" w:ascii="Calibri" w:hAnsi="Calibri"/>
          <w:color w:val="000000"/>
          <w:sz w:val="20"/>
          <w:szCs w:val="20"/>
        </w:rPr>
        <w:t xml:space="preserve">I = Índice de atualização financeira. Assim apurado: I = </w:t>
      </w:r>
      <w:r>
        <w:rPr>
          <w:rFonts w:eastAsia="Calibri" w:cs="Calibri" w:ascii="Calibri" w:hAnsi="Calibri"/>
          <w:color w:val="000000"/>
          <w:sz w:val="20"/>
          <w:szCs w:val="20"/>
          <w:u w:val="single"/>
        </w:rPr>
        <w:t>(TX/100)</w:t>
      </w:r>
    </w:p>
    <w:p>
      <w:pPr>
        <w:pStyle w:val="LO-normal"/>
        <w:rPr>
          <w:rFonts w:ascii="Calibri" w:hAnsi="Calibri"/>
          <w:sz w:val="20"/>
          <w:szCs w:val="20"/>
        </w:rPr>
      </w:pPr>
      <w:r>
        <w:rPr>
          <w:rFonts w:ascii="Calibri" w:hAnsi="Calibri"/>
          <w:sz w:val="20"/>
          <w:szCs w:val="20"/>
        </w:rPr>
        <w:t>365</w:t>
      </w:r>
    </w:p>
    <w:p>
      <w:pPr>
        <w:pStyle w:val="LO-normal"/>
        <w:rPr>
          <w:rFonts w:ascii="Calibri" w:hAnsi="Calibri"/>
          <w:sz w:val="20"/>
          <w:szCs w:val="20"/>
        </w:rPr>
      </w:pPr>
      <w:r>
        <w:rPr>
          <w:rFonts w:ascii="Calibri" w:hAnsi="Calibri"/>
          <w:sz w:val="20"/>
          <w:szCs w:val="20"/>
        </w:rPr>
        <w:t>TX = Índice Nacional de Preços ao Consumidor Amplo – IPCA</w:t>
        <w:br/>
        <w:br/>
        <w:br/>
      </w:r>
      <w:r>
        <w:rPr>
          <w:rFonts w:ascii="Calibri" w:hAnsi="Calibri"/>
          <w:b/>
          <w:bCs/>
          <w:sz w:val="20"/>
          <w:szCs w:val="20"/>
        </w:rPr>
        <w:t>9.4</w:t>
      </w:r>
      <w:r>
        <w:rPr>
          <w:rFonts w:ascii="Calibri" w:hAnsi="Calibri"/>
          <w:sz w:val="20"/>
          <w:szCs w:val="20"/>
        </w:rPr>
        <w:t>.  A atualização ﬁnanceira prevista nesta condição será incluída na Nota Fiscal/Fatura do mês seguinte ao da ocorrência.</w:t>
        <w:br/>
        <w:br/>
      </w:r>
      <w:r>
        <w:rPr>
          <w:rFonts w:ascii="Calibri" w:hAnsi="Calibri"/>
          <w:b/>
          <w:bCs/>
          <w:sz w:val="20"/>
          <w:szCs w:val="20"/>
        </w:rPr>
        <w:t>9.5.</w:t>
      </w:r>
      <w:r>
        <w:rPr>
          <w:rFonts w:ascii="Calibri" w:hAnsi="Calibri"/>
          <w:sz w:val="20"/>
          <w:szCs w:val="20"/>
        </w:rPr>
        <w:t xml:space="preserve">  Nenhum pagamento será efetuado à Contratada, cuja situação junto ao Cadastro de Fornecedores do Estado de Pernambuco esteja irregular e enquanto pendente de liquidação ou qualquer obrigação financeira que lhe for imposta, em virtude de penalidade.</w:t>
        <w:br/>
        <w:br/>
      </w:r>
      <w:r>
        <w:rPr>
          <w:rFonts w:ascii="Calibri" w:hAnsi="Calibri"/>
          <w:b/>
          <w:bCs/>
          <w:sz w:val="20"/>
          <w:szCs w:val="20"/>
        </w:rPr>
        <w:t>9.6.</w:t>
      </w:r>
      <w:r>
        <w:rPr>
          <w:rFonts w:ascii="Calibri" w:hAnsi="Calibri"/>
          <w:sz w:val="20"/>
          <w:szCs w:val="20"/>
        </w:rPr>
        <w:t xml:space="preserve">  A Contratada é responsável pelos pagamentos de quaisquer tributos, sejam eles sociais, trabalhistas, previdenciários, fiscais, comerciais ou de qualquer outra natureza resultantes da execução do contrato.</w:t>
        <w:br/>
        <w:br/>
      </w:r>
      <w:r>
        <w:rPr>
          <w:rFonts w:ascii="Calibri" w:hAnsi="Calibri"/>
          <w:b/>
          <w:bCs/>
          <w:sz w:val="20"/>
          <w:szCs w:val="20"/>
        </w:rPr>
        <w:t>9.7.</w:t>
      </w:r>
      <w:r>
        <w:rPr>
          <w:rFonts w:ascii="Calibri" w:hAnsi="Calibri"/>
          <w:sz w:val="20"/>
          <w:szCs w:val="20"/>
        </w:rPr>
        <w:t xml:space="preserve"> A CONTRATANTE solicitará à CONTRATADA, na hipótese de glosas e/ou incorreções de valores, a correspondente retificação objetivando a emissão da nota fiscal/fatura.</w:t>
      </w:r>
    </w:p>
    <w:p>
      <w:pPr>
        <w:pStyle w:val="LO-normal"/>
        <w:rPr>
          <w:rFonts w:ascii="Calibri" w:hAnsi="Calibri"/>
          <w:sz w:val="20"/>
          <w:szCs w:val="20"/>
        </w:rPr>
      </w:pPr>
      <w:r>
        <w:rPr>
          <w:rFonts w:ascii="Calibri" w:hAnsi="Calibri"/>
          <w:b/>
          <w:bCs/>
          <w:sz w:val="20"/>
          <w:szCs w:val="20"/>
        </w:rPr>
        <w:t xml:space="preserve">10. </w:t>
      </w:r>
      <w:r>
        <w:rPr>
          <w:rFonts w:ascii="Calibri" w:hAnsi="Calibri"/>
          <w:sz w:val="20"/>
          <w:szCs w:val="20"/>
        </w:rPr>
        <w:t xml:space="preserve"> </w:t>
      </w:r>
      <w:r>
        <w:rPr>
          <w:rFonts w:ascii="Calibri" w:hAnsi="Calibri"/>
          <w:b/>
          <w:bCs/>
          <w:sz w:val="20"/>
          <w:szCs w:val="20"/>
        </w:rPr>
        <w:t>DAS SANÇÕES</w:t>
      </w:r>
    </w:p>
    <w:p>
      <w:pPr>
        <w:pStyle w:val="LO-normal"/>
        <w:rPr>
          <w:rFonts w:ascii="Calibri" w:hAnsi="Calibri"/>
          <w:sz w:val="20"/>
          <w:szCs w:val="20"/>
        </w:rPr>
      </w:pPr>
      <w:r>
        <w:rPr>
          <w:rFonts w:ascii="Calibri" w:hAnsi="Calibri"/>
          <w:b/>
          <w:bCs/>
          <w:sz w:val="20"/>
          <w:szCs w:val="20"/>
        </w:rPr>
        <w:t xml:space="preserve">10.1. </w:t>
      </w:r>
      <w:r>
        <w:rPr>
          <w:rFonts w:ascii="Calibri" w:hAnsi="Calibri"/>
          <w:b w:val="false"/>
          <w:bCs w:val="false"/>
          <w:sz w:val="20"/>
          <w:szCs w:val="20"/>
        </w:rPr>
        <w:t xml:space="preserve"> </w:t>
      </w:r>
      <w:r>
        <w:rPr>
          <w:rFonts w:ascii="Calibri" w:hAnsi="Calibri"/>
          <w:sz w:val="20"/>
          <w:szCs w:val="20"/>
        </w:rPr>
        <w:t>Comete infração administrativa, nos termos do art. 155 da Lei nº 14.133/2021, o PROPONENTE e o CONTRATADO que:</w:t>
      </w:r>
    </w:p>
    <w:p>
      <w:pPr>
        <w:pStyle w:val="LO-normal"/>
        <w:rPr>
          <w:rFonts w:ascii="Calibri" w:hAnsi="Calibri"/>
          <w:sz w:val="20"/>
          <w:szCs w:val="20"/>
        </w:rPr>
      </w:pPr>
      <w:r>
        <w:rPr>
          <w:rFonts w:cs="Arial" w:ascii="Calibri" w:hAnsi="Calibri"/>
          <w:b/>
          <w:bCs/>
          <w:color w:val="000000"/>
          <w:sz w:val="20"/>
          <w:szCs w:val="20"/>
        </w:rPr>
        <w:t>10.1.1</w:t>
      </w:r>
      <w:r>
        <w:rPr>
          <w:rFonts w:cs="Arial" w:ascii="Calibri" w:hAnsi="Calibri"/>
          <w:color w:val="000000"/>
          <w:sz w:val="20"/>
          <w:szCs w:val="20"/>
        </w:rPr>
        <w:t xml:space="preserve">  Der causa à inexecução parcial do contrato</w:t>
      </w:r>
      <w:r>
        <w:rPr>
          <w:rFonts w:cs="Arial" w:ascii="Calibri" w:hAnsi="Calibri"/>
          <w:sz w:val="20"/>
          <w:szCs w:val="20"/>
        </w:rPr>
        <w:t>;</w:t>
        <w:br/>
        <w:br/>
      </w:r>
      <w:r>
        <w:rPr>
          <w:rFonts w:cs="Arial" w:ascii="Calibri" w:hAnsi="Calibri"/>
          <w:b/>
          <w:bCs/>
          <w:sz w:val="20"/>
          <w:szCs w:val="20"/>
        </w:rPr>
        <w:t>10.1.2</w:t>
      </w:r>
      <w:r>
        <w:rPr>
          <w:rFonts w:cs="Arial" w:ascii="Calibri" w:hAnsi="Calibri"/>
          <w:sz w:val="20"/>
          <w:szCs w:val="20"/>
        </w:rPr>
        <w:t xml:space="preserve">  </w:t>
      </w:r>
      <w:r>
        <w:rPr>
          <w:rFonts w:ascii="Calibri" w:hAnsi="Calibri"/>
          <w:sz w:val="20"/>
          <w:szCs w:val="20"/>
        </w:rPr>
        <w:t>Der causa à inexecução parcial do contrato que cause grave dano à Administração, ao funcionamento dos serviços públicos ou ao interesse coletivo;</w:t>
      </w:r>
    </w:p>
    <w:p>
      <w:pPr>
        <w:pStyle w:val="LO-normal"/>
        <w:rPr>
          <w:rFonts w:ascii="Calibri" w:hAnsi="Calibri"/>
          <w:sz w:val="20"/>
          <w:szCs w:val="20"/>
        </w:rPr>
      </w:pPr>
      <w:r>
        <w:rPr>
          <w:rFonts w:ascii="Calibri" w:hAnsi="Calibri"/>
          <w:b/>
          <w:bCs/>
          <w:sz w:val="20"/>
          <w:szCs w:val="20"/>
        </w:rPr>
        <w:t>10.1.3</w:t>
      </w:r>
      <w:r>
        <w:rPr>
          <w:rFonts w:ascii="Calibri" w:hAnsi="Calibri"/>
          <w:sz w:val="20"/>
          <w:szCs w:val="20"/>
        </w:rPr>
        <w:t xml:space="preserve">  Der causa à inexecução total do contrato;</w:t>
      </w:r>
    </w:p>
    <w:p>
      <w:pPr>
        <w:pStyle w:val="LO-normal"/>
        <w:rPr>
          <w:rFonts w:ascii="Calibri" w:hAnsi="Calibri"/>
          <w:sz w:val="20"/>
          <w:szCs w:val="20"/>
        </w:rPr>
      </w:pPr>
      <w:r>
        <w:rPr>
          <w:rFonts w:ascii="Calibri" w:hAnsi="Calibri"/>
          <w:b/>
          <w:bCs/>
          <w:sz w:val="20"/>
          <w:szCs w:val="20"/>
        </w:rPr>
        <w:t>10.1.4</w:t>
      </w:r>
      <w:r>
        <w:rPr>
          <w:rFonts w:ascii="Calibri" w:hAnsi="Calibri"/>
          <w:sz w:val="20"/>
          <w:szCs w:val="20"/>
        </w:rPr>
        <w:t xml:space="preserve">  Deixar de entregar a documentação exigida para a dispensa;</w:t>
      </w:r>
    </w:p>
    <w:p>
      <w:pPr>
        <w:pStyle w:val="LO-normal"/>
        <w:rPr>
          <w:rFonts w:ascii="Calibri" w:hAnsi="Calibri"/>
          <w:sz w:val="20"/>
          <w:szCs w:val="20"/>
        </w:rPr>
      </w:pPr>
      <w:r>
        <w:rPr>
          <w:rFonts w:ascii="Calibri" w:hAnsi="Calibri"/>
          <w:b/>
          <w:bCs/>
          <w:sz w:val="20"/>
          <w:szCs w:val="20"/>
        </w:rPr>
        <w:t>10.1.5</w:t>
      </w:r>
      <w:r>
        <w:rPr>
          <w:rFonts w:ascii="Calibri" w:hAnsi="Calibri"/>
          <w:sz w:val="20"/>
          <w:szCs w:val="20"/>
        </w:rPr>
        <w:t xml:space="preserve">  Não mantiver a proposta, salvo em decorrência de fato superveniente devidamente justificado;</w:t>
      </w:r>
    </w:p>
    <w:p>
      <w:pPr>
        <w:pStyle w:val="LO-normal"/>
        <w:rPr>
          <w:rFonts w:ascii="Calibri" w:hAnsi="Calibri"/>
          <w:sz w:val="20"/>
          <w:szCs w:val="20"/>
        </w:rPr>
      </w:pPr>
      <w:r>
        <w:rPr>
          <w:rFonts w:ascii="Calibri" w:hAnsi="Calibri"/>
          <w:b/>
          <w:bCs/>
          <w:sz w:val="20"/>
          <w:szCs w:val="20"/>
        </w:rPr>
        <w:t>10.1.6</w:t>
      </w:r>
      <w:r>
        <w:rPr>
          <w:rFonts w:ascii="Calibri" w:hAnsi="Calibri"/>
          <w:sz w:val="20"/>
          <w:szCs w:val="20"/>
        </w:rPr>
        <w:t xml:space="preserve">  Não celebrar o contrato ou não entregar a documentação exigida para a contratação, quando convocado dentro do prazo de validade de sua proposta;</w:t>
      </w:r>
    </w:p>
    <w:p>
      <w:pPr>
        <w:pStyle w:val="LO-normal"/>
        <w:rPr>
          <w:rFonts w:ascii="Calibri" w:hAnsi="Calibri"/>
          <w:sz w:val="20"/>
          <w:szCs w:val="20"/>
        </w:rPr>
      </w:pPr>
      <w:r>
        <w:rPr>
          <w:rFonts w:ascii="Calibri" w:hAnsi="Calibri"/>
          <w:b/>
          <w:bCs/>
          <w:sz w:val="20"/>
          <w:szCs w:val="20"/>
        </w:rPr>
        <w:t>10.1.7</w:t>
      </w:r>
      <w:r>
        <w:rPr>
          <w:rFonts w:ascii="Calibri" w:hAnsi="Calibri"/>
          <w:sz w:val="20"/>
          <w:szCs w:val="20"/>
        </w:rPr>
        <w:t xml:space="preserve">  Ensejar o retardamento da execução ou da entrega do objeto da dispensa sem motivo justificado;</w:t>
      </w:r>
    </w:p>
    <w:p>
      <w:pPr>
        <w:pStyle w:val="LO-normal"/>
        <w:rPr>
          <w:rFonts w:ascii="Calibri" w:hAnsi="Calibri"/>
          <w:sz w:val="20"/>
          <w:szCs w:val="20"/>
        </w:rPr>
      </w:pPr>
      <w:r>
        <w:rPr>
          <w:rFonts w:ascii="Calibri" w:hAnsi="Calibri"/>
          <w:b/>
          <w:bCs/>
          <w:sz w:val="20"/>
          <w:szCs w:val="20"/>
        </w:rPr>
        <w:t>10.1.8</w:t>
      </w:r>
      <w:r>
        <w:rPr>
          <w:rFonts w:ascii="Calibri" w:hAnsi="Calibri"/>
          <w:sz w:val="20"/>
          <w:szCs w:val="20"/>
        </w:rPr>
        <w:t xml:space="preserve">  Apresentar declaração ou documentação falsa exigida para a dispensa ou prestar declaração falsa durante a dispensa ou a execução do contrato;</w:t>
      </w:r>
    </w:p>
    <w:p>
      <w:pPr>
        <w:pStyle w:val="LO-normal"/>
        <w:rPr>
          <w:rFonts w:ascii="Calibri" w:hAnsi="Calibri"/>
          <w:sz w:val="20"/>
          <w:szCs w:val="20"/>
        </w:rPr>
      </w:pPr>
      <w:r>
        <w:rPr>
          <w:rFonts w:ascii="Calibri" w:hAnsi="Calibri"/>
          <w:b/>
          <w:bCs/>
          <w:sz w:val="20"/>
          <w:szCs w:val="20"/>
        </w:rPr>
        <w:t>10.1.9</w:t>
      </w:r>
      <w:r>
        <w:rPr>
          <w:rFonts w:ascii="Calibri" w:hAnsi="Calibri"/>
          <w:sz w:val="20"/>
          <w:szCs w:val="20"/>
        </w:rPr>
        <w:t xml:space="preserve">  Fraudar a dispensa ou praticar ato fraudulento na execução do contrato;</w:t>
      </w:r>
    </w:p>
    <w:p>
      <w:pPr>
        <w:pStyle w:val="LO-normal"/>
        <w:rPr>
          <w:rFonts w:ascii="Calibri" w:hAnsi="Calibri"/>
          <w:sz w:val="20"/>
          <w:szCs w:val="20"/>
        </w:rPr>
      </w:pPr>
      <w:r>
        <w:rPr>
          <w:rFonts w:ascii="Calibri" w:hAnsi="Calibri"/>
          <w:b/>
          <w:bCs/>
          <w:sz w:val="20"/>
          <w:szCs w:val="20"/>
        </w:rPr>
        <w:t xml:space="preserve">10.1.10 </w:t>
      </w:r>
      <w:r>
        <w:rPr>
          <w:rFonts w:ascii="Calibri" w:hAnsi="Calibri"/>
          <w:sz w:val="20"/>
          <w:szCs w:val="20"/>
        </w:rPr>
        <w:t xml:space="preserve"> Comportar-se de modo inidôneo ou cometer fraude de qualquer natureza</w:t>
      </w:r>
      <w:bookmarkStart w:id="4" w:name="art155xi"/>
      <w:bookmarkStart w:id="5" w:name="art155x"/>
      <w:bookmarkStart w:id="6" w:name="art155ix"/>
      <w:bookmarkStart w:id="7" w:name="art155viii"/>
      <w:bookmarkStart w:id="8" w:name="art155vii"/>
      <w:bookmarkStart w:id="9" w:name="art155vi"/>
      <w:bookmarkStart w:id="10" w:name="art155v"/>
      <w:bookmarkStart w:id="11" w:name="art155iv"/>
      <w:bookmarkStart w:id="12" w:name="art155iii"/>
      <w:bookmarkStart w:id="13" w:name="art155ii"/>
      <w:bookmarkEnd w:id="4"/>
      <w:bookmarkEnd w:id="5"/>
      <w:bookmarkEnd w:id="6"/>
      <w:bookmarkEnd w:id="7"/>
      <w:bookmarkEnd w:id="8"/>
      <w:bookmarkEnd w:id="9"/>
      <w:bookmarkEnd w:id="10"/>
      <w:bookmarkEnd w:id="11"/>
      <w:bookmarkEnd w:id="12"/>
      <w:bookmarkEnd w:id="13"/>
      <w:r>
        <w:rPr>
          <w:rFonts w:ascii="Calibri" w:hAnsi="Calibri"/>
          <w:sz w:val="20"/>
          <w:szCs w:val="20"/>
        </w:rPr>
        <w:t>;</w:t>
      </w:r>
    </w:p>
    <w:p>
      <w:pPr>
        <w:pStyle w:val="LO-normal"/>
        <w:rPr/>
      </w:pPr>
      <w:r>
        <w:rPr>
          <w:rFonts w:ascii="Calibri" w:hAnsi="Calibri"/>
          <w:b/>
          <w:bCs/>
          <w:sz w:val="20"/>
          <w:szCs w:val="20"/>
        </w:rPr>
        <w:t>10.1.11</w:t>
      </w:r>
      <w:r>
        <w:rPr>
          <w:rFonts w:ascii="Calibri" w:hAnsi="Calibri"/>
          <w:sz w:val="20"/>
          <w:szCs w:val="20"/>
        </w:rPr>
        <w:t xml:space="preserve">  Considera-se comportamento inidôneo, entre outros, a declaração falsa quanto às condições de participação, quanto ao enquadramento como ME/EPP ou o conluio entre os fornecedores/prestadores, em qualquer momento da dispensa, mesmo após o encerramento da fase de lances.</w:t>
      </w:r>
    </w:p>
    <w:p>
      <w:pPr>
        <w:pStyle w:val="LO-normal"/>
        <w:rPr/>
      </w:pPr>
      <w:r>
        <w:rPr>
          <w:rFonts w:ascii="Calibri" w:hAnsi="Calibri"/>
          <w:b/>
          <w:bCs/>
          <w:sz w:val="20"/>
          <w:szCs w:val="20"/>
        </w:rPr>
        <w:t>10.1.12</w:t>
      </w:r>
      <w:r>
        <w:rPr>
          <w:rFonts w:ascii="Calibri" w:hAnsi="Calibri"/>
          <w:sz w:val="20"/>
          <w:szCs w:val="20"/>
        </w:rPr>
        <w:t xml:space="preserve">  Praticar atos ilícitos com vistas a frustrar os objetivos da dispensa;</w:t>
      </w:r>
    </w:p>
    <w:p>
      <w:pPr>
        <w:pStyle w:val="LO-normal"/>
        <w:rPr/>
      </w:pPr>
      <w:r>
        <w:rPr>
          <w:rFonts w:ascii="Calibri" w:hAnsi="Calibri"/>
          <w:b/>
          <w:bCs/>
          <w:sz w:val="20"/>
          <w:szCs w:val="20"/>
        </w:rPr>
        <w:t xml:space="preserve">10.1.13 </w:t>
      </w:r>
      <w:r>
        <w:rPr>
          <w:rFonts w:ascii="Calibri" w:hAnsi="Calibri"/>
          <w:sz w:val="20"/>
          <w:szCs w:val="20"/>
        </w:rPr>
        <w:t xml:space="preserve"> Praticar ato lesivo previsto no </w:t>
      </w:r>
      <w:r>
        <w:fldChar w:fldCharType="begin"/>
      </w:r>
      <w:r>
        <w:rPr>
          <w:sz w:val="20"/>
          <w:szCs w:val="20"/>
          <w:rFonts w:ascii="Calibri" w:hAnsi="Calibri"/>
        </w:rPr>
        <w:instrText xml:space="preserve"> HYPERLINK "http://www.planalto.gov.br/ccivil_03/_Ato2011-2014/2013/Lei/L12846.htm" \l "art5"</w:instrText>
      </w:r>
      <w:r>
        <w:rPr>
          <w:sz w:val="20"/>
          <w:szCs w:val="20"/>
          <w:rFonts w:ascii="Calibri" w:hAnsi="Calibri"/>
        </w:rPr>
        <w:fldChar w:fldCharType="separate"/>
      </w:r>
      <w:r>
        <w:rPr>
          <w:rFonts w:ascii="Calibri" w:hAnsi="Calibri"/>
          <w:sz w:val="20"/>
          <w:szCs w:val="20"/>
        </w:rPr>
        <w:t>art. 5º da Lei nº 12.846, de 1º de agosto de 2013.</w:t>
      </w:r>
      <w:r>
        <w:rPr>
          <w:sz w:val="20"/>
          <w:szCs w:val="20"/>
          <w:rFonts w:ascii="Calibri" w:hAnsi="Calibri"/>
        </w:rPr>
        <w:fldChar w:fldCharType="end"/>
      </w:r>
    </w:p>
    <w:p>
      <w:pPr>
        <w:pStyle w:val="LO-normal"/>
        <w:rPr/>
      </w:pPr>
      <w:r>
        <w:rPr>
          <w:rFonts w:ascii="Calibri" w:hAnsi="Calibri"/>
          <w:b/>
          <w:bCs/>
          <w:sz w:val="20"/>
          <w:szCs w:val="20"/>
        </w:rPr>
        <w:t>10.1.14</w:t>
      </w:r>
      <w:r>
        <w:rPr>
          <w:rFonts w:ascii="Calibri" w:hAnsi="Calibri"/>
          <w:sz w:val="20"/>
          <w:szCs w:val="20"/>
        </w:rPr>
        <w:t xml:space="preserve">  </w:t>
      </w:r>
      <w:r>
        <w:rPr>
          <w:rFonts w:cs="Calibri" w:ascii="Calibri" w:hAnsi="Calibri"/>
          <w:sz w:val="20"/>
          <w:szCs w:val="20"/>
        </w:rPr>
        <w:t xml:space="preserve">O </w:t>
      </w:r>
      <w:r>
        <w:rPr>
          <w:rFonts w:cs="Arial" w:ascii="Calibri" w:hAnsi="Calibri"/>
          <w:sz w:val="20"/>
          <w:szCs w:val="20"/>
        </w:rPr>
        <w:t>PROPONENTE e o CONTRATADO</w:t>
      </w:r>
      <w:r>
        <w:rPr>
          <w:rFonts w:cs="Calibri" w:ascii="Calibri" w:hAnsi="Calibri"/>
          <w:sz w:val="20"/>
          <w:szCs w:val="20"/>
        </w:rPr>
        <w:t xml:space="preserve"> que cometer qualquer das infrações discriminadas no subitem anterior ficarão sujeito, sem prejuízo da responsabilidade civil e criminal, às seguintes sanções:</w:t>
      </w:r>
    </w:p>
    <w:p>
      <w:pPr>
        <w:pStyle w:val="LO-normal"/>
        <w:numPr>
          <w:ilvl w:val="2"/>
          <w:numId w:val="8"/>
        </w:numPr>
        <w:rPr>
          <w:rFonts w:ascii="Calibri" w:hAnsi="Calibri"/>
          <w:sz w:val="20"/>
          <w:szCs w:val="20"/>
        </w:rPr>
      </w:pPr>
      <w:r>
        <w:rPr>
          <w:rFonts w:cs="Calibri" w:ascii="Calibri" w:hAnsi="Calibri"/>
          <w:sz w:val="20"/>
          <w:szCs w:val="20"/>
        </w:rPr>
        <w:t>Advertência pela falta do subitem</w:t>
      </w:r>
      <w:r>
        <w:rPr>
          <w:rFonts w:cs="Calibri" w:ascii="Calibri" w:hAnsi="Calibri"/>
          <w:color w:val="0070C0"/>
          <w:sz w:val="20"/>
          <w:szCs w:val="20"/>
        </w:rPr>
        <w:t xml:space="preserve"> </w:t>
      </w:r>
      <w:r>
        <w:rPr>
          <w:rFonts w:cs="Calibri" w:ascii="Calibri" w:hAnsi="Calibri"/>
          <w:color w:val="000000"/>
          <w:sz w:val="20"/>
          <w:szCs w:val="20"/>
        </w:rPr>
        <w:t>9.1.1</w:t>
      </w:r>
      <w:r>
        <w:rPr>
          <w:rFonts w:cs="Calibri" w:ascii="Calibri" w:hAnsi="Calibri"/>
          <w:color w:val="0070C0"/>
          <w:sz w:val="20"/>
          <w:szCs w:val="20"/>
        </w:rPr>
        <w:t xml:space="preserve"> </w:t>
      </w:r>
      <w:r>
        <w:rPr>
          <w:rFonts w:cs="Calibri" w:ascii="Calibri" w:hAnsi="Calibri"/>
          <w:sz w:val="20"/>
          <w:szCs w:val="20"/>
        </w:rPr>
        <w:t>desta contratação direta, quando não se justificar a imposição de penalidade mais grave;</w:t>
      </w:r>
    </w:p>
    <w:p>
      <w:pPr>
        <w:pStyle w:val="LO-normal"/>
        <w:numPr>
          <w:ilvl w:val="2"/>
          <w:numId w:val="8"/>
        </w:numPr>
        <w:rPr>
          <w:rFonts w:ascii="Calibri" w:hAnsi="Calibri"/>
          <w:sz w:val="20"/>
          <w:szCs w:val="20"/>
        </w:rPr>
      </w:pPr>
      <w:r>
        <w:rPr>
          <w:rFonts w:cs="Calibri" w:ascii="Calibri" w:hAnsi="Calibri"/>
          <w:sz w:val="20"/>
          <w:szCs w:val="20"/>
        </w:rPr>
        <w:t>Multa de 1</w:t>
      </w:r>
      <w:r>
        <w:rPr>
          <w:rFonts w:cs="Calibri" w:ascii="Calibri" w:hAnsi="Calibri"/>
          <w:color w:val="000000"/>
          <w:sz w:val="20"/>
          <w:szCs w:val="20"/>
        </w:rPr>
        <w:t>%</w:t>
      </w:r>
      <w:r>
        <w:rPr>
          <w:rFonts w:cs="Calibri" w:ascii="Calibri" w:hAnsi="Calibri"/>
          <w:color w:val="0070C0"/>
          <w:sz w:val="20"/>
          <w:szCs w:val="20"/>
        </w:rPr>
        <w:t xml:space="preserve"> </w:t>
      </w:r>
      <w:r>
        <w:rPr>
          <w:rFonts w:cs="Calibri" w:ascii="Calibri" w:hAnsi="Calibri"/>
          <w:color w:val="000000"/>
          <w:sz w:val="20"/>
          <w:szCs w:val="20"/>
        </w:rPr>
        <w:t>(um</w:t>
      </w:r>
      <w:r>
        <w:rPr>
          <w:rFonts w:cs="Calibri" w:ascii="Calibri" w:hAnsi="Calibri"/>
          <w:color w:val="0070C0"/>
          <w:sz w:val="20"/>
          <w:szCs w:val="20"/>
        </w:rPr>
        <w:t xml:space="preserve"> </w:t>
      </w:r>
      <w:r>
        <w:rPr>
          <w:rFonts w:cs="Calibri" w:ascii="Calibri" w:hAnsi="Calibri"/>
          <w:sz w:val="20"/>
          <w:szCs w:val="20"/>
        </w:rPr>
        <w:t>por cento</w:t>
      </w:r>
      <w:r>
        <w:rPr>
          <w:rFonts w:cs="Calibri" w:ascii="Calibri" w:hAnsi="Calibri"/>
          <w:color w:val="000000"/>
          <w:sz w:val="20"/>
          <w:szCs w:val="20"/>
        </w:rPr>
        <w:t>)</w:t>
      </w:r>
      <w:r>
        <w:rPr>
          <w:rFonts w:cs="Calibri" w:ascii="Calibri" w:hAnsi="Calibri"/>
          <w:color w:val="0070C0"/>
          <w:sz w:val="20"/>
          <w:szCs w:val="20"/>
        </w:rPr>
        <w:t xml:space="preserve"> </w:t>
      </w:r>
      <w:r>
        <w:rPr>
          <w:rFonts w:cs="Calibri" w:ascii="Calibri" w:hAnsi="Calibri"/>
          <w:sz w:val="20"/>
          <w:szCs w:val="20"/>
        </w:rPr>
        <w:t>sobre o valor do(s) item(s) prejudicado(s) pela conduta do fornecedor/prestador, por qualquer das infrações dos subitens</w:t>
      </w:r>
      <w:r>
        <w:rPr>
          <w:rFonts w:cs="Calibri" w:ascii="Calibri" w:hAnsi="Calibri"/>
          <w:color w:val="0070C0"/>
          <w:sz w:val="20"/>
          <w:szCs w:val="20"/>
        </w:rPr>
        <w:t xml:space="preserve"> </w:t>
      </w:r>
      <w:r>
        <w:rPr>
          <w:rFonts w:cs="Calibri" w:ascii="Calibri" w:hAnsi="Calibri"/>
          <w:color w:val="000000"/>
          <w:sz w:val="20"/>
          <w:szCs w:val="20"/>
        </w:rPr>
        <w:t>9.1.1 a 9.1.12;</w:t>
      </w:r>
    </w:p>
    <w:p>
      <w:pPr>
        <w:pStyle w:val="LO-normal"/>
        <w:numPr>
          <w:ilvl w:val="2"/>
          <w:numId w:val="8"/>
        </w:numPr>
        <w:rPr>
          <w:rFonts w:ascii="Calibri" w:hAnsi="Calibri"/>
          <w:sz w:val="20"/>
          <w:szCs w:val="20"/>
        </w:rPr>
      </w:pPr>
      <w:r>
        <w:rPr>
          <w:rFonts w:cs="Calibri" w:ascii="Calibri" w:hAnsi="Calibri"/>
          <w:color w:val="000000"/>
          <w:sz w:val="20"/>
          <w:szCs w:val="20"/>
        </w:rPr>
        <w:t>Impedimento de licitar e contratar</w:t>
      </w:r>
      <w:r>
        <w:rPr>
          <w:rFonts w:cs="Calibri" w:ascii="Calibri" w:hAnsi="Calibri"/>
          <w:sz w:val="20"/>
          <w:szCs w:val="20"/>
        </w:rPr>
        <w:t xml:space="preserve"> com o Estado de Pernambuco e descredenciamento do CADFOR-PE</w:t>
      </w:r>
      <w:r>
        <w:rPr>
          <w:rFonts w:cs="Calibri" w:ascii="Calibri" w:hAnsi="Calibri"/>
          <w:color w:val="000000"/>
          <w:sz w:val="20"/>
          <w:szCs w:val="20"/>
        </w:rPr>
        <w:t>, pelo prazo máximo de 3 (três) anos, nos casos dos subitens 9.1.2 a 9.1.7, quando não se justificar a imposição de penalidade mais grave</w:t>
      </w:r>
      <w:r>
        <w:rPr>
          <w:rFonts w:cs="Calibri" w:ascii="Calibri" w:hAnsi="Calibri"/>
          <w:sz w:val="20"/>
          <w:szCs w:val="20"/>
        </w:rPr>
        <w:t>;</w:t>
      </w:r>
    </w:p>
    <w:p>
      <w:pPr>
        <w:pStyle w:val="LO-normal"/>
        <w:numPr>
          <w:ilvl w:val="2"/>
          <w:numId w:val="8"/>
        </w:numPr>
        <w:rPr>
          <w:rFonts w:ascii="Calibri" w:hAnsi="Calibri"/>
          <w:sz w:val="20"/>
          <w:szCs w:val="20"/>
        </w:rPr>
      </w:pPr>
      <w:r>
        <w:rPr>
          <w:rFonts w:cs="Calibri" w:ascii="Calibri" w:hAnsi="Calibri"/>
          <w:color w:val="000000"/>
          <w:sz w:val="2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9.1.8 a 9.1.12, bem como nos demais casos que justifiquem a imposição da penalidade mais grave</w:t>
      </w:r>
      <w:r>
        <w:rPr>
          <w:rFonts w:cs="Calibri" w:ascii="Calibri" w:hAnsi="Calibri"/>
          <w:sz w:val="20"/>
          <w:szCs w:val="20"/>
        </w:rPr>
        <w:t>.</w:t>
      </w:r>
    </w:p>
    <w:p>
      <w:pPr>
        <w:pStyle w:val="LO-normal"/>
        <w:rPr>
          <w:rFonts w:ascii="Calibri" w:hAnsi="Calibri"/>
          <w:sz w:val="20"/>
          <w:szCs w:val="20"/>
        </w:rPr>
      </w:pPr>
      <w:r>
        <w:rPr>
          <w:rFonts w:cs="Calibri" w:ascii="Calibri" w:hAnsi="Calibri"/>
          <w:b/>
          <w:bCs/>
          <w:sz w:val="20"/>
          <w:szCs w:val="20"/>
        </w:rPr>
        <w:t>10.2</w:t>
      </w:r>
      <w:r>
        <w:rPr>
          <w:rFonts w:cs="Calibri" w:ascii="Calibri" w:hAnsi="Calibri"/>
          <w:sz w:val="20"/>
          <w:szCs w:val="20"/>
        </w:rPr>
        <w:t xml:space="preserve"> </w:t>
      </w:r>
      <w:r>
        <w:rPr>
          <w:rFonts w:ascii="Calibri" w:hAnsi="Calibri"/>
          <w:sz w:val="20"/>
          <w:szCs w:val="20"/>
        </w:rPr>
        <w:t>Na aplicação das sanções serão considerados:</w:t>
      </w:r>
    </w:p>
    <w:p>
      <w:pPr>
        <w:pStyle w:val="LO-normal"/>
        <w:rPr>
          <w:rFonts w:ascii="Calibri" w:hAnsi="Calibri"/>
          <w:sz w:val="20"/>
          <w:szCs w:val="20"/>
        </w:rPr>
      </w:pPr>
      <w:r>
        <w:rPr>
          <w:rFonts w:ascii="Calibri" w:hAnsi="Calibri"/>
          <w:b/>
          <w:bCs/>
          <w:sz w:val="20"/>
          <w:szCs w:val="20"/>
        </w:rPr>
        <w:t>10.2.1</w:t>
      </w:r>
      <w:r>
        <w:rPr>
          <w:rFonts w:ascii="Calibri" w:hAnsi="Calibri"/>
          <w:sz w:val="20"/>
          <w:szCs w:val="20"/>
        </w:rPr>
        <w:t xml:space="preserve">  A natureza e a gravidade da infração cometida;</w:t>
      </w:r>
    </w:p>
    <w:p>
      <w:pPr>
        <w:pStyle w:val="LO-normal"/>
        <w:rPr>
          <w:rFonts w:ascii="Calibri" w:hAnsi="Calibri"/>
          <w:sz w:val="20"/>
          <w:szCs w:val="20"/>
        </w:rPr>
      </w:pPr>
      <w:r>
        <w:rPr>
          <w:rFonts w:ascii="Calibri" w:hAnsi="Calibri"/>
          <w:b/>
          <w:bCs/>
          <w:sz w:val="20"/>
          <w:szCs w:val="20"/>
        </w:rPr>
        <w:t>10.2.2</w:t>
      </w:r>
      <w:r>
        <w:rPr>
          <w:rFonts w:ascii="Calibri" w:hAnsi="Calibri"/>
          <w:sz w:val="20"/>
          <w:szCs w:val="20"/>
        </w:rPr>
        <w:t xml:space="preserve">  As peculiaridades do caso concreto;</w:t>
      </w:r>
    </w:p>
    <w:p>
      <w:pPr>
        <w:pStyle w:val="LO-normal"/>
        <w:rPr>
          <w:rFonts w:ascii="Calibri" w:hAnsi="Calibri"/>
          <w:sz w:val="20"/>
          <w:szCs w:val="20"/>
        </w:rPr>
      </w:pPr>
      <w:r>
        <w:rPr>
          <w:rFonts w:ascii="Calibri" w:hAnsi="Calibri"/>
          <w:b/>
          <w:bCs/>
          <w:sz w:val="20"/>
          <w:szCs w:val="20"/>
        </w:rPr>
        <w:t>10.2.3</w:t>
      </w:r>
      <w:r>
        <w:rPr>
          <w:rFonts w:ascii="Calibri" w:hAnsi="Calibri"/>
          <w:sz w:val="20"/>
          <w:szCs w:val="20"/>
        </w:rPr>
        <w:t xml:space="preserve">  As circunstâncias agravantes ou atenuantes;</w:t>
      </w:r>
    </w:p>
    <w:p>
      <w:pPr>
        <w:pStyle w:val="LO-normal"/>
        <w:rPr>
          <w:rFonts w:ascii="Calibri" w:hAnsi="Calibri"/>
          <w:sz w:val="20"/>
          <w:szCs w:val="20"/>
        </w:rPr>
      </w:pPr>
      <w:r>
        <w:rPr>
          <w:rFonts w:ascii="Calibri" w:hAnsi="Calibri"/>
          <w:b/>
          <w:bCs/>
          <w:sz w:val="20"/>
          <w:szCs w:val="20"/>
        </w:rPr>
        <w:t>10.2.4</w:t>
      </w:r>
      <w:r>
        <w:rPr>
          <w:rFonts w:ascii="Calibri" w:hAnsi="Calibri"/>
          <w:sz w:val="20"/>
          <w:szCs w:val="20"/>
        </w:rPr>
        <w:t xml:space="preserve">  Os danos que dela provierem para a Administração Pública;</w:t>
      </w:r>
    </w:p>
    <w:p>
      <w:pPr>
        <w:pStyle w:val="LO-normal"/>
        <w:rPr>
          <w:rFonts w:ascii="Calibri" w:hAnsi="Calibri"/>
          <w:sz w:val="20"/>
          <w:szCs w:val="20"/>
        </w:rPr>
      </w:pPr>
      <w:r>
        <w:rPr>
          <w:rFonts w:ascii="Calibri" w:hAnsi="Calibri"/>
          <w:b/>
          <w:bCs/>
          <w:sz w:val="20"/>
          <w:szCs w:val="20"/>
        </w:rPr>
        <w:t>10.2.5</w:t>
      </w:r>
      <w:r>
        <w:rPr>
          <w:rFonts w:ascii="Calibri" w:hAnsi="Calibri"/>
          <w:sz w:val="20"/>
          <w:szCs w:val="20"/>
        </w:rPr>
        <w:t xml:space="preserve">  A implantação ou o aperfeiçoamento de programa de integridade, conforme normas e orientações dos órgãos de controle.</w:t>
      </w:r>
    </w:p>
    <w:p>
      <w:pPr>
        <w:pStyle w:val="LO-normal"/>
        <w:rPr>
          <w:rFonts w:ascii="Calibri" w:hAnsi="Calibri"/>
          <w:sz w:val="20"/>
          <w:szCs w:val="20"/>
        </w:rPr>
      </w:pPr>
      <w:r>
        <w:rPr>
          <w:rFonts w:ascii="Calibri" w:hAnsi="Calibri"/>
          <w:b/>
          <w:bCs/>
          <w:sz w:val="20"/>
          <w:szCs w:val="20"/>
        </w:rPr>
        <w:t>10.3</w:t>
      </w:r>
      <w:r>
        <w:rPr>
          <w:rFonts w:ascii="Calibri" w:hAnsi="Calibri"/>
          <w:sz w:val="20"/>
          <w:szCs w:val="2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pPr>
        <w:pStyle w:val="LO-normal"/>
        <w:rPr>
          <w:rFonts w:ascii="Calibri" w:hAnsi="Calibri"/>
          <w:sz w:val="20"/>
          <w:szCs w:val="20"/>
        </w:rPr>
      </w:pPr>
      <w:r>
        <w:rPr>
          <w:rFonts w:ascii="Calibri" w:hAnsi="Calibri"/>
          <w:b/>
          <w:bCs/>
          <w:sz w:val="20"/>
          <w:szCs w:val="20"/>
        </w:rPr>
        <w:t>10.4</w:t>
      </w:r>
      <w:r>
        <w:rPr>
          <w:rFonts w:ascii="Calibri" w:hAnsi="Calibri"/>
          <w:sz w:val="20"/>
          <w:szCs w:val="20"/>
        </w:rPr>
        <w:t xml:space="preserve"> A aplicação das sanções, em hipótese alguma, exime a obrigação de reparação integral do dano causado à Administração Pública.</w:t>
      </w:r>
    </w:p>
    <w:p>
      <w:pPr>
        <w:pStyle w:val="LO-normal"/>
        <w:rPr>
          <w:rFonts w:ascii="Calibri" w:hAnsi="Calibri"/>
          <w:sz w:val="20"/>
          <w:szCs w:val="20"/>
        </w:rPr>
      </w:pPr>
      <w:r>
        <w:rPr>
          <w:rFonts w:ascii="Calibri" w:hAnsi="Calibri"/>
          <w:b/>
          <w:bCs/>
          <w:sz w:val="20"/>
          <w:szCs w:val="20"/>
        </w:rPr>
        <w:t xml:space="preserve">10.5 </w:t>
      </w:r>
      <w:r>
        <w:rPr>
          <w:rFonts w:ascii="Calibri" w:hAnsi="Calibri"/>
          <w:sz w:val="20"/>
          <w:szCs w:val="20"/>
        </w:rPr>
        <w:t xml:space="preserve"> A penalidade de multa pode ser aplicada cumulativamente com as demais sanções.</w:t>
      </w:r>
    </w:p>
    <w:p>
      <w:pPr>
        <w:pStyle w:val="LO-normal"/>
        <w:rPr>
          <w:rFonts w:ascii="Calibri" w:hAnsi="Calibri"/>
          <w:sz w:val="20"/>
          <w:szCs w:val="20"/>
        </w:rPr>
      </w:pPr>
      <w:r>
        <w:rPr>
          <w:rFonts w:ascii="Calibri" w:hAnsi="Calibri"/>
          <w:b/>
          <w:bCs/>
          <w:sz w:val="20"/>
          <w:szCs w:val="20"/>
        </w:rPr>
        <w:t>10.6</w:t>
      </w:r>
      <w:r>
        <w:rPr>
          <w:rFonts w:ascii="Calibri" w:hAnsi="Calibri"/>
          <w:sz w:val="20"/>
          <w:szCs w:val="20"/>
        </w:rPr>
        <w:t xml:space="preserve">  Havendo indícios de prática de infração administrativa tipificada pela Lei nº 12.846, de 1º de agosto de 2013 (Lei Anticorrupção) como ato lesivo à administração pública nacional ou estrangeira, cópias do processo administrativo necessárias à apuração da responsabilidade da empresa deverão ser remetidas à autoridade competente para apuração da conduta típica em questão.</w:t>
      </w:r>
    </w:p>
    <w:p>
      <w:pPr>
        <w:pStyle w:val="LO-normal"/>
        <w:rPr>
          <w:rFonts w:ascii="Calibri" w:hAnsi="Calibri"/>
          <w:sz w:val="20"/>
          <w:szCs w:val="20"/>
        </w:rPr>
      </w:pPr>
      <w:r>
        <w:rPr>
          <w:rFonts w:ascii="Calibri" w:hAnsi="Calibri"/>
          <w:b/>
          <w:bCs/>
          <w:sz w:val="20"/>
          <w:szCs w:val="20"/>
        </w:rPr>
        <w:t>10.7</w:t>
      </w:r>
      <w:r>
        <w:rPr>
          <w:rFonts w:ascii="Calibri" w:hAnsi="Calibri"/>
          <w:sz w:val="20"/>
          <w:szCs w:val="20"/>
        </w:rPr>
        <w:t xml:space="preserve">  Nenhuma penalidade será aplicada sem o devido Processo Administrativo de Aplicação de Penalidade - PAAP, que assegurará o contraditório e a ampla defesa ao fornecedor/prestador, observando-se o procedimento previsto na Lei nº 14.133/2021 e no Decreto Estadual nº 42.191, de 1º de outubro de 2015.</w:t>
      </w:r>
    </w:p>
    <w:p>
      <w:pPr>
        <w:pStyle w:val="LO-normal"/>
        <w:rPr>
          <w:rFonts w:ascii="Calibri" w:hAnsi="Calibri"/>
          <w:sz w:val="20"/>
          <w:szCs w:val="20"/>
        </w:rPr>
      </w:pPr>
      <w:r>
        <w:rPr>
          <w:rFonts w:ascii="Calibri" w:hAnsi="Calibri"/>
          <w:sz w:val="20"/>
          <w:szCs w:val="20"/>
        </w:rPr>
      </w:r>
    </w:p>
    <w:p>
      <w:pPr>
        <w:pStyle w:val="LO-normal"/>
        <w:rPr>
          <w:rFonts w:ascii="Calibri" w:hAnsi="Calibri"/>
          <w:sz w:val="20"/>
          <w:szCs w:val="20"/>
        </w:rPr>
      </w:pPr>
      <w:r>
        <w:rPr>
          <w:rFonts w:ascii="Calibri" w:hAnsi="Calibri"/>
          <w:sz w:val="20"/>
          <w:szCs w:val="20"/>
        </w:rPr>
        <w:tab/>
        <w:tab/>
        <w:tab/>
        <w:t xml:space="preserve">                      Recife, 14 de maio de 2024.</w:t>
      </w:r>
    </w:p>
    <w:p>
      <w:pPr>
        <w:pStyle w:val="LO-normal"/>
        <w:rPr>
          <w:rFonts w:ascii="Calibri" w:hAnsi="Calibri"/>
          <w:sz w:val="20"/>
          <w:szCs w:val="20"/>
        </w:rPr>
      </w:pPr>
      <w:r>
        <w:rPr>
          <w:rFonts w:ascii="Calibri" w:hAnsi="Calibri"/>
          <w:sz w:val="20"/>
          <w:szCs w:val="20"/>
        </w:rPr>
        <w:tab/>
        <w:tab/>
        <w:tab/>
        <w:t xml:space="preserve">            </w:t>
      </w:r>
    </w:p>
    <w:p>
      <w:pPr>
        <w:pStyle w:val="LO-normal"/>
        <w:rPr>
          <w:rFonts w:ascii="Calibri" w:hAnsi="Calibri"/>
          <w:sz w:val="20"/>
          <w:szCs w:val="20"/>
        </w:rPr>
      </w:pPr>
      <w:r>
        <w:rPr>
          <w:rFonts w:ascii="Calibri" w:hAnsi="Calibri"/>
          <w:sz w:val="20"/>
          <w:szCs w:val="20"/>
        </w:rPr>
        <w:t xml:space="preserve">                                                                </w:t>
      </w:r>
      <w:r>
        <w:rPr>
          <w:rFonts w:ascii="Calibri" w:hAnsi="Calibri"/>
          <w:sz w:val="20"/>
          <w:szCs w:val="20"/>
        </w:rPr>
        <w:t>____________________________</w:t>
        <w:br/>
        <w:tab/>
        <w:tab/>
        <w:tab/>
        <w:t xml:space="preserve">                           André Luiz Portela Simão</w:t>
        <w:br/>
        <w:t xml:space="preserve"> </w:t>
        <w:tab/>
        <w:t xml:space="preserve">                                     Superintendente de Turismo, Cultura e Esportes</w:t>
        <w:br/>
        <w:t xml:space="preserve">     </w:t>
        <w:tab/>
        <w:tab/>
        <w:tab/>
        <w:t xml:space="preserve">                                Matrícula: 28088</w:t>
      </w:r>
    </w:p>
    <w:p>
      <w:pPr>
        <w:pStyle w:val="LO-normal"/>
        <w:rPr>
          <w:rFonts w:ascii="Calibri" w:hAnsi="Calibri" w:eastAsia="Calibri" w:cs="Calibri"/>
        </w:rPr>
      </w:pPr>
      <w:r>
        <w:rPr>
          <w:rFonts w:eastAsia="Calibri" w:cs="Calibri" w:ascii="Calibri" w:hAnsi="Calibri"/>
        </w:rPr>
      </w:r>
    </w:p>
    <w:p>
      <w:pPr>
        <w:pStyle w:val="LO-normal"/>
        <w:spacing w:before="0" w:after="240"/>
        <w:ind w:hanging="0" w:right="142"/>
        <w:jc w:val="center"/>
        <w:rPr>
          <w:rFonts w:ascii="Calibri" w:hAnsi="Calibri" w:eastAsia="Calibri" w:cs="Calibri"/>
          <w:b/>
        </w:rPr>
      </w:pPr>
      <w:r>
        <w:rPr>
          <w:rFonts w:eastAsia="Calibri" w:cs="Calibri" w:ascii="Calibri" w:hAnsi="Calibri"/>
          <w:b/>
        </w:rPr>
      </w:r>
    </w:p>
    <w:sectPr>
      <w:headerReference w:type="even" r:id="rId3"/>
      <w:headerReference w:type="default" r:id="rId4"/>
      <w:headerReference w:type="first" r:id="rId5"/>
      <w:footerReference w:type="even" r:id="rId6"/>
      <w:footerReference w:type="default" r:id="rId7"/>
      <w:footerReference w:type="first" r:id="rId8"/>
      <w:footnotePr>
        <w:numFmt w:val="decimal"/>
      </w:footnotePr>
      <w:type w:val="nextPage"/>
      <w:pgSz w:w="11906" w:h="16838"/>
      <w:pgMar w:left="450" w:right="567" w:gutter="0" w:header="709" w:top="766" w:footer="709" w:bottom="766"/>
      <w:pgNumType w:start="1" w:fmt="decimal"/>
      <w:formProt w:val="false"/>
      <w:textDirection w:val="lrTb"/>
      <w:docGrid w:type="default" w:linePitch="36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erif">
    <w:altName w:val="Times New Roman"/>
    <w:charset w:val="00"/>
    <w:family w:val="swiss"/>
    <w:pitch w:val="variable"/>
  </w:font>
  <w:font w:name="Liberation Sans">
    <w:altName w:val="Arial"/>
    <w:charset w:val="00"/>
    <w:family w:val="roman"/>
    <w:pitch w:val="variable"/>
  </w:font>
  <w:font w:name="Libre Franklin">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drawing>
        <wp:anchor behindDoc="0" distT="0" distB="0" distL="114300" distR="120650" simplePos="0" locked="0" layoutInCell="0" allowOverlap="1" relativeHeight="19">
          <wp:simplePos x="0" y="0"/>
          <wp:positionH relativeFrom="column">
            <wp:posOffset>1905</wp:posOffset>
          </wp:positionH>
          <wp:positionV relativeFrom="page">
            <wp:posOffset>9123680</wp:posOffset>
          </wp:positionV>
          <wp:extent cx="6775450" cy="1284605"/>
          <wp:effectExtent l="0" t="0" r="0" b="0"/>
          <wp:wrapTight wrapText="bothSides">
            <wp:wrapPolygon edited="0">
              <wp:start x="-39" y="0"/>
              <wp:lineTo x="-39" y="21070"/>
              <wp:lineTo x="21539" y="21070"/>
              <wp:lineTo x="21539" y="0"/>
              <wp:lineTo x="-39" y="0"/>
            </wp:wrapPolygon>
          </wp:wrapTight>
          <wp:docPr id="6" name="Imagem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2" descr=""/>
                  <pic:cNvPicPr>
                    <a:picLocks noChangeAspect="1" noChangeArrowheads="1"/>
                  </pic:cNvPicPr>
                </pic:nvPicPr>
                <pic:blipFill>
                  <a:blip r:embed="rId1"/>
                  <a:stretch>
                    <a:fillRect/>
                  </a:stretch>
                </pic:blipFill>
                <pic:spPr bwMode="auto">
                  <a:xfrm>
                    <a:off x="0" y="0"/>
                    <a:ext cx="6775450" cy="1284605"/>
                  </a:xfrm>
                  <a:prstGeom prst="rect">
                    <a:avLst/>
                  </a:prstGeom>
                </pic:spPr>
              </pic:pic>
            </a:graphicData>
          </a:graphic>
        </wp:anchor>
      </w:drawing>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drawing>
        <wp:anchor behindDoc="0" distT="0" distB="0" distL="114300" distR="120650" simplePos="0" locked="0" layoutInCell="0" allowOverlap="1" relativeHeight="19">
          <wp:simplePos x="0" y="0"/>
          <wp:positionH relativeFrom="column">
            <wp:posOffset>1905</wp:posOffset>
          </wp:positionH>
          <wp:positionV relativeFrom="page">
            <wp:posOffset>9123680</wp:posOffset>
          </wp:positionV>
          <wp:extent cx="6775450" cy="1284605"/>
          <wp:effectExtent l="0" t="0" r="0" b="0"/>
          <wp:wrapTight wrapText="bothSides">
            <wp:wrapPolygon edited="0">
              <wp:start x="-39" y="0"/>
              <wp:lineTo x="-39" y="21070"/>
              <wp:lineTo x="21539" y="21070"/>
              <wp:lineTo x="21539" y="0"/>
              <wp:lineTo x="-39" y="0"/>
            </wp:wrapPolygon>
          </wp:wrapTight>
          <wp:docPr id="7" name="Imagem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m 2" descr=""/>
                  <pic:cNvPicPr>
                    <a:picLocks noChangeAspect="1" noChangeArrowheads="1"/>
                  </pic:cNvPicPr>
                </pic:nvPicPr>
                <pic:blipFill>
                  <a:blip r:embed="rId1"/>
                  <a:stretch>
                    <a:fillRect/>
                  </a:stretch>
                </pic:blipFill>
                <pic:spPr bwMode="auto">
                  <a:xfrm>
                    <a:off x="0" y="0"/>
                    <a:ext cx="6775450" cy="1284605"/>
                  </a:xfrm>
                  <a:prstGeom prst="rect">
                    <a:avLst/>
                  </a:prstGeom>
                </pic:spPr>
              </pic:pic>
            </a:graphicData>
          </a:graphic>
        </wp:anchor>
      </w:drawing>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pPr>
        <w:rPr>
          <w:sz w:val="12"/>
        </w:rPr>
      </w:pPr>
      <w:r>
        <w:separator/>
      </w:r>
    </w:p>
  </w:footnote>
  <w:footnote w:id="1" w:type="continuationSeparator">
    <w:p>
      <w:pPr>
        <w:rPr>
          <w:sz w:val="12"/>
        </w:rPr>
      </w:pPr>
      <w:r>
        <w:continuationSeparator/>
      </w:r>
    </w:p>
  </w:footnote>
  <w:footnote w:id="2">
    <w:p>
      <w:pPr>
        <w:pStyle w:val="FootnoteText"/>
        <w:spacing w:before="0" w:after="160"/>
        <w:ind w:hanging="0" w:left="-1" w:right="-1276"/>
        <w:jc w:val="both"/>
        <w:rPr/>
      </w:pPr>
      <w:r>
        <w:rPr>
          <w:rStyle w:val="Caracteresdenotaderodap"/>
        </w:rPr>
        <w:footnoteRef/>
      </w:r>
      <w:r>
        <w:rPr/>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behindDoc="1" distT="0" distB="0" distL="0" distR="0" simplePos="0" locked="0" layoutInCell="1" allowOverlap="1" relativeHeight="10">
          <wp:simplePos x="0" y="0"/>
          <wp:positionH relativeFrom="column">
            <wp:posOffset>2406015</wp:posOffset>
          </wp:positionH>
          <wp:positionV relativeFrom="paragraph">
            <wp:posOffset>-307340</wp:posOffset>
          </wp:positionV>
          <wp:extent cx="4675505" cy="7677150"/>
          <wp:effectExtent l="0" t="0" r="0" b="0"/>
          <wp:wrapNone/>
          <wp:docPr id="2"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 descr=""/>
                  <pic:cNvPicPr>
                    <a:picLocks noChangeAspect="1" noChangeArrowheads="1"/>
                  </pic:cNvPicPr>
                </pic:nvPicPr>
                <pic:blipFill>
                  <a:blip r:embed="rId1"/>
                  <a:stretch>
                    <a:fillRect/>
                  </a:stretch>
                </pic:blipFill>
                <pic:spPr bwMode="auto">
                  <a:xfrm>
                    <a:off x="0" y="0"/>
                    <a:ext cx="4675505" cy="7677150"/>
                  </a:xfrm>
                  <a:prstGeom prst="rect">
                    <a:avLst/>
                  </a:prstGeom>
                </pic:spPr>
              </pic:pic>
            </a:graphicData>
          </a:graphic>
        </wp:anchor>
      </w:drawing>
      <w:drawing>
        <wp:anchor behindDoc="0" distT="0" distB="5080" distL="0" distR="114300" simplePos="0" locked="0" layoutInCell="0" allowOverlap="1" relativeHeight="28">
          <wp:simplePos x="0" y="0"/>
          <wp:positionH relativeFrom="margin">
            <wp:align>left</wp:align>
          </wp:positionH>
          <wp:positionV relativeFrom="paragraph">
            <wp:posOffset>-154940</wp:posOffset>
          </wp:positionV>
          <wp:extent cx="6924675" cy="781050"/>
          <wp:effectExtent l="0" t="0" r="0" b="0"/>
          <wp:wrapTight wrapText="bothSides">
            <wp:wrapPolygon edited="0">
              <wp:start x="-55" y="0"/>
              <wp:lineTo x="-55" y="21174"/>
              <wp:lineTo x="21483" y="21174"/>
              <wp:lineTo x="21483" y="0"/>
              <wp:lineTo x="-55" y="0"/>
            </wp:wrapPolygon>
          </wp:wrapTight>
          <wp:docPr id="3" name="Figura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2" descr=""/>
                  <pic:cNvPicPr>
                    <a:picLocks noChangeAspect="1" noChangeArrowheads="1"/>
                  </pic:cNvPicPr>
                </pic:nvPicPr>
                <pic:blipFill>
                  <a:blip r:embed="rId2"/>
                  <a:stretch>
                    <a:fillRect/>
                  </a:stretch>
                </pic:blipFill>
                <pic:spPr bwMode="auto">
                  <a:xfrm>
                    <a:off x="0" y="0"/>
                    <a:ext cx="6924675" cy="781050"/>
                  </a:xfrm>
                  <a:prstGeom prst="rect">
                    <a:avLst/>
                  </a:prstGeom>
                </pic:spPr>
              </pic:pic>
            </a:graphicData>
          </a:graphic>
        </wp:anchor>
      </w:drawing>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behindDoc="1" distT="0" distB="0" distL="0" distR="0" simplePos="0" locked="0" layoutInCell="1" allowOverlap="1" relativeHeight="10">
          <wp:simplePos x="0" y="0"/>
          <wp:positionH relativeFrom="column">
            <wp:posOffset>2406015</wp:posOffset>
          </wp:positionH>
          <wp:positionV relativeFrom="paragraph">
            <wp:posOffset>-307340</wp:posOffset>
          </wp:positionV>
          <wp:extent cx="4675505" cy="7677150"/>
          <wp:effectExtent l="0" t="0" r="0" b="0"/>
          <wp:wrapNone/>
          <wp:docPr id="4"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
                  <pic:cNvPicPr>
                    <a:picLocks noChangeAspect="1" noChangeArrowheads="1"/>
                  </pic:cNvPicPr>
                </pic:nvPicPr>
                <pic:blipFill>
                  <a:blip r:embed="rId1"/>
                  <a:stretch>
                    <a:fillRect/>
                  </a:stretch>
                </pic:blipFill>
                <pic:spPr bwMode="auto">
                  <a:xfrm>
                    <a:off x="0" y="0"/>
                    <a:ext cx="4675505" cy="7677150"/>
                  </a:xfrm>
                  <a:prstGeom prst="rect">
                    <a:avLst/>
                  </a:prstGeom>
                </pic:spPr>
              </pic:pic>
            </a:graphicData>
          </a:graphic>
        </wp:anchor>
      </w:drawing>
      <w:drawing>
        <wp:anchor behindDoc="0" distT="0" distB="5080" distL="0" distR="114300" simplePos="0" locked="0" layoutInCell="0" allowOverlap="1" relativeHeight="28">
          <wp:simplePos x="0" y="0"/>
          <wp:positionH relativeFrom="margin">
            <wp:align>left</wp:align>
          </wp:positionH>
          <wp:positionV relativeFrom="paragraph">
            <wp:posOffset>-154940</wp:posOffset>
          </wp:positionV>
          <wp:extent cx="6924675" cy="781050"/>
          <wp:effectExtent l="0" t="0" r="0" b="0"/>
          <wp:wrapTight wrapText="bothSides">
            <wp:wrapPolygon edited="0">
              <wp:start x="-55" y="0"/>
              <wp:lineTo x="-55" y="21174"/>
              <wp:lineTo x="21483" y="21174"/>
              <wp:lineTo x="21483" y="0"/>
              <wp:lineTo x="-55" y="0"/>
            </wp:wrapPolygon>
          </wp:wrapTight>
          <wp:docPr id="5" name="Figura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ura2" descr=""/>
                  <pic:cNvPicPr>
                    <a:picLocks noChangeAspect="1" noChangeArrowheads="1"/>
                  </pic:cNvPicPr>
                </pic:nvPicPr>
                <pic:blipFill>
                  <a:blip r:embed="rId2"/>
                  <a:stretch>
                    <a:fillRect/>
                  </a:stretch>
                </pic:blipFill>
                <pic:spPr bwMode="auto">
                  <a:xfrm>
                    <a:off x="0" y="0"/>
                    <a:ext cx="6924675" cy="781050"/>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720" w:hanging="360"/>
      </w:pPr>
      <w:rPr>
        <w:vertAlign w:val="baseline"/>
        <w:position w:val="0"/>
        <w:sz w:val="20"/>
        <w:sz w:val="20"/>
        <w:b/>
        <w:rFonts w:ascii="Calibri" w:hAnsi="Calibri"/>
      </w:rPr>
    </w:lvl>
    <w:lvl w:ilvl="1">
      <w:start w:val="1"/>
      <w:numFmt w:val="decimal"/>
      <w:lvlText w:val="%2."/>
      <w:lvlJc w:val="left"/>
      <w:pPr>
        <w:tabs>
          <w:tab w:val="num" w:pos="0"/>
        </w:tabs>
        <w:ind w:left="1440" w:hanging="360"/>
      </w:pPr>
      <w:rPr>
        <w:vertAlign w:val="baseline"/>
        <w:position w:val="0"/>
        <w:sz w:val="20"/>
        <w:sz w:val="20"/>
        <w:b w:val="false"/>
        <w:color w:val="000000"/>
      </w:rPr>
    </w:lvl>
    <w:lvl w:ilvl="2">
      <w:start w:val="1"/>
      <w:numFmt w:val="decimal"/>
      <w:lvlText w:val="%1.%2.%3."/>
      <w:lvlJc w:val="right"/>
      <w:pPr>
        <w:tabs>
          <w:tab w:val="num" w:pos="0"/>
        </w:tabs>
        <w:ind w:left="2160" w:hanging="360"/>
      </w:pPr>
      <w:rPr>
        <w:vertAlign w:val="baseline"/>
        <w:position w:val="0"/>
        <w:sz w:val="20"/>
        <w:sz w:val="20"/>
      </w:rPr>
    </w:lvl>
    <w:lvl w:ilvl="3">
      <w:start w:val="1"/>
      <w:numFmt w:val="decimal"/>
      <w:lvlText w:val="%1.%2.%3.%4."/>
      <w:lvlJc w:val="right"/>
      <w:pPr>
        <w:tabs>
          <w:tab w:val="num" w:pos="0"/>
        </w:tabs>
        <w:ind w:left="2880" w:hanging="360"/>
      </w:pPr>
      <w:rPr>
        <w:vertAlign w:val="baseline"/>
        <w:position w:val="0"/>
        <w:sz w:val="20"/>
        <w:sz w:val="20"/>
      </w:rPr>
    </w:lvl>
    <w:lvl w:ilvl="4">
      <w:start w:val="1"/>
      <w:numFmt w:val="decimal"/>
      <w:lvlText w:val="%1.%2.%3.%4.%5."/>
      <w:lvlJc w:val="right"/>
      <w:pPr>
        <w:tabs>
          <w:tab w:val="num" w:pos="0"/>
        </w:tabs>
        <w:ind w:left="3600" w:hanging="360"/>
      </w:pPr>
      <w:rPr>
        <w:vertAlign w:val="baseline"/>
        <w:position w:val="0"/>
        <w:sz w:val="20"/>
        <w:sz w:val="20"/>
      </w:rPr>
    </w:lvl>
    <w:lvl w:ilvl="5">
      <w:start w:val="1"/>
      <w:numFmt w:val="decimal"/>
      <w:lvlText w:val="%1.%2.%3.%4.%5.%6."/>
      <w:lvlJc w:val="right"/>
      <w:pPr>
        <w:tabs>
          <w:tab w:val="num" w:pos="0"/>
        </w:tabs>
        <w:ind w:left="4320" w:hanging="360"/>
      </w:pPr>
      <w:rPr>
        <w:vertAlign w:val="baseline"/>
        <w:position w:val="0"/>
        <w:sz w:val="20"/>
        <w:sz w:val="20"/>
      </w:rPr>
    </w:lvl>
    <w:lvl w:ilvl="6">
      <w:start w:val="1"/>
      <w:numFmt w:val="decimal"/>
      <w:lvlText w:val="%1.%2.%3.%4.%5.%6.%7."/>
      <w:lvlJc w:val="right"/>
      <w:pPr>
        <w:tabs>
          <w:tab w:val="num" w:pos="0"/>
        </w:tabs>
        <w:ind w:left="5040" w:hanging="360"/>
      </w:pPr>
      <w:rPr>
        <w:vertAlign w:val="baseline"/>
        <w:position w:val="0"/>
        <w:sz w:val="20"/>
        <w:sz w:val="20"/>
      </w:rPr>
    </w:lvl>
    <w:lvl w:ilvl="7">
      <w:start w:val="1"/>
      <w:numFmt w:val="decimal"/>
      <w:lvlText w:val="%1.%2.%3.%4.%5.%6.%7.%8."/>
      <w:lvlJc w:val="right"/>
      <w:pPr>
        <w:tabs>
          <w:tab w:val="num" w:pos="0"/>
        </w:tabs>
        <w:ind w:left="5760" w:hanging="360"/>
      </w:pPr>
      <w:rPr>
        <w:vertAlign w:val="baseline"/>
        <w:position w:val="0"/>
        <w:sz w:val="20"/>
        <w:sz w:val="20"/>
      </w:rPr>
    </w:lvl>
    <w:lvl w:ilvl="8">
      <w:start w:val="1"/>
      <w:numFmt w:val="decimal"/>
      <w:lvlText w:val="%1.%2.%3.%4.%5.%6.%7.%8.%9."/>
      <w:lvlJc w:val="right"/>
      <w:pPr>
        <w:tabs>
          <w:tab w:val="num" w:pos="0"/>
        </w:tabs>
        <w:ind w:left="6480" w:hanging="360"/>
      </w:pPr>
      <w:rPr>
        <w:vertAlign w:val="baseline"/>
        <w:position w:val="0"/>
        <w:sz w:val="20"/>
        <w:sz w:val="20"/>
      </w:rPr>
    </w:lvl>
  </w:abstractNum>
  <w:abstractNum w:abstractNumId="2">
    <w:lvl w:ilvl="0">
      <w:start w:val="1"/>
      <w:numFmt w:val="decimal"/>
      <w:lvlText w:val="%1."/>
      <w:lvlJc w:val="left"/>
      <w:pPr>
        <w:tabs>
          <w:tab w:val="num" w:pos="0"/>
        </w:tabs>
        <w:ind w:left="360" w:hanging="360"/>
      </w:pPr>
      <w:rPr/>
    </w:lvl>
    <w:lvl w:ilvl="1">
      <w:start w:val="1"/>
      <w:numFmt w:val="decimal"/>
      <w:lvlText w:val="%1.%2."/>
      <w:lvlJc w:val="left"/>
      <w:pPr>
        <w:tabs>
          <w:tab w:val="num" w:pos="0"/>
        </w:tabs>
        <w:ind w:left="1440" w:hanging="360"/>
      </w:pPr>
      <w:rPr>
        <w:b/>
        <w:rFonts w:ascii="Calibri" w:hAnsi="Calibri"/>
        <w:color w:val="000000"/>
      </w:rPr>
    </w:lvl>
    <w:lvl w:ilvl="2">
      <w:start w:val="1"/>
      <w:numFmt w:val="decimal"/>
      <w:lvlText w:val="%1.%2.%3."/>
      <w:lvlJc w:val="left"/>
      <w:pPr>
        <w:tabs>
          <w:tab w:val="num" w:pos="0"/>
        </w:tabs>
        <w:ind w:left="2880" w:hanging="720"/>
      </w:pPr>
      <w:rPr/>
    </w:lvl>
    <w:lvl w:ilvl="3">
      <w:start w:val="1"/>
      <w:numFmt w:val="decimal"/>
      <w:lvlText w:val="%1.%2.%3.%4."/>
      <w:lvlJc w:val="left"/>
      <w:pPr>
        <w:tabs>
          <w:tab w:val="num" w:pos="0"/>
        </w:tabs>
        <w:ind w:left="3960" w:hanging="720"/>
      </w:pPr>
      <w:rPr/>
    </w:lvl>
    <w:lvl w:ilvl="4">
      <w:start w:val="1"/>
      <w:numFmt w:val="decimal"/>
      <w:lvlText w:val="%1.%2.%3.%4.%5."/>
      <w:lvlJc w:val="left"/>
      <w:pPr>
        <w:tabs>
          <w:tab w:val="num" w:pos="0"/>
        </w:tabs>
        <w:ind w:left="5400" w:hanging="1080"/>
      </w:pPr>
      <w:rPr/>
    </w:lvl>
    <w:lvl w:ilvl="5">
      <w:start w:val="1"/>
      <w:numFmt w:val="decimal"/>
      <w:lvlText w:val="%1.%2.%3.%4.%5.%6."/>
      <w:lvlJc w:val="left"/>
      <w:pPr>
        <w:tabs>
          <w:tab w:val="num" w:pos="0"/>
        </w:tabs>
        <w:ind w:left="6480" w:hanging="1080"/>
      </w:pPr>
      <w:rPr/>
    </w:lvl>
    <w:lvl w:ilvl="6">
      <w:start w:val="1"/>
      <w:numFmt w:val="decimal"/>
      <w:lvlText w:val="%1.%2.%3.%4.%5.%6.%7."/>
      <w:lvlJc w:val="left"/>
      <w:pPr>
        <w:tabs>
          <w:tab w:val="num" w:pos="0"/>
        </w:tabs>
        <w:ind w:left="7560" w:hanging="1080"/>
      </w:pPr>
      <w:rPr/>
    </w:lvl>
    <w:lvl w:ilvl="7">
      <w:start w:val="1"/>
      <w:numFmt w:val="decimal"/>
      <w:lvlText w:val="%1.%2.%3.%4.%5.%6.%7.%8."/>
      <w:lvlJc w:val="left"/>
      <w:pPr>
        <w:tabs>
          <w:tab w:val="num" w:pos="0"/>
        </w:tabs>
        <w:ind w:left="9000" w:hanging="1440"/>
      </w:pPr>
      <w:rPr/>
    </w:lvl>
    <w:lvl w:ilvl="8">
      <w:start w:val="1"/>
      <w:numFmt w:val="decimal"/>
      <w:lvlText w:val="%1.%2.%3.%4.%5.%6.%7.%8.%9."/>
      <w:lvlJc w:val="left"/>
      <w:pPr>
        <w:tabs>
          <w:tab w:val="num" w:pos="0"/>
        </w:tabs>
        <w:ind w:left="10080" w:hanging="1440"/>
      </w:pPr>
      <w:rPr/>
    </w:lvl>
  </w:abstractNum>
  <w:abstractNum w:abstractNumId="3">
    <w:lvl w:ilvl="0">
      <w:start w:val="2"/>
      <w:numFmt w:val="decimal"/>
      <w:lvlText w:val="%1."/>
      <w:lvlJc w:val="left"/>
      <w:pPr>
        <w:tabs>
          <w:tab w:val="num" w:pos="0"/>
        </w:tabs>
        <w:ind w:left="360" w:hanging="360"/>
      </w:pPr>
      <w:rPr>
        <w:vertAlign w:val="baseline"/>
        <w:position w:val="0"/>
        <w:sz w:val="20"/>
        <w:sz w:val="20"/>
        <w:b/>
        <w:rFonts w:ascii="Calibri" w:hAnsi="Calibri"/>
        <w:color w:val="000000"/>
      </w:rPr>
    </w:lvl>
    <w:lvl w:ilvl="1">
      <w:start w:val="1"/>
      <w:numFmt w:val="decimal"/>
      <w:lvlText w:val="%1.%2."/>
      <w:lvlJc w:val="left"/>
      <w:pPr>
        <w:tabs>
          <w:tab w:val="num" w:pos="0"/>
        </w:tabs>
        <w:ind w:left="360" w:hanging="360"/>
      </w:pPr>
      <w:rPr>
        <w:vertAlign w:val="baseline"/>
        <w:position w:val="0"/>
        <w:sz w:val="20"/>
        <w:sz w:val="20"/>
        <w:b/>
        <w:rFonts w:ascii="Calibri" w:hAnsi="Calibri" w:eastAsia="Calibri" w:cs="Calibri"/>
        <w:color w:val="000000"/>
      </w:rPr>
    </w:lvl>
    <w:lvl w:ilvl="2">
      <w:start w:val="1"/>
      <w:numFmt w:val="decimal"/>
      <w:lvlText w:val="%1.%2.%3."/>
      <w:lvlJc w:val="left"/>
      <w:pPr>
        <w:tabs>
          <w:tab w:val="num" w:pos="0"/>
        </w:tabs>
        <w:ind w:left="720" w:hanging="720"/>
      </w:pPr>
      <w:rPr>
        <w:vertAlign w:val="baseline"/>
        <w:position w:val="0"/>
        <w:sz w:val="20"/>
        <w:sz w:val="20"/>
        <w:i w:val="false"/>
        <w:b w:val="false"/>
        <w:rFonts w:ascii="Calibri" w:hAnsi="Calibri" w:eastAsia="Calibri" w:cs="Calibri"/>
        <w:color w:val="000000"/>
      </w:rPr>
    </w:lvl>
    <w:lvl w:ilvl="3">
      <w:start w:val="1"/>
      <w:numFmt w:val="lowerLetter"/>
      <w:lvlText w:val="%4)"/>
      <w:lvlJc w:val="left"/>
      <w:pPr>
        <w:tabs>
          <w:tab w:val="num" w:pos="0"/>
        </w:tabs>
        <w:ind w:left="720" w:hanging="720"/>
      </w:pPr>
      <w:rPr>
        <w:vertAlign w:val="baseline"/>
        <w:position w:val="0"/>
        <w:sz w:val="20"/>
        <w:sz w:val="20"/>
        <w:b w:val="false"/>
        <w:rFonts w:ascii="Calibri" w:hAnsi="Calibri" w:eastAsia="Calibri" w:cs="Calibri"/>
        <w:color w:val="000000"/>
      </w:rPr>
    </w:lvl>
    <w:lvl w:ilvl="4">
      <w:start w:val="1"/>
      <w:numFmt w:val="decimal"/>
      <w:lvlText w:val="%1.%2.%3.%4.%5."/>
      <w:lvlJc w:val="left"/>
      <w:pPr>
        <w:tabs>
          <w:tab w:val="num" w:pos="0"/>
        </w:tabs>
        <w:ind w:left="1080" w:hanging="1080"/>
      </w:pPr>
      <w:rPr>
        <w:vertAlign w:val="baseline"/>
        <w:position w:val="0"/>
        <w:sz w:val="20"/>
        <w:sz w:val="20"/>
        <w:b w:val="false"/>
        <w:color w:val="000000"/>
      </w:rPr>
    </w:lvl>
    <w:lvl w:ilvl="5">
      <w:start w:val="1"/>
      <w:numFmt w:val="decimal"/>
      <w:lvlText w:val="%1.%2.%3.%4.%5.%6."/>
      <w:lvlJc w:val="left"/>
      <w:pPr>
        <w:tabs>
          <w:tab w:val="num" w:pos="0"/>
        </w:tabs>
        <w:ind w:left="1080" w:hanging="1080"/>
      </w:pPr>
      <w:rPr>
        <w:vertAlign w:val="baseline"/>
        <w:position w:val="0"/>
        <w:sz w:val="20"/>
        <w:sz w:val="20"/>
        <w:b w:val="false"/>
        <w:color w:val="000000"/>
      </w:rPr>
    </w:lvl>
    <w:lvl w:ilvl="6">
      <w:start w:val="1"/>
      <w:numFmt w:val="decimal"/>
      <w:lvlText w:val="%1.%2.%3.%4.%5.%6.%7."/>
      <w:lvlJc w:val="left"/>
      <w:pPr>
        <w:tabs>
          <w:tab w:val="num" w:pos="0"/>
        </w:tabs>
        <w:ind w:left="1440" w:hanging="1440"/>
      </w:pPr>
      <w:rPr>
        <w:vertAlign w:val="baseline"/>
        <w:position w:val="0"/>
        <w:sz w:val="20"/>
        <w:sz w:val="20"/>
        <w:b w:val="false"/>
        <w:color w:val="000000"/>
      </w:rPr>
    </w:lvl>
    <w:lvl w:ilvl="7">
      <w:start w:val="1"/>
      <w:numFmt w:val="decimal"/>
      <w:lvlText w:val="%1.%2.%3.%4.%5.%6.%7.%8."/>
      <w:lvlJc w:val="left"/>
      <w:pPr>
        <w:tabs>
          <w:tab w:val="num" w:pos="0"/>
        </w:tabs>
        <w:ind w:left="1440" w:hanging="1440"/>
      </w:pPr>
      <w:rPr>
        <w:vertAlign w:val="baseline"/>
        <w:position w:val="0"/>
        <w:sz w:val="20"/>
        <w:sz w:val="20"/>
        <w:b w:val="false"/>
        <w:color w:val="000000"/>
      </w:rPr>
    </w:lvl>
    <w:lvl w:ilvl="8">
      <w:start w:val="1"/>
      <w:numFmt w:val="decimal"/>
      <w:lvlText w:val="%1.%2.%3.%4.%5.%6.%7.%8.%9."/>
      <w:lvlJc w:val="left"/>
      <w:pPr>
        <w:tabs>
          <w:tab w:val="num" w:pos="0"/>
        </w:tabs>
        <w:ind w:left="1800" w:hanging="1800"/>
      </w:pPr>
      <w:rPr>
        <w:vertAlign w:val="baseline"/>
        <w:position w:val="0"/>
        <w:sz w:val="20"/>
        <w:sz w:val="20"/>
        <w:b w:val="false"/>
        <w:color w:val="000000"/>
      </w:rPr>
    </w:lvl>
  </w:abstractNum>
  <w:abstractNum w:abstractNumId="4">
    <w:lvl w:ilvl="0">
      <w:start w:val="2"/>
      <w:numFmt w:val="decimal"/>
      <w:lvlText w:val="%1"/>
      <w:lvlJc w:val="left"/>
      <w:pPr>
        <w:tabs>
          <w:tab w:val="num" w:pos="0"/>
        </w:tabs>
        <w:ind w:left="360" w:hanging="360"/>
      </w:pPr>
      <w:rPr>
        <w:b/>
      </w:rPr>
    </w:lvl>
    <w:lvl w:ilvl="1">
      <w:start w:val="3"/>
      <w:numFmt w:val="decimal"/>
      <w:lvlText w:val="%1.%2"/>
      <w:lvlJc w:val="left"/>
      <w:pPr>
        <w:tabs>
          <w:tab w:val="num" w:pos="0"/>
        </w:tabs>
        <w:ind w:left="1080" w:hanging="360"/>
      </w:pPr>
      <w:rPr>
        <w:b/>
        <w:rFonts w:ascii="Calibri" w:hAnsi="Calibri"/>
      </w:rPr>
    </w:lvl>
    <w:lvl w:ilvl="2">
      <w:start w:val="1"/>
      <w:numFmt w:val="decimal"/>
      <w:lvlText w:val="%1.%2.%3"/>
      <w:lvlJc w:val="left"/>
      <w:pPr>
        <w:tabs>
          <w:tab w:val="num" w:pos="0"/>
        </w:tabs>
        <w:ind w:left="2160" w:hanging="720"/>
      </w:pPr>
      <w:rPr>
        <w:b/>
      </w:rPr>
    </w:lvl>
    <w:lvl w:ilvl="3">
      <w:start w:val="1"/>
      <w:numFmt w:val="decimal"/>
      <w:lvlText w:val="%1.%2.%3.%4"/>
      <w:lvlJc w:val="left"/>
      <w:pPr>
        <w:tabs>
          <w:tab w:val="num" w:pos="0"/>
        </w:tabs>
        <w:ind w:left="2880" w:hanging="720"/>
      </w:pPr>
      <w:rPr>
        <w:b/>
      </w:rPr>
    </w:lvl>
    <w:lvl w:ilvl="4">
      <w:start w:val="1"/>
      <w:numFmt w:val="decimal"/>
      <w:lvlText w:val="%1.%2.%3.%4.%5"/>
      <w:lvlJc w:val="left"/>
      <w:pPr>
        <w:tabs>
          <w:tab w:val="num" w:pos="0"/>
        </w:tabs>
        <w:ind w:left="3600" w:hanging="720"/>
      </w:pPr>
      <w:rPr>
        <w:b/>
      </w:rPr>
    </w:lvl>
    <w:lvl w:ilvl="5">
      <w:start w:val="1"/>
      <w:numFmt w:val="decimal"/>
      <w:lvlText w:val="%1.%2.%3.%4.%5.%6"/>
      <w:lvlJc w:val="left"/>
      <w:pPr>
        <w:tabs>
          <w:tab w:val="num" w:pos="0"/>
        </w:tabs>
        <w:ind w:left="4680" w:hanging="1080"/>
      </w:pPr>
      <w:rPr>
        <w:b/>
      </w:rPr>
    </w:lvl>
    <w:lvl w:ilvl="6">
      <w:start w:val="1"/>
      <w:numFmt w:val="decimal"/>
      <w:lvlText w:val="%1.%2.%3.%4.%5.%6.%7"/>
      <w:lvlJc w:val="left"/>
      <w:pPr>
        <w:tabs>
          <w:tab w:val="num" w:pos="0"/>
        </w:tabs>
        <w:ind w:left="5400" w:hanging="1080"/>
      </w:pPr>
      <w:rPr>
        <w:b/>
      </w:rPr>
    </w:lvl>
    <w:lvl w:ilvl="7">
      <w:start w:val="1"/>
      <w:numFmt w:val="decimal"/>
      <w:lvlText w:val="%1.%2.%3.%4.%5.%6.%7.%8"/>
      <w:lvlJc w:val="left"/>
      <w:pPr>
        <w:tabs>
          <w:tab w:val="num" w:pos="0"/>
        </w:tabs>
        <w:ind w:left="6480" w:hanging="1440"/>
      </w:pPr>
      <w:rPr>
        <w:b/>
      </w:rPr>
    </w:lvl>
    <w:lvl w:ilvl="8">
      <w:start w:val="1"/>
      <w:numFmt w:val="decimal"/>
      <w:lvlText w:val="%1.%2.%3.%4.%5.%6.%7.%8.%9"/>
      <w:lvlJc w:val="left"/>
      <w:pPr>
        <w:tabs>
          <w:tab w:val="num" w:pos="0"/>
        </w:tabs>
        <w:ind w:left="7200" w:hanging="1440"/>
      </w:pPr>
      <w:rPr>
        <w:b/>
      </w:rPr>
    </w:lvl>
  </w:abstractNum>
  <w:abstractNum w:abstractNumId="5">
    <w:lvl w:ilvl="0">
      <w:start w:val="4"/>
      <w:numFmt w:val="decimal"/>
      <w:lvlText w:val="%1."/>
      <w:lvlJc w:val="left"/>
      <w:pPr>
        <w:tabs>
          <w:tab w:val="num" w:pos="0"/>
        </w:tabs>
        <w:ind w:left="360" w:hanging="360"/>
      </w:pPr>
      <w:rPr>
        <w:b/>
        <w:rFonts w:ascii="Calibri" w:hAnsi="Calibri"/>
        <w:color w:val="auto"/>
      </w:rPr>
    </w:lvl>
    <w:lvl w:ilvl="1">
      <w:start w:val="1"/>
      <w:numFmt w:val="decimal"/>
      <w:lvlText w:val="%1.%2."/>
      <w:lvlJc w:val="left"/>
      <w:pPr>
        <w:tabs>
          <w:tab w:val="num" w:pos="0"/>
        </w:tabs>
        <w:ind w:left="738" w:hanging="360"/>
      </w:pPr>
      <w:rPr>
        <w:dstrike w:val="false"/>
        <w:strike w:val="false"/>
        <w:b/>
        <w:rFonts w:ascii="Calibri" w:hAnsi="Calibri"/>
        <w:color w:val="auto"/>
      </w:rPr>
    </w:lvl>
    <w:lvl w:ilvl="2">
      <w:start w:val="1"/>
      <w:numFmt w:val="decimal"/>
      <w:lvlText w:val="%1.%2.%3."/>
      <w:lvlJc w:val="left"/>
      <w:pPr>
        <w:tabs>
          <w:tab w:val="num" w:pos="0"/>
        </w:tabs>
        <w:ind w:left="1476" w:hanging="720"/>
      </w:pPr>
      <w:rPr>
        <w:dstrike w:val="false"/>
        <w:strike w:val="false"/>
        <w:b/>
        <w:rFonts w:ascii="Calibri" w:hAnsi="Calibri"/>
        <w:color w:val="auto"/>
      </w:rPr>
    </w:lvl>
    <w:lvl w:ilvl="3">
      <w:start w:val="1"/>
      <w:numFmt w:val="decimal"/>
      <w:lvlText w:val="%1.%2.%3.%4."/>
      <w:lvlJc w:val="left"/>
      <w:pPr>
        <w:tabs>
          <w:tab w:val="num" w:pos="0"/>
        </w:tabs>
        <w:ind w:left="1854" w:hanging="720"/>
      </w:pPr>
      <w:rPr>
        <w:b/>
        <w:color w:val="auto"/>
      </w:rPr>
    </w:lvl>
    <w:lvl w:ilvl="4">
      <w:start w:val="1"/>
      <w:numFmt w:val="decimal"/>
      <w:lvlText w:val="%1.%2.%3.%4.%5."/>
      <w:lvlJc w:val="left"/>
      <w:pPr>
        <w:tabs>
          <w:tab w:val="num" w:pos="0"/>
        </w:tabs>
        <w:ind w:left="2592" w:hanging="1080"/>
      </w:pPr>
      <w:rPr>
        <w:b/>
        <w:color w:val="auto"/>
      </w:rPr>
    </w:lvl>
    <w:lvl w:ilvl="5">
      <w:start w:val="1"/>
      <w:numFmt w:val="decimal"/>
      <w:lvlText w:val="%1.%2.%3.%4.%5.%6."/>
      <w:lvlJc w:val="left"/>
      <w:pPr>
        <w:tabs>
          <w:tab w:val="num" w:pos="0"/>
        </w:tabs>
        <w:ind w:left="2970" w:hanging="1080"/>
      </w:pPr>
      <w:rPr>
        <w:b/>
        <w:color w:val="auto"/>
      </w:rPr>
    </w:lvl>
    <w:lvl w:ilvl="6">
      <w:start w:val="1"/>
      <w:numFmt w:val="decimal"/>
      <w:lvlText w:val="%1.%2.%3.%4.%5.%6.%7."/>
      <w:lvlJc w:val="left"/>
      <w:pPr>
        <w:tabs>
          <w:tab w:val="num" w:pos="0"/>
        </w:tabs>
        <w:ind w:left="3348" w:hanging="1080"/>
      </w:pPr>
      <w:rPr>
        <w:b/>
        <w:color w:val="auto"/>
      </w:rPr>
    </w:lvl>
    <w:lvl w:ilvl="7">
      <w:start w:val="1"/>
      <w:numFmt w:val="decimal"/>
      <w:lvlText w:val="%1.%2.%3.%4.%5.%6.%7.%8."/>
      <w:lvlJc w:val="left"/>
      <w:pPr>
        <w:tabs>
          <w:tab w:val="num" w:pos="0"/>
        </w:tabs>
        <w:ind w:left="4086" w:hanging="1440"/>
      </w:pPr>
      <w:rPr>
        <w:b/>
        <w:color w:val="auto"/>
      </w:rPr>
    </w:lvl>
    <w:lvl w:ilvl="8">
      <w:start w:val="1"/>
      <w:numFmt w:val="decimal"/>
      <w:lvlText w:val="%1.%2.%3.%4.%5.%6.%7.%8.%9."/>
      <w:lvlJc w:val="left"/>
      <w:pPr>
        <w:tabs>
          <w:tab w:val="num" w:pos="0"/>
        </w:tabs>
        <w:ind w:left="4464" w:hanging="1440"/>
      </w:pPr>
      <w:rPr>
        <w:b/>
        <w:color w:val="auto"/>
      </w:rPr>
    </w:lvl>
  </w:abstractNum>
  <w:abstractNum w:abstractNumId="6">
    <w:lvl w:ilvl="0">
      <w:start w:val="5"/>
      <w:numFmt w:val="decimal"/>
      <w:lvlText w:val="%1"/>
      <w:lvlJc w:val="left"/>
      <w:pPr>
        <w:tabs>
          <w:tab w:val="num" w:pos="0"/>
        </w:tabs>
        <w:ind w:left="360" w:hanging="360"/>
      </w:pPr>
      <w:rPr>
        <w:b/>
        <w:color w:val="auto"/>
      </w:rPr>
    </w:lvl>
    <w:lvl w:ilvl="1">
      <w:start w:val="1"/>
      <w:numFmt w:val="decimal"/>
      <w:lvlText w:val="%1.%2"/>
      <w:lvlJc w:val="left"/>
      <w:pPr>
        <w:tabs>
          <w:tab w:val="num" w:pos="0"/>
        </w:tabs>
        <w:ind w:left="1069" w:hanging="360"/>
      </w:pPr>
      <w:rPr>
        <w:b/>
        <w:rFonts w:ascii="Calibri" w:hAnsi="Calibri"/>
        <w:color w:val="auto"/>
      </w:rPr>
    </w:lvl>
    <w:lvl w:ilvl="2">
      <w:start w:val="1"/>
      <w:numFmt w:val="decimal"/>
      <w:lvlText w:val="%1.%2.%3"/>
      <w:lvlJc w:val="left"/>
      <w:pPr>
        <w:tabs>
          <w:tab w:val="num" w:pos="0"/>
        </w:tabs>
        <w:ind w:left="2138" w:hanging="720"/>
      </w:pPr>
      <w:rPr>
        <w:b/>
        <w:color w:val="auto"/>
      </w:rPr>
    </w:lvl>
    <w:lvl w:ilvl="3">
      <w:start w:val="1"/>
      <w:numFmt w:val="decimal"/>
      <w:lvlText w:val="%1.%2.%3.%4"/>
      <w:lvlJc w:val="left"/>
      <w:pPr>
        <w:tabs>
          <w:tab w:val="num" w:pos="0"/>
        </w:tabs>
        <w:ind w:left="2847" w:hanging="720"/>
      </w:pPr>
      <w:rPr>
        <w:b/>
        <w:color w:val="auto"/>
      </w:rPr>
    </w:lvl>
    <w:lvl w:ilvl="4">
      <w:start w:val="1"/>
      <w:numFmt w:val="decimal"/>
      <w:lvlText w:val="%1.%2.%3.%4.%5"/>
      <w:lvlJc w:val="left"/>
      <w:pPr>
        <w:tabs>
          <w:tab w:val="num" w:pos="0"/>
        </w:tabs>
        <w:ind w:left="3556" w:hanging="720"/>
      </w:pPr>
      <w:rPr>
        <w:b/>
        <w:color w:val="auto"/>
      </w:rPr>
    </w:lvl>
    <w:lvl w:ilvl="5">
      <w:start w:val="1"/>
      <w:numFmt w:val="decimal"/>
      <w:lvlText w:val="%1.%2.%3.%4.%5.%6"/>
      <w:lvlJc w:val="left"/>
      <w:pPr>
        <w:tabs>
          <w:tab w:val="num" w:pos="0"/>
        </w:tabs>
        <w:ind w:left="4625" w:hanging="1080"/>
      </w:pPr>
      <w:rPr>
        <w:b/>
        <w:color w:val="auto"/>
      </w:rPr>
    </w:lvl>
    <w:lvl w:ilvl="6">
      <w:start w:val="1"/>
      <w:numFmt w:val="decimal"/>
      <w:lvlText w:val="%1.%2.%3.%4.%5.%6.%7"/>
      <w:lvlJc w:val="left"/>
      <w:pPr>
        <w:tabs>
          <w:tab w:val="num" w:pos="0"/>
        </w:tabs>
        <w:ind w:left="5334" w:hanging="1080"/>
      </w:pPr>
      <w:rPr>
        <w:b/>
        <w:color w:val="auto"/>
      </w:rPr>
    </w:lvl>
    <w:lvl w:ilvl="7">
      <w:start w:val="1"/>
      <w:numFmt w:val="decimal"/>
      <w:lvlText w:val="%1.%2.%3.%4.%5.%6.%7.%8"/>
      <w:lvlJc w:val="left"/>
      <w:pPr>
        <w:tabs>
          <w:tab w:val="num" w:pos="0"/>
        </w:tabs>
        <w:ind w:left="6403" w:hanging="1440"/>
      </w:pPr>
      <w:rPr>
        <w:b/>
        <w:color w:val="auto"/>
      </w:rPr>
    </w:lvl>
    <w:lvl w:ilvl="8">
      <w:start w:val="1"/>
      <w:numFmt w:val="decimal"/>
      <w:lvlText w:val="%1.%2.%3.%4.%5.%6.%7.%8.%9"/>
      <w:lvlJc w:val="left"/>
      <w:pPr>
        <w:tabs>
          <w:tab w:val="num" w:pos="0"/>
        </w:tabs>
        <w:ind w:left="7112" w:hanging="1440"/>
      </w:pPr>
      <w:rPr>
        <w:b/>
        <w:color w:val="auto"/>
      </w:rPr>
    </w:lvl>
  </w:abstractNum>
  <w:abstractNum w:abstractNumId="7">
    <w:lvl w:ilvl="0">
      <w:start w:val="6"/>
      <w:numFmt w:val="decimal"/>
      <w:lvlText w:val="%1."/>
      <w:lvlJc w:val="left"/>
      <w:pPr>
        <w:tabs>
          <w:tab w:val="num" w:pos="0"/>
        </w:tabs>
        <w:ind w:left="360" w:hanging="360"/>
      </w:pPr>
      <w:rPr>
        <w:sz w:val="20"/>
        <w:szCs w:val="20"/>
        <w:rFonts w:eastAsia="Libre Franklin" w:cs="Arial"/>
        <w:color w:val="auto"/>
      </w:rPr>
    </w:lvl>
    <w:lvl w:ilvl="1">
      <w:start w:val="1"/>
      <w:numFmt w:val="decimal"/>
      <w:lvlText w:val="%1.%2."/>
      <w:lvlJc w:val="left"/>
      <w:pPr>
        <w:tabs>
          <w:tab w:val="num" w:pos="0"/>
        </w:tabs>
        <w:ind w:left="360" w:hanging="360"/>
      </w:pPr>
      <w:rPr>
        <w:sz w:val="20"/>
        <w:szCs w:val="20"/>
        <w:rFonts w:eastAsia="Libre Franklin" w:cs="Arial"/>
        <w:color w:val="auto"/>
      </w:rPr>
    </w:lvl>
    <w:lvl w:ilvl="2">
      <w:start w:val="1"/>
      <w:numFmt w:val="decimal"/>
      <w:lvlText w:val="%1.%2.%3."/>
      <w:lvlJc w:val="left"/>
      <w:pPr>
        <w:tabs>
          <w:tab w:val="num" w:pos="0"/>
        </w:tabs>
        <w:ind w:left="720" w:hanging="720"/>
      </w:pPr>
      <w:rPr>
        <w:sz w:val="20"/>
        <w:b/>
        <w:szCs w:val="20"/>
        <w:rFonts w:ascii="Calibri" w:hAnsi="Calibri" w:eastAsia="Libre Franklin" w:cs="Arial"/>
        <w:color w:val="auto"/>
      </w:rPr>
    </w:lvl>
    <w:lvl w:ilvl="3">
      <w:start w:val="1"/>
      <w:numFmt w:val="upperRoman"/>
      <w:lvlText w:val="%4."/>
      <w:lvlJc w:val="left"/>
      <w:pPr>
        <w:tabs>
          <w:tab w:val="num" w:pos="0"/>
        </w:tabs>
        <w:ind w:left="720" w:hanging="720"/>
      </w:pPr>
      <w:rPr>
        <w:sz w:val="20"/>
        <w:szCs w:val="20"/>
        <w:rFonts w:ascii="Calibri" w:hAnsi="Calibri" w:eastAsia="Times New Roman" w:cs="Arial"/>
        <w:color w:val="auto"/>
      </w:rPr>
    </w:lvl>
    <w:lvl w:ilvl="4">
      <w:start w:val="1"/>
      <w:numFmt w:val="decimal"/>
      <w:lvlText w:val="%1.%2.%3.%4.%5."/>
      <w:lvlJc w:val="left"/>
      <w:pPr>
        <w:tabs>
          <w:tab w:val="num" w:pos="0"/>
        </w:tabs>
        <w:ind w:left="1080" w:hanging="1080"/>
      </w:pPr>
      <w:rPr>
        <w:sz w:val="20"/>
        <w:b/>
        <w:szCs w:val="20"/>
        <w:rFonts w:eastAsia="Libre Franklin" w:cs="Arial"/>
        <w:color w:val="auto"/>
      </w:rPr>
    </w:lvl>
    <w:lvl w:ilvl="5">
      <w:start w:val="1"/>
      <w:numFmt w:val="decimal"/>
      <w:lvlText w:val="%1.%2.%3.%4.%5.%6."/>
      <w:lvlJc w:val="left"/>
      <w:pPr>
        <w:tabs>
          <w:tab w:val="num" w:pos="0"/>
        </w:tabs>
        <w:ind w:left="1080" w:hanging="1080"/>
      </w:pPr>
      <w:rPr>
        <w:sz w:val="22"/>
        <w:rFonts w:eastAsia="Libre Franklin" w:cs="Arial"/>
        <w:color w:val="auto"/>
      </w:rPr>
    </w:lvl>
    <w:lvl w:ilvl="6">
      <w:start w:val="1"/>
      <w:numFmt w:val="decimal"/>
      <w:lvlText w:val="%1.%2.%3.%4.%5.%6.%7."/>
      <w:lvlJc w:val="left"/>
      <w:pPr>
        <w:tabs>
          <w:tab w:val="num" w:pos="0"/>
        </w:tabs>
        <w:ind w:left="1080" w:hanging="1080"/>
      </w:pPr>
      <w:rPr>
        <w:sz w:val="22"/>
        <w:rFonts w:eastAsia="Libre Franklin" w:cs="Arial"/>
        <w:color w:val="auto"/>
      </w:rPr>
    </w:lvl>
    <w:lvl w:ilvl="7">
      <w:start w:val="1"/>
      <w:numFmt w:val="decimal"/>
      <w:lvlText w:val="%1.%2.%3.%4.%5.%6.%7.%8."/>
      <w:lvlJc w:val="left"/>
      <w:pPr>
        <w:tabs>
          <w:tab w:val="num" w:pos="0"/>
        </w:tabs>
        <w:ind w:left="1440" w:hanging="1440"/>
      </w:pPr>
      <w:rPr>
        <w:sz w:val="22"/>
        <w:rFonts w:eastAsia="Libre Franklin" w:cs="Arial"/>
        <w:color w:val="auto"/>
      </w:rPr>
    </w:lvl>
    <w:lvl w:ilvl="8">
      <w:start w:val="1"/>
      <w:numFmt w:val="decimal"/>
      <w:lvlText w:val="%1.%2.%3.%4.%5.%6.%7.%8.%9."/>
      <w:lvlJc w:val="left"/>
      <w:pPr>
        <w:tabs>
          <w:tab w:val="num" w:pos="0"/>
        </w:tabs>
        <w:ind w:left="1440" w:hanging="1440"/>
      </w:pPr>
      <w:rPr>
        <w:sz w:val="22"/>
        <w:rFonts w:eastAsia="Libre Franklin" w:cs="Arial"/>
        <w:color w:val="auto"/>
      </w:rPr>
    </w:lvl>
  </w:abstractNum>
  <w:abstractNum w:abstractNumId="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i w:val="false"/>
        <w:b w:val="false"/>
        <w:iCs/>
      </w:rPr>
    </w:lvl>
    <w:lvl w:ilvl="2">
      <w:start w:val="1"/>
      <w:numFmt w:val="upperRoman"/>
      <w:lvlText w:val="%3."/>
      <w:lvlJc w:val="left"/>
      <w:pPr>
        <w:tabs>
          <w:tab w:val="num" w:pos="0"/>
        </w:tabs>
        <w:ind w:left="1224" w:hanging="504"/>
      </w:pPr>
      <w:rPr>
        <w:i w:val="false"/>
        <w:b/>
        <w:iCs/>
        <w:bCs/>
        <w:rFonts w:ascii="Times New Roman" w:hAnsi="Times New Roman" w:eastAsia="Times New Roman" w:cs="Arial"/>
        <w:color w:val="auto"/>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9">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w="http://schemas.openxmlformats.org/wordprocessingml/2006/main">
  <w:zoom w:percent="120"/>
  <w:defaultTabStop w:val="720"/>
  <w:autoHyphenation w:val="true"/>
  <w:footnotePr>
    <w:numFmt w:val="decimal"/>
    <w:footnote w:id="0"/>
    <w:footnote w:id="1"/>
  </w:foot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kern w:val="2"/>
        <w:sz w:val="22"/>
        <w:szCs w:val="22"/>
        <w:lang w:val="pt-BR" w:eastAsia="en-US" w:bidi="ar-SA"/>
        <w14:ligatures w14:val="standardContextual"/>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2"/>
      <w:sz w:val="22"/>
      <w:szCs w:val="22"/>
      <w:lang w:val="pt-BR" w:eastAsia="en-US" w:bidi="ar-SA"/>
      <w14:ligatures w14:val="standardContextual"/>
    </w:rPr>
  </w:style>
  <w:style w:type="paragraph" w:styleId="Heading1">
    <w:name w:val="Heading 1"/>
    <w:basedOn w:val="Ttulo"/>
    <w:next w:val="BodyText"/>
    <w:qFormat/>
    <w:pPr>
      <w:spacing w:before="240" w:after="120"/>
      <w:outlineLvl w:val="0"/>
    </w:pPr>
    <w:rPr>
      <w:rFonts w:ascii="Liberation Serif" w:hAnsi="Liberation Serif" w:eastAsia="Segoe UI" w:cs="Tahoma"/>
      <w:b/>
      <w:bCs/>
      <w:sz w:val="48"/>
      <w:szCs w:val="48"/>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uiPriority w:val="99"/>
    <w:qFormat/>
    <w:rsid w:val="00661606"/>
    <w:rPr/>
  </w:style>
  <w:style w:type="character" w:styleId="RodapChar" w:customStyle="1">
    <w:name w:val="Rodapé Char"/>
    <w:basedOn w:val="DefaultParagraphFont"/>
    <w:uiPriority w:val="99"/>
    <w:qFormat/>
    <w:rsid w:val="00661606"/>
    <w:rPr/>
  </w:style>
  <w:style w:type="character" w:styleId="Hyperlink">
    <w:name w:val="Hyperlink"/>
    <w:rPr>
      <w:color w:val="0000FF"/>
      <w:w w:val="100"/>
      <w:position w:val="0"/>
      <w:sz w:val="20"/>
      <w:sz w:val="20"/>
      <w:u w:val="single"/>
      <w:effect w:val="none"/>
      <w:vertAlign w:val="baseline"/>
      <w:em w:val="none"/>
    </w:rPr>
  </w:style>
  <w:style w:type="character" w:styleId="Caracteresdenotaderodap">
    <w:name w:val="Caracteres de nota de rodapé"/>
    <w:qFormat/>
    <w:rPr>
      <w:vertAlign w:val="superscript"/>
    </w:rPr>
  </w:style>
  <w:style w:type="character" w:styleId="FootnoteReference">
    <w:name w:val="Footnote Reference"/>
    <w:rPr>
      <w:vertAlign w:val="superscript"/>
    </w:rPr>
  </w:style>
  <w:style w:type="character" w:styleId="Caracteresdenotadefim">
    <w:name w:val="Caracteres de nota de fim"/>
    <w:qFormat/>
    <w:rPr/>
  </w:style>
  <w:style w:type="character" w:styleId="EndnoteReference">
    <w:name w:val="Endnote Reference"/>
    <w:rPr>
      <w:vertAlign w:val="superscript"/>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Lucida Sans"/>
      <w:i/>
      <w:iCs/>
      <w:sz w:val="24"/>
      <w:szCs w:val="24"/>
    </w:rPr>
  </w:style>
  <w:style w:type="paragraph" w:styleId="Ndice" w:customStyle="1">
    <w:name w:val="Índice"/>
    <w:basedOn w:val="Normal"/>
    <w:qFormat/>
    <w:pPr>
      <w:suppressLineNumbers/>
    </w:pPr>
    <w:rPr>
      <w:rFonts w:cs="Arial"/>
    </w:rPr>
  </w:style>
  <w:style w:type="paragraph" w:styleId="Title">
    <w:name w:val="Title"/>
    <w:basedOn w:val="Normal"/>
    <w:next w:val="BodyText"/>
    <w:qFormat/>
    <w:pPr>
      <w:keepNext w:val="true"/>
      <w:spacing w:before="240" w:after="120"/>
    </w:pPr>
    <w:rPr>
      <w:rFonts w:ascii="Liberation Sans" w:hAnsi="Liberation Sans" w:eastAsia="Microsoft YaHei" w:cs="Arial"/>
      <w:sz w:val="28"/>
      <w:szCs w:val="28"/>
    </w:rPr>
  </w:style>
  <w:style w:type="paragraph" w:styleId="Caption1">
    <w:name w:val="caption1"/>
    <w:basedOn w:val="Normal"/>
    <w:qFormat/>
    <w:pPr>
      <w:suppressLineNumbers/>
      <w:spacing w:before="120" w:after="120"/>
    </w:pPr>
    <w:rPr>
      <w:rFonts w:cs="Arial"/>
      <w:i/>
      <w:iCs/>
      <w:sz w:val="24"/>
      <w:szCs w:val="24"/>
    </w:rPr>
  </w:style>
  <w:style w:type="paragraph" w:styleId="CabealhoeRodap">
    <w:name w:val="Cabeçalho e Rodapé"/>
    <w:basedOn w:val="Normal"/>
    <w:qFormat/>
    <w:pPr/>
    <w:rPr/>
  </w:style>
  <w:style w:type="paragraph" w:styleId="Header">
    <w:name w:val="Header"/>
    <w:basedOn w:val="Normal"/>
    <w:link w:val="CabealhoChar"/>
    <w:uiPriority w:val="99"/>
    <w:unhideWhenUsed/>
    <w:rsid w:val="00661606"/>
    <w:pPr>
      <w:tabs>
        <w:tab w:val="clear" w:pos="720"/>
        <w:tab w:val="center" w:pos="4252" w:leader="none"/>
        <w:tab w:val="right" w:pos="8504" w:leader="none"/>
      </w:tabs>
      <w:spacing w:lineRule="auto" w:line="240" w:before="0" w:after="0"/>
    </w:pPr>
    <w:rPr/>
  </w:style>
  <w:style w:type="paragraph" w:styleId="Footer">
    <w:name w:val="Footer"/>
    <w:basedOn w:val="Normal"/>
    <w:link w:val="RodapChar"/>
    <w:uiPriority w:val="99"/>
    <w:unhideWhenUsed/>
    <w:rsid w:val="00661606"/>
    <w:pPr>
      <w:tabs>
        <w:tab w:val="clear" w:pos="720"/>
        <w:tab w:val="center" w:pos="4252" w:leader="none"/>
        <w:tab w:val="right" w:pos="8504" w:leader="none"/>
      </w:tabs>
      <w:spacing w:lineRule="auto" w:line="240" w:before="0" w:after="0"/>
    </w:pPr>
    <w:rPr/>
  </w:style>
  <w:style w:type="paragraph" w:styleId="LO-normal">
    <w:name w:val="LO-normal"/>
    <w:qFormat/>
    <w:pPr>
      <w:widowControl/>
      <w:suppressAutoHyphens w:val="true"/>
      <w:bidi w:val="0"/>
      <w:spacing w:lineRule="auto" w:line="276" w:before="0" w:after="200"/>
      <w:jc w:val="left"/>
    </w:pPr>
    <w:rPr>
      <w:rFonts w:ascii="Libre Franklin" w:hAnsi="Libre Franklin" w:eastAsia="Libre Franklin" w:cs="Libre Franklin"/>
      <w:color w:val="auto"/>
      <w:kern w:val="0"/>
      <w:sz w:val="22"/>
      <w:szCs w:val="22"/>
      <w:lang w:val="pt-BR" w:eastAsia="pt-BR" w:bidi="ar-SA"/>
    </w:rPr>
  </w:style>
  <w:style w:type="paragraph" w:styleId="FootnoteText">
    <w:name w:val="Footnote Text"/>
    <w:basedOn w:val="Normal"/>
    <w:pPr>
      <w:suppressLineNumbers/>
      <w:ind w:hanging="340" w:left="340"/>
    </w:pPr>
    <w:rPr>
      <w:sz w:val="20"/>
      <w:szCs w:val="20"/>
    </w:rPr>
  </w:style>
  <w:style w:type="paragraph" w:styleId="LO-normal1">
    <w:name w:val="LO-normal1"/>
    <w:qFormat/>
    <w:pPr>
      <w:widowControl/>
      <w:suppressAutoHyphens w:val="true"/>
      <w:bidi w:val="0"/>
      <w:spacing w:lineRule="auto" w:line="276" w:before="0" w:after="200"/>
      <w:jc w:val="left"/>
    </w:pPr>
    <w:rPr>
      <w:rFonts w:ascii="Libre Franklin" w:hAnsi="Libre Franklin" w:eastAsia="Libre Franklin" w:cs="Libre Franklin"/>
      <w:color w:val="auto"/>
      <w:kern w:val="0"/>
      <w:sz w:val="22"/>
      <w:szCs w:val="22"/>
      <w:lang w:val="pt-BR" w:eastAsia="pt-BR" w:bidi="ar-SA"/>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header" Target="header3.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oter" Target="footer3.xml"/><Relationship Id="rId9" Type="http://schemas.openxmlformats.org/officeDocument/2006/relationships/footnotes" Target="footnotes.xml"/><Relationship Id="rId10" Type="http://schemas.openxmlformats.org/officeDocument/2006/relationships/numbering" Target="numbering.xml"/><Relationship Id="rId11" Type="http://schemas.openxmlformats.org/officeDocument/2006/relationships/fontTable" Target="fontTable.xml"/><Relationship Id="rId12" Type="http://schemas.openxmlformats.org/officeDocument/2006/relationships/settings" Target="settings.xml"/><Relationship Id="rId13" Type="http://schemas.openxmlformats.org/officeDocument/2006/relationships/theme" Target="theme/theme1.xml"/>
</Relationships>
</file>

<file path=word/_rels/footer2.xml.rels><?xml version="1.0" encoding="UTF-8"?>
<Relationships xmlns="http://schemas.openxmlformats.org/package/2006/relationships"><Relationship Id="rId1" Type="http://schemas.openxmlformats.org/officeDocument/2006/relationships/image" Target="media/image4.png"/>
</Relationships>
</file>

<file path=word/_rels/footer3.xml.rels><?xml version="1.0" encoding="UTF-8"?>
<Relationships xmlns="http://schemas.openxmlformats.org/package/2006/relationships"><Relationship Id="rId1" Type="http://schemas.openxmlformats.org/officeDocument/2006/relationships/image" Target="media/image4.png"/>
</Relationships>
</file>

<file path=word/_rels/header2.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
</Relationships>
</file>

<file path=word/_rels/header3.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397</TotalTime>
  <Application>LibreOffice/24.2.2.2$Windows_X86_64 LibreOffice_project/d56cc158d8a96260b836f100ef4b4ef25d6f1a01</Application>
  <AppVersion>15.0000</AppVersion>
  <Pages>9</Pages>
  <Words>2886</Words>
  <Characters>16216</Characters>
  <CharactersWithSpaces>19341</CharactersWithSpaces>
  <Paragraphs>142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2023-09-29T18:46:00Z</dcterms:created>
  <dc:creator>roberta</dc:creator>
  <dc:description/>
  <dc:language>pt-BR</dc:language>
  <cp:lastModifiedBy/>
  <cp:lastPrinted>2023-04-12T16:00:00Z</cp:lastPrinted>
  <dcterms:modified xsi:type="dcterms:W3CDTF">2024-05-24T10:31:43Z</dcterms:modified>
  <cp:revision>14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