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ind w:right="283"/>
        <w:rPr>
          <w:rFonts w:ascii="Calibri" w:hAnsi="Calibri" w:eastAsia="Calibri" w:cs="Calibri"/>
          <w:sz w:val="20"/>
          <w:szCs w:val="20"/>
        </w:rPr>
      </w:pPr>
      <w:r>
        <w:rPr>
          <w:rFonts w:eastAsia="Calibri" w:cs="Calibri" w:ascii="Calibri" w:hAnsi="Calibri"/>
          <w:sz w:val="20"/>
          <w:szCs w:val="20"/>
        </w:rPr>
      </w:r>
    </w:p>
    <w:p>
      <w:pPr>
        <w:pStyle w:val="Normal1"/>
        <w:ind w:right="142"/>
        <w:jc w:val="center"/>
        <w:rPr>
          <w:rFonts w:ascii="Calibri" w:hAnsi="Calibri"/>
          <w:sz w:val="20"/>
          <w:szCs w:val="20"/>
        </w:rPr>
      </w:pPr>
      <w:r>
        <w:rPr>
          <w:rFonts w:eastAsia="Calibri" w:cs="Calibri" w:ascii="Calibri" w:hAnsi="Calibri"/>
          <w:b/>
          <w:sz w:val="20"/>
          <w:szCs w:val="20"/>
        </w:rPr>
        <w:t>TERMO DE REFERÊNCIA</w:t>
      </w:r>
    </w:p>
    <w:p>
      <w:pPr>
        <w:pStyle w:val="Normal1"/>
        <w:keepNext w:val="true"/>
        <w:keepLines/>
        <w:spacing w:before="0" w:after="0"/>
        <w:ind w:right="142"/>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Normal1"/>
        <w:keepNext w:val="true"/>
        <w:keepLines/>
        <w:numPr>
          <w:ilvl w:val="0"/>
          <w:numId w:val="2"/>
        </w:numPr>
        <w:spacing w:before="0" w:after="0"/>
        <w:ind w:hanging="426" w:left="426" w:right="142"/>
        <w:jc w:val="both"/>
        <w:rPr>
          <w:highlight w:val="none"/>
          <w:shd w:fill="auto" w:val="clear"/>
        </w:rPr>
      </w:pPr>
      <w:r>
        <w:rPr>
          <w:rFonts w:eastAsia="Calibri" w:cs="Calibri" w:ascii="Calibri" w:hAnsi="Calibri"/>
          <w:b/>
          <w:color w:val="000000"/>
          <w:sz w:val="20"/>
          <w:szCs w:val="20"/>
          <w:shd w:fill="auto" w:val="clear"/>
        </w:rPr>
        <w:t>DO OBJETO</w:t>
      </w:r>
    </w:p>
    <w:p>
      <w:pPr>
        <w:pStyle w:val="Normal1"/>
        <w:numPr>
          <w:ilvl w:val="1"/>
          <w:numId w:val="4"/>
        </w:numPr>
        <w:spacing w:before="240" w:after="240"/>
        <w:ind w:hanging="426" w:left="426" w:right="142"/>
        <w:jc w:val="both"/>
        <w:rPr>
          <w:highlight w:val="none"/>
          <w:shd w:fill="auto" w:val="clear"/>
        </w:rPr>
      </w:pPr>
      <w:r>
        <w:rPr>
          <w:rFonts w:eastAsia="Calibri" w:cs="Calibri" w:ascii="Calibri" w:hAnsi="Calibri"/>
          <w:sz w:val="20"/>
          <w:szCs w:val="20"/>
          <w:shd w:fill="auto" w:val="clear"/>
        </w:rPr>
        <w:t>Dispensa de licitação com fundamento no</w:t>
      </w:r>
      <w:r>
        <w:rPr>
          <w:rFonts w:eastAsia="Calibri" w:cs="Calibri" w:ascii="Calibri" w:hAnsi="Calibri"/>
          <w:color w:val="4472C4"/>
          <w:sz w:val="20"/>
          <w:szCs w:val="20"/>
          <w:shd w:fill="auto" w:val="clear"/>
        </w:rPr>
        <w:t xml:space="preserve"> </w:t>
      </w:r>
      <w:r>
        <w:rPr>
          <w:rFonts w:eastAsia="Calibri" w:cs="Calibri" w:ascii="Calibri" w:hAnsi="Calibri"/>
          <w:color w:val="000000"/>
          <w:sz w:val="20"/>
          <w:szCs w:val="20"/>
          <w:shd w:fill="auto" w:val="clear"/>
        </w:rPr>
        <w:t xml:space="preserve">art. 75, inc. II da Lei nº 14.133/21, visando o fornecimento de </w:t>
      </w:r>
      <w:r>
        <w:rPr>
          <w:rFonts w:eastAsia="Calibri" w:cs="Calibri" w:ascii="Calibri" w:hAnsi="Calibri"/>
          <w:color w:val="000000"/>
          <w:sz w:val="20"/>
          <w:szCs w:val="20"/>
          <w:shd w:fill="auto" w:val="clear"/>
        </w:rPr>
        <w:t>pallets</w:t>
      </w:r>
      <w:r>
        <w:rPr>
          <w:rFonts w:eastAsia="Calibri" w:cs="Calibri" w:ascii="Calibri" w:hAnsi="Calibri"/>
          <w:color w:val="000000"/>
          <w:sz w:val="20"/>
          <w:szCs w:val="20"/>
          <w:shd w:fill="auto" w:val="clear"/>
        </w:rPr>
        <w:t>, para atender as necessidades da</w:t>
      </w:r>
      <w:r>
        <w:rPr>
          <w:rFonts w:eastAsia="Calibri" w:cs="Calibri" w:ascii="Calibri" w:hAnsi="Calibri"/>
          <w:color w:val="0070C0"/>
          <w:sz w:val="20"/>
          <w:szCs w:val="20"/>
          <w:shd w:fill="auto" w:val="clear"/>
        </w:rPr>
        <w:t xml:space="preserve"> </w:t>
      </w:r>
      <w:r>
        <w:rPr>
          <w:rFonts w:eastAsia="Calibri" w:cs="Calibri" w:ascii="Calibri" w:hAnsi="Calibri"/>
          <w:color w:val="000000"/>
          <w:sz w:val="20"/>
          <w:szCs w:val="20"/>
          <w:shd w:fill="auto" w:val="clear"/>
        </w:rPr>
        <w:t>Autarquia Distrito Estadual de Fernando de Noronha – ATDEFN, conforme as condições, especificações, quantidades e exigências contidas neste Termo de Referência.</w:t>
      </w:r>
    </w:p>
    <w:p>
      <w:pPr>
        <w:pStyle w:val="Normal1"/>
        <w:numPr>
          <w:ilvl w:val="1"/>
          <w:numId w:val="4"/>
        </w:numPr>
        <w:spacing w:before="240" w:after="240"/>
        <w:ind w:hanging="426" w:left="426" w:right="142"/>
        <w:jc w:val="both"/>
        <w:rPr>
          <w:highlight w:val="none"/>
          <w:shd w:fill="auto" w:val="clear"/>
        </w:rPr>
      </w:pPr>
      <w:r>
        <w:rPr>
          <w:rFonts w:eastAsia="Calibri" w:cs="Calibri" w:ascii="Calibri" w:hAnsi="Calibri"/>
          <w:color w:val="000000"/>
          <w:sz w:val="20"/>
          <w:szCs w:val="20"/>
          <w:shd w:fill="auto" w:val="clear"/>
        </w:rPr>
        <w:t>As especificações e os quantitativos do objeto desta dispensa estão descritos conforme quadro abaixo:</w:t>
      </w:r>
    </w:p>
    <w:tbl>
      <w:tblPr>
        <w:tblW w:w="9350" w:type="dxa"/>
        <w:jc w:val="left"/>
        <w:tblInd w:w="57" w:type="dxa"/>
        <w:tblLayout w:type="fixed"/>
        <w:tblCellMar>
          <w:top w:w="57" w:type="dxa"/>
          <w:left w:w="57" w:type="dxa"/>
          <w:bottom w:w="57" w:type="dxa"/>
          <w:right w:w="0" w:type="dxa"/>
        </w:tblCellMar>
      </w:tblPr>
      <w:tblGrid>
        <w:gridCol w:w="761"/>
        <w:gridCol w:w="1137"/>
        <w:gridCol w:w="3377"/>
        <w:gridCol w:w="912"/>
        <w:gridCol w:w="626"/>
        <w:gridCol w:w="1300"/>
        <w:gridCol w:w="1236"/>
      </w:tblGrid>
      <w:tr>
        <w:trPr>
          <w:trHeight w:val="850" w:hRule="atLeast"/>
        </w:trPr>
        <w:tc>
          <w:tcPr>
            <w:tcW w:w="761" w:type="dxa"/>
            <w:tcBorders>
              <w:top w:val="single" w:sz="2" w:space="0" w:color="000000"/>
              <w:left w:val="single" w:sz="2" w:space="0" w:color="000000"/>
              <w:bottom w:val="single" w:sz="2" w:space="0" w:color="000000"/>
            </w:tcBorders>
            <w:vAlign w:val="center"/>
          </w:tcPr>
          <w:p>
            <w:pPr>
              <w:pStyle w:val="Contedodatabela"/>
              <w:spacing w:lineRule="atLeast" w:line="270" w:before="0" w:after="135"/>
              <w:ind w:hanging="0" w:left="0" w:right="0"/>
              <w:jc w:val="center"/>
              <w:rPr>
                <w:highlight w:val="none"/>
                <w:shd w:fill="auto" w:val="clear"/>
              </w:rPr>
            </w:pPr>
            <w:r>
              <w:rPr>
                <w:rFonts w:ascii="Calibri" w:hAnsi="Calibri"/>
                <w:b/>
                <w:color w:val="000000"/>
                <w:sz w:val="20"/>
                <w:szCs w:val="20"/>
                <w:shd w:fill="auto" w:val="clear"/>
              </w:rPr>
              <w:t>ITEM</w:t>
            </w:r>
          </w:p>
        </w:tc>
        <w:tc>
          <w:tcPr>
            <w:tcW w:w="1137" w:type="dxa"/>
            <w:tcBorders>
              <w:top w:val="single" w:sz="2" w:space="0" w:color="000000"/>
              <w:left w:val="single" w:sz="2" w:space="0" w:color="000000"/>
              <w:bottom w:val="single" w:sz="2" w:space="0" w:color="000000"/>
            </w:tcBorders>
            <w:vAlign w:val="center"/>
          </w:tcPr>
          <w:p>
            <w:pPr>
              <w:pStyle w:val="Contedodatabela"/>
              <w:spacing w:lineRule="atLeast" w:line="270" w:before="0" w:after="135"/>
              <w:ind w:hanging="0" w:left="0" w:right="0"/>
              <w:jc w:val="center"/>
              <w:rPr>
                <w:highlight w:val="none"/>
                <w:shd w:fill="auto" w:val="clear"/>
              </w:rPr>
            </w:pPr>
            <w:r>
              <w:rPr>
                <w:rFonts w:ascii="Calibri" w:hAnsi="Calibri"/>
                <w:b/>
                <w:color w:val="000000"/>
                <w:sz w:val="20"/>
                <w:szCs w:val="20"/>
                <w:shd w:fill="auto" w:val="clear"/>
              </w:rPr>
              <w:t>CÓDIGO E-FISCO</w:t>
            </w:r>
          </w:p>
        </w:tc>
        <w:tc>
          <w:tcPr>
            <w:tcW w:w="3377" w:type="dxa"/>
            <w:tcBorders>
              <w:top w:val="single" w:sz="2" w:space="0" w:color="000000"/>
              <w:left w:val="single" w:sz="2" w:space="0" w:color="000000"/>
              <w:bottom w:val="single" w:sz="2" w:space="0" w:color="000000"/>
            </w:tcBorders>
            <w:vAlign w:val="center"/>
          </w:tcPr>
          <w:p>
            <w:pPr>
              <w:pStyle w:val="Contedodatabela"/>
              <w:spacing w:lineRule="atLeast" w:line="270" w:before="0" w:after="135"/>
              <w:ind w:hanging="0" w:left="0" w:right="0"/>
              <w:jc w:val="center"/>
              <w:rPr>
                <w:highlight w:val="none"/>
                <w:shd w:fill="auto" w:val="clear"/>
              </w:rPr>
            </w:pPr>
            <w:r>
              <w:rPr>
                <w:rFonts w:ascii="Calibri" w:hAnsi="Calibri"/>
                <w:b/>
                <w:color w:val="000000"/>
                <w:sz w:val="20"/>
                <w:szCs w:val="20"/>
                <w:shd w:fill="auto" w:val="clear"/>
              </w:rPr>
              <w:t>DESCRIÇÃO</w:t>
            </w:r>
          </w:p>
        </w:tc>
        <w:tc>
          <w:tcPr>
            <w:tcW w:w="912" w:type="dxa"/>
            <w:tcBorders>
              <w:top w:val="single" w:sz="2" w:space="0" w:color="000000"/>
              <w:left w:val="single" w:sz="2" w:space="0" w:color="000000"/>
              <w:bottom w:val="single" w:sz="2" w:space="0" w:color="000000"/>
            </w:tcBorders>
            <w:vAlign w:val="center"/>
          </w:tcPr>
          <w:p>
            <w:pPr>
              <w:pStyle w:val="Contedodatabela"/>
              <w:spacing w:lineRule="atLeast" w:line="270" w:before="0" w:after="135"/>
              <w:ind w:hanging="0" w:left="0" w:right="0"/>
              <w:jc w:val="center"/>
              <w:rPr>
                <w:highlight w:val="none"/>
                <w:shd w:fill="auto" w:val="clear"/>
              </w:rPr>
            </w:pPr>
            <w:r>
              <w:rPr>
                <w:rFonts w:ascii="Calibri" w:hAnsi="Calibri"/>
                <w:b/>
                <w:color w:val="000000"/>
                <w:sz w:val="20"/>
                <w:szCs w:val="20"/>
                <w:shd w:fill="auto" w:val="clear"/>
              </w:rPr>
              <w:t>UNIDADE DE MEDIDA</w:t>
            </w:r>
          </w:p>
        </w:tc>
        <w:tc>
          <w:tcPr>
            <w:tcW w:w="626" w:type="dxa"/>
            <w:tcBorders>
              <w:top w:val="single" w:sz="2" w:space="0" w:color="000000"/>
              <w:left w:val="single" w:sz="2" w:space="0" w:color="000000"/>
              <w:bottom w:val="single" w:sz="2" w:space="0" w:color="000000"/>
            </w:tcBorders>
            <w:vAlign w:val="center"/>
          </w:tcPr>
          <w:p>
            <w:pPr>
              <w:pStyle w:val="Contedodatabela"/>
              <w:spacing w:lineRule="atLeast" w:line="270" w:before="0" w:after="135"/>
              <w:ind w:hanging="0" w:left="0" w:right="0"/>
              <w:jc w:val="center"/>
              <w:rPr>
                <w:highlight w:val="none"/>
                <w:shd w:fill="auto" w:val="clear"/>
              </w:rPr>
            </w:pPr>
            <w:r>
              <w:rPr>
                <w:rFonts w:ascii="Calibri" w:hAnsi="Calibri"/>
                <w:b/>
                <w:color w:val="000000"/>
                <w:sz w:val="20"/>
                <w:szCs w:val="20"/>
                <w:shd w:fill="auto" w:val="clear"/>
              </w:rPr>
              <w:t>QTDE</w:t>
            </w:r>
          </w:p>
        </w:tc>
        <w:tc>
          <w:tcPr>
            <w:tcW w:w="1300" w:type="dxa"/>
            <w:tcBorders>
              <w:top w:val="single" w:sz="2" w:space="0" w:color="000000"/>
              <w:left w:val="single" w:sz="2" w:space="0" w:color="000000"/>
              <w:bottom w:val="single" w:sz="2" w:space="0" w:color="000000"/>
            </w:tcBorders>
            <w:vAlign w:val="center"/>
          </w:tcPr>
          <w:p>
            <w:pPr>
              <w:pStyle w:val="Contedodatabela"/>
              <w:spacing w:lineRule="atLeast" w:line="270" w:before="0" w:after="135"/>
              <w:ind w:hanging="0" w:left="0" w:right="0"/>
              <w:jc w:val="center"/>
              <w:rPr>
                <w:highlight w:val="none"/>
                <w:shd w:fill="auto" w:val="clear"/>
              </w:rPr>
            </w:pPr>
            <w:r>
              <w:rPr>
                <w:rFonts w:ascii="Calibri" w:hAnsi="Calibri"/>
                <w:b/>
                <w:color w:val="000000"/>
                <w:sz w:val="20"/>
                <w:szCs w:val="20"/>
                <w:shd w:fill="auto" w:val="clear"/>
              </w:rPr>
              <w:t>VALOR UNITÁRIO</w:t>
            </w:r>
          </w:p>
        </w:tc>
        <w:tc>
          <w:tcPr>
            <w:tcW w:w="1236" w:type="dxa"/>
            <w:tcBorders>
              <w:top w:val="single" w:sz="6" w:space="0" w:color="000000"/>
              <w:left w:val="single" w:sz="6" w:space="0" w:color="000000"/>
              <w:bottom w:val="single" w:sz="6" w:space="0" w:color="000000"/>
              <w:right w:val="single" w:sz="6" w:space="0" w:color="000000"/>
            </w:tcBorders>
            <w:tcMar>
              <w:right w:w="57" w:type="dxa"/>
            </w:tcMar>
            <w:vAlign w:val="center"/>
          </w:tcPr>
          <w:p>
            <w:pPr>
              <w:pStyle w:val="Contedodatabela"/>
              <w:spacing w:lineRule="atLeast" w:line="270" w:before="0" w:after="135"/>
              <w:ind w:hanging="0" w:left="0" w:right="0"/>
              <w:jc w:val="center"/>
              <w:rPr>
                <w:highlight w:val="none"/>
                <w:shd w:fill="auto" w:val="clear"/>
              </w:rPr>
            </w:pPr>
            <w:r>
              <w:rPr>
                <w:rFonts w:ascii="Calibri" w:hAnsi="Calibri"/>
                <w:b/>
                <w:color w:val="000000"/>
                <w:sz w:val="20"/>
                <w:szCs w:val="20"/>
                <w:shd w:fill="auto" w:val="clear"/>
              </w:rPr>
              <w:t>VALOR TOTAL</w:t>
            </w:r>
          </w:p>
        </w:tc>
      </w:tr>
      <w:tr>
        <w:trPr>
          <w:trHeight w:val="1826" w:hRule="atLeast"/>
        </w:trPr>
        <w:tc>
          <w:tcPr>
            <w:tcW w:w="761" w:type="dxa"/>
            <w:tcBorders>
              <w:left w:val="single" w:sz="2" w:space="0" w:color="000000"/>
              <w:bottom w:val="single" w:sz="2" w:space="0" w:color="000000"/>
            </w:tcBorders>
            <w:tcMar>
              <w:top w:w="0" w:type="dxa"/>
            </w:tcMar>
            <w:vAlign w:val="center"/>
          </w:tcPr>
          <w:p>
            <w:pPr>
              <w:pStyle w:val="Contedodatabela"/>
              <w:spacing w:lineRule="atLeast" w:line="270" w:before="0" w:after="135"/>
              <w:ind w:hanging="0" w:left="0" w:right="0"/>
              <w:jc w:val="center"/>
              <w:rPr>
                <w:rFonts w:ascii="Calibri" w:hAnsi="Calibri" w:eastAsia="Calibri" w:cs="Calibri"/>
                <w:color w:val="000000"/>
                <w:kern w:val="0"/>
                <w:sz w:val="20"/>
                <w:szCs w:val="20"/>
                <w:highlight w:val="none"/>
                <w:shd w:fill="auto" w:val="clear"/>
                <w:lang w:val="pt-BR" w:eastAsia="pt-BR" w:bidi="ar-SA"/>
              </w:rPr>
            </w:pPr>
            <w:r>
              <w:rPr>
                <w:rFonts w:eastAsia="Calibri" w:cs="Calibri" w:ascii="Calibri" w:hAnsi="Calibri"/>
                <w:color w:val="000000"/>
                <w:kern w:val="0"/>
                <w:sz w:val="20"/>
                <w:szCs w:val="20"/>
                <w:shd w:fill="auto" w:val="clear"/>
                <w:lang w:val="pt-BR" w:eastAsia="pt-BR" w:bidi="ar-SA"/>
              </w:rPr>
              <w:t>01</w:t>
            </w:r>
          </w:p>
        </w:tc>
        <w:tc>
          <w:tcPr>
            <w:tcW w:w="1137" w:type="dxa"/>
            <w:tcBorders>
              <w:left w:val="single" w:sz="2" w:space="0" w:color="000000"/>
              <w:bottom w:val="single" w:sz="2" w:space="0" w:color="000000"/>
            </w:tcBorders>
            <w:tcMar>
              <w:top w:w="0" w:type="dxa"/>
            </w:tcMar>
            <w:vAlign w:val="center"/>
          </w:tcPr>
          <w:p>
            <w:pPr>
              <w:pStyle w:val="Normal"/>
              <w:spacing w:before="0" w:after="0"/>
              <w:jc w:val="center"/>
              <w:rPr>
                <w:rFonts w:ascii="Calibri" w:hAnsi="Calibri" w:eastAsia="Calibri" w:cs="Calibri"/>
                <w:color w:val="000000"/>
                <w:kern w:val="0"/>
                <w:sz w:val="20"/>
                <w:szCs w:val="20"/>
                <w:highlight w:val="none"/>
                <w:shd w:fill="auto" w:val="clear"/>
                <w:lang w:val="pt-BR" w:eastAsia="pt-BR" w:bidi="ar-SA"/>
              </w:rPr>
            </w:pPr>
            <w:r>
              <w:rPr>
                <w:rFonts w:eastAsia="Calibri" w:cs="Calibri" w:ascii="Calibri" w:hAnsi="Calibri"/>
                <w:color w:val="000000"/>
                <w:kern w:val="0"/>
                <w:sz w:val="20"/>
                <w:szCs w:val="20"/>
                <w:shd w:fill="auto" w:val="clear"/>
                <w:lang w:val="pt-BR" w:eastAsia="pt-BR" w:bidi="ar-SA"/>
              </w:rPr>
              <w:t>201283-9</w:t>
            </w:r>
          </w:p>
        </w:tc>
        <w:tc>
          <w:tcPr>
            <w:tcW w:w="3377" w:type="dxa"/>
            <w:tcBorders>
              <w:left w:val="single" w:sz="2" w:space="0" w:color="000000"/>
              <w:bottom w:val="single" w:sz="2" w:space="0" w:color="000000"/>
            </w:tcBorders>
            <w:tcMar>
              <w:top w:w="0" w:type="dxa"/>
            </w:tcMar>
            <w:vAlign w:val="center"/>
          </w:tcPr>
          <w:p>
            <w:pPr>
              <w:pStyle w:val="Normal"/>
              <w:spacing w:before="0" w:after="0"/>
              <w:jc w:val="both"/>
              <w:rPr>
                <w:rFonts w:ascii="Calibri" w:hAnsi="Calibri" w:eastAsia="Calibri" w:cs="Calibri"/>
                <w:color w:val="000000"/>
                <w:kern w:val="0"/>
                <w:sz w:val="20"/>
                <w:szCs w:val="20"/>
                <w:highlight w:val="none"/>
                <w:shd w:fill="auto" w:val="clear"/>
                <w:lang w:val="pt-BR" w:eastAsia="pt-BR" w:bidi="ar-SA"/>
              </w:rPr>
            </w:pPr>
            <w:r>
              <w:rPr>
                <w:rFonts w:eastAsia="Calibri" w:cs="Calibri" w:ascii="Calibri" w:hAnsi="Calibri"/>
                <w:color w:val="000000"/>
                <w:kern w:val="0"/>
                <w:sz w:val="20"/>
                <w:szCs w:val="20"/>
                <w:shd w:fill="auto" w:val="clear"/>
                <w:lang w:val="pt-BR" w:eastAsia="pt-BR" w:bidi="ar-SA"/>
              </w:rPr>
              <w:t>PALLET – EM POLIETILENO DE MEDIA DENSIDADE PELO PROCESSO DE ROTOMOLDAGEM, PREENCHIMENTO COM ESPUMAS DE POLIURETANO, COM DUAS ENTRADAS PARA EMPILHADEIRA COM DIMENSOES DE 1,00 X 1,20 X 0,14M, COM CAPACIDADE PARA 1000 KG APROXIMADAMENTE</w:t>
            </w:r>
          </w:p>
        </w:tc>
        <w:tc>
          <w:tcPr>
            <w:tcW w:w="912" w:type="dxa"/>
            <w:tcBorders>
              <w:left w:val="single" w:sz="2" w:space="0" w:color="000000"/>
              <w:bottom w:val="single" w:sz="2" w:space="0" w:color="000000"/>
            </w:tcBorders>
            <w:tcMar>
              <w:top w:w="0" w:type="dxa"/>
            </w:tcMar>
            <w:vAlign w:val="center"/>
          </w:tcPr>
          <w:p>
            <w:pPr>
              <w:pStyle w:val="Normal"/>
              <w:spacing w:before="0" w:after="0"/>
              <w:jc w:val="center"/>
              <w:rPr>
                <w:rFonts w:ascii="Calibri" w:hAnsi="Calibri" w:eastAsia="Calibri" w:cs="Calibri"/>
                <w:color w:val="auto"/>
                <w:sz w:val="20"/>
                <w:szCs w:val="20"/>
              </w:rPr>
            </w:pPr>
            <w:r>
              <w:rPr>
                <w:rFonts w:eastAsia="Calibri" w:cs="Calibri" w:ascii="Calibri" w:hAnsi="Calibri"/>
                <w:color w:val="auto"/>
                <w:sz w:val="20"/>
                <w:szCs w:val="20"/>
              </w:rPr>
              <w:t>UND</w:t>
            </w:r>
          </w:p>
        </w:tc>
        <w:tc>
          <w:tcPr>
            <w:tcW w:w="626" w:type="dxa"/>
            <w:tcBorders>
              <w:left w:val="single" w:sz="2" w:space="0" w:color="000000"/>
              <w:bottom w:val="single" w:sz="2" w:space="0" w:color="000000"/>
            </w:tcBorders>
            <w:tcMar>
              <w:top w:w="0" w:type="dxa"/>
            </w:tcMar>
            <w:vAlign w:val="center"/>
          </w:tcPr>
          <w:p>
            <w:pPr>
              <w:pStyle w:val="Contedodatabela"/>
              <w:spacing w:lineRule="atLeast" w:line="270" w:before="0" w:after="135"/>
              <w:ind w:hanging="0" w:left="0" w:right="0"/>
              <w:rPr>
                <w:highlight w:val="none"/>
                <w:shd w:fill="auto" w:val="clear"/>
              </w:rPr>
            </w:pPr>
            <w:r>
              <w:rPr>
                <w:rFonts w:ascii="Calibri" w:hAnsi="Calibri"/>
                <w:color w:val="000000"/>
                <w:sz w:val="20"/>
                <w:szCs w:val="20"/>
                <w:shd w:fill="auto" w:val="clear"/>
              </w:rPr>
              <w:t>30</w:t>
            </w:r>
          </w:p>
        </w:tc>
        <w:tc>
          <w:tcPr>
            <w:tcW w:w="1300" w:type="dxa"/>
            <w:tcBorders>
              <w:left w:val="single" w:sz="2" w:space="0" w:color="000000"/>
              <w:bottom w:val="single" w:sz="2" w:space="0" w:color="000000"/>
            </w:tcBorders>
            <w:tcMar>
              <w:top w:w="0" w:type="dxa"/>
            </w:tcMar>
            <w:vAlign w:val="center"/>
          </w:tcPr>
          <w:p>
            <w:pPr>
              <w:pStyle w:val="Contedodatabela"/>
              <w:spacing w:lineRule="atLeast" w:line="270" w:before="0" w:after="135"/>
              <w:ind w:hanging="0" w:left="0" w:right="0"/>
              <w:rPr>
                <w:highlight w:val="none"/>
                <w:shd w:fill="auto" w:val="clear"/>
              </w:rPr>
            </w:pPr>
            <w:r>
              <w:rPr>
                <w:rFonts w:ascii="Calibri" w:hAnsi="Calibri"/>
                <w:color w:val="000000"/>
                <w:sz w:val="20"/>
                <w:szCs w:val="20"/>
                <w:shd w:fill="auto" w:val="clear"/>
              </w:rPr>
              <w:t>R$</w:t>
            </w:r>
          </w:p>
        </w:tc>
        <w:tc>
          <w:tcPr>
            <w:tcW w:w="1236" w:type="dxa"/>
            <w:tcBorders>
              <w:left w:val="single" w:sz="2" w:space="0" w:color="000000"/>
              <w:bottom w:val="single" w:sz="2" w:space="0" w:color="000000"/>
              <w:right w:val="single" w:sz="2" w:space="0" w:color="000000"/>
            </w:tcBorders>
            <w:tcMar>
              <w:top w:w="0" w:type="dxa"/>
              <w:right w:w="57" w:type="dxa"/>
            </w:tcMar>
            <w:vAlign w:val="center"/>
          </w:tcPr>
          <w:p>
            <w:pPr>
              <w:pStyle w:val="Contedodatabela"/>
              <w:spacing w:lineRule="atLeast" w:line="270" w:before="0" w:after="135"/>
              <w:ind w:hanging="0" w:left="0" w:right="0"/>
              <w:rPr>
                <w:highlight w:val="none"/>
                <w:shd w:fill="auto" w:val="clear"/>
              </w:rPr>
            </w:pPr>
            <w:r>
              <w:rPr>
                <w:rFonts w:ascii="Calibri" w:hAnsi="Calibri"/>
                <w:color w:val="000000"/>
                <w:sz w:val="20"/>
                <w:szCs w:val="20"/>
                <w:shd w:fill="auto" w:val="clear"/>
              </w:rPr>
              <w:t>R$</w:t>
            </w:r>
          </w:p>
        </w:tc>
      </w:tr>
    </w:tbl>
    <w:p>
      <w:pPr>
        <w:pStyle w:val="Normal1"/>
        <w:spacing w:before="240" w:after="240"/>
        <w:ind w:left="426" w:right="142"/>
        <w:jc w:val="both"/>
        <w:rPr>
          <w:rFonts w:ascii="Calibri" w:hAnsi="Calibri" w:eastAsia="Calibri" w:cs="Calibri"/>
          <w:color w:val="FF0000"/>
          <w:sz w:val="20"/>
          <w:szCs w:val="20"/>
          <w:highlight w:val="none"/>
          <w:shd w:fill="FFFF00" w:val="clear"/>
        </w:rPr>
      </w:pPr>
      <w:r>
        <w:rPr>
          <w:rFonts w:eastAsia="Calibri" w:cs="Calibri" w:ascii="Calibri" w:hAnsi="Calibri"/>
          <w:color w:val="FF0000"/>
          <w:sz w:val="20"/>
          <w:szCs w:val="20"/>
          <w:shd w:fill="FFFF00" w:val="clear"/>
        </w:rPr>
      </w:r>
    </w:p>
    <w:p>
      <w:pPr>
        <w:pStyle w:val="Normal1"/>
        <w:keepNext w:val="true"/>
        <w:keepLines/>
        <w:numPr>
          <w:ilvl w:val="0"/>
          <w:numId w:val="1"/>
        </w:numPr>
        <w:spacing w:before="0" w:after="0"/>
        <w:ind w:hanging="426" w:left="426" w:right="142"/>
        <w:jc w:val="both"/>
        <w:rPr>
          <w:rFonts w:ascii="Calibri" w:hAnsi="Calibri"/>
          <w:sz w:val="20"/>
          <w:szCs w:val="20"/>
        </w:rPr>
      </w:pPr>
      <w:r>
        <w:rPr>
          <w:rFonts w:eastAsia="Calibri" w:cs="Calibri" w:ascii="Calibri" w:hAnsi="Calibri"/>
          <w:b/>
          <w:sz w:val="20"/>
          <w:szCs w:val="20"/>
        </w:rPr>
        <w:t>DAS JUSTIFICATIVAS</w:t>
      </w:r>
    </w:p>
    <w:p>
      <w:pPr>
        <w:pStyle w:val="Normal1"/>
        <w:spacing w:before="0" w:after="0"/>
        <w:ind w:left="360" w:right="142"/>
        <w:rPr>
          <w:rFonts w:ascii="Calibri" w:hAnsi="Calibri" w:eastAsia="Calibri" w:cs="Calibri"/>
          <w:b/>
          <w:color w:val="000000"/>
          <w:sz w:val="20"/>
          <w:szCs w:val="20"/>
          <w:highlight w:val="green"/>
        </w:rPr>
      </w:pPr>
      <w:r>
        <w:rPr>
          <w:rFonts w:eastAsia="Calibri" w:cs="Calibri" w:ascii="Calibri" w:hAnsi="Calibri"/>
          <w:b/>
          <w:color w:val="000000"/>
          <w:sz w:val="20"/>
          <w:szCs w:val="20"/>
          <w:highlight w:val="green"/>
        </w:rPr>
      </w:r>
    </w:p>
    <w:p>
      <w:pPr>
        <w:pStyle w:val="Normal1"/>
        <w:numPr>
          <w:ilvl w:val="1"/>
          <w:numId w:val="1"/>
        </w:numPr>
        <w:spacing w:before="0" w:after="0"/>
        <w:ind w:hanging="426" w:left="426" w:right="142"/>
        <w:rPr>
          <w:rFonts w:ascii="Calibri" w:hAnsi="Calibri"/>
          <w:sz w:val="20"/>
          <w:szCs w:val="20"/>
        </w:rPr>
      </w:pPr>
      <w:r>
        <w:rPr>
          <w:rFonts w:eastAsia="Calibri" w:cs="Calibri" w:ascii="Calibri" w:hAnsi="Calibri"/>
          <w:b/>
          <w:color w:val="000000"/>
          <w:sz w:val="20"/>
          <w:szCs w:val="20"/>
        </w:rPr>
        <w:t>DA CONTRATAÇÃO POR DISPENSA DE LICITAÇÃO</w:t>
      </w:r>
    </w:p>
    <w:p>
      <w:pPr>
        <w:pStyle w:val="Normal1"/>
        <w:spacing w:before="0" w:after="0"/>
        <w:ind w:right="142"/>
        <w:rPr>
          <w:rFonts w:ascii="Calibri" w:hAnsi="Calibri" w:eastAsia="Calibri" w:cs="Calibri"/>
          <w:color w:val="000000"/>
          <w:sz w:val="20"/>
          <w:szCs w:val="20"/>
        </w:rPr>
      </w:pPr>
      <w:r>
        <w:rPr>
          <w:rFonts w:eastAsia="Calibri" w:cs="Calibri" w:ascii="Calibri" w:hAnsi="Calibri"/>
          <w:color w:val="000000"/>
          <w:sz w:val="20"/>
          <w:szCs w:val="20"/>
        </w:rPr>
      </w:r>
    </w:p>
    <w:p>
      <w:pPr>
        <w:pStyle w:val="Normal1"/>
        <w:spacing w:before="0" w:after="0"/>
        <w:ind w:left="426" w:right="142"/>
        <w:jc w:val="both"/>
        <w:rPr>
          <w:rFonts w:ascii="Calibri" w:hAnsi="Calibri"/>
          <w:sz w:val="20"/>
          <w:szCs w:val="20"/>
        </w:rPr>
      </w:pPr>
      <w:r>
        <w:rPr>
          <w:rFonts w:eastAsia="Calibri" w:cs="Calibri" w:ascii="Calibri" w:hAnsi="Calibri"/>
          <w:color w:val="000000"/>
          <w:sz w:val="20"/>
          <w:szCs w:val="20"/>
        </w:rPr>
        <w:t xml:space="preserve">A contratação será formalizada por meio de dispensa de licitação, conforme permissivo legal contido no art. 75, II da Lei Federal nº 14.133/21, que permite contratação direta que envolva valores inferiores a R$ 50.000,00 (cinquenta mil reais), no caso de serviços em geral e compras. </w:t>
      </w:r>
    </w:p>
    <w:p>
      <w:pPr>
        <w:pStyle w:val="Normal1"/>
        <w:spacing w:before="0" w:after="0"/>
        <w:ind w:left="426" w:right="142"/>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Normal1"/>
        <w:spacing w:before="0" w:after="0"/>
        <w:ind w:left="426" w:right="142"/>
        <w:jc w:val="both"/>
        <w:rPr>
          <w:rFonts w:ascii="Calibri" w:hAnsi="Calibri"/>
          <w:sz w:val="20"/>
          <w:szCs w:val="20"/>
        </w:rPr>
      </w:pPr>
      <w:r>
        <w:rPr>
          <w:rFonts w:eastAsia="Calibri" w:cs="Calibri" w:ascii="Calibri" w:hAnsi="Calibri"/>
          <w:color w:val="000000"/>
          <w:sz w:val="20"/>
          <w:szCs w:val="20"/>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pPr>
        <w:pStyle w:val="Normal1"/>
        <w:spacing w:before="0" w:after="0"/>
        <w:ind w:left="426" w:right="142"/>
        <w:jc w:val="both"/>
        <w:rPr>
          <w:rFonts w:ascii="Calibri" w:hAnsi="Calibri"/>
          <w:sz w:val="20"/>
          <w:szCs w:val="20"/>
        </w:rPr>
      </w:pPr>
      <w:r>
        <w:rPr>
          <w:rFonts w:ascii="Calibri" w:hAnsi="Calibri"/>
          <w:sz w:val="20"/>
          <w:szCs w:val="20"/>
        </w:rPr>
      </w:r>
    </w:p>
    <w:p>
      <w:pPr>
        <w:pStyle w:val="Normal1"/>
        <w:spacing w:before="0" w:after="0"/>
        <w:ind w:left="426" w:right="142"/>
        <w:jc w:val="both"/>
        <w:rPr>
          <w:rFonts w:ascii="Calibri" w:hAnsi="Calibri"/>
          <w:sz w:val="20"/>
          <w:szCs w:val="20"/>
        </w:rPr>
      </w:pPr>
      <w:r>
        <w:rPr>
          <w:rFonts w:ascii="Calibri" w:hAnsi="Calibri"/>
          <w:sz w:val="20"/>
          <w:szCs w:val="20"/>
        </w:rPr>
      </w:r>
    </w:p>
    <w:p>
      <w:pPr>
        <w:pStyle w:val="Normal1"/>
        <w:spacing w:before="0" w:after="0"/>
        <w:ind w:right="142"/>
        <w:rPr>
          <w:rFonts w:ascii="Calibri" w:hAnsi="Calibri" w:eastAsia="Calibri" w:cs="Calibri"/>
          <w:color w:val="000000"/>
          <w:sz w:val="20"/>
          <w:szCs w:val="20"/>
        </w:rPr>
      </w:pPr>
      <w:r>
        <w:rPr>
          <w:rFonts w:eastAsia="Calibri" w:cs="Calibri" w:ascii="Calibri" w:hAnsi="Calibri"/>
          <w:color w:val="000000"/>
          <w:sz w:val="20"/>
          <w:szCs w:val="20"/>
        </w:rPr>
      </w:r>
    </w:p>
    <w:p>
      <w:pPr>
        <w:pStyle w:val="Normal1"/>
        <w:spacing w:before="0" w:after="0"/>
        <w:ind w:right="142"/>
        <w:rPr>
          <w:rFonts w:ascii="Calibri" w:hAnsi="Calibri" w:eastAsia="Calibri" w:cs="Calibri"/>
          <w:color w:val="000000"/>
          <w:sz w:val="20"/>
          <w:szCs w:val="20"/>
        </w:rPr>
      </w:pPr>
      <w:r>
        <w:rPr>
          <w:rFonts w:eastAsia="Calibri" w:cs="Calibri" w:ascii="Calibri" w:hAnsi="Calibri"/>
          <w:color w:val="000000"/>
          <w:sz w:val="20"/>
          <w:szCs w:val="20"/>
        </w:rPr>
      </w:r>
    </w:p>
    <w:p>
      <w:pPr>
        <w:pStyle w:val="Normal1"/>
        <w:numPr>
          <w:ilvl w:val="1"/>
          <w:numId w:val="1"/>
        </w:numPr>
        <w:spacing w:before="0" w:after="0"/>
        <w:ind w:hanging="426" w:left="426" w:right="142"/>
        <w:rPr>
          <w:rFonts w:ascii="Calibri" w:hAnsi="Calibri"/>
          <w:sz w:val="20"/>
          <w:szCs w:val="20"/>
        </w:rPr>
      </w:pPr>
      <w:r>
        <w:rPr>
          <w:rFonts w:eastAsia="Calibri" w:cs="Calibri" w:ascii="Calibri" w:hAnsi="Calibri"/>
          <w:b/>
          <w:color w:val="000000"/>
          <w:sz w:val="20"/>
          <w:szCs w:val="20"/>
        </w:rPr>
        <w:t xml:space="preserve">DA NECESSIDADE DA CONTRATAÇÃO </w:t>
      </w:r>
    </w:p>
    <w:p>
      <w:pPr>
        <w:pStyle w:val="Normal1"/>
        <w:spacing w:before="0" w:after="0"/>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BodyText"/>
        <w:ind w:hanging="1" w:left="426"/>
        <w:jc w:val="both"/>
        <w:rPr/>
      </w:pPr>
      <w:r>
        <w:rPr>
          <w:rFonts w:eastAsia="Calibri" w:cs="Calibri" w:ascii="Calibri" w:hAnsi="Calibri"/>
          <w:color w:val="000000"/>
          <w:kern w:val="0"/>
          <w:sz w:val="24"/>
          <w:szCs w:val="24"/>
          <w:lang w:val="pt-BR" w:eastAsia="pt-BR" w:bidi="ar-SA"/>
        </w:rPr>
        <w:t xml:space="preserve"> </w:t>
      </w:r>
      <w:r>
        <w:rPr>
          <w:rFonts w:eastAsia="Calibri" w:cs="Calibri" w:ascii="Calibri" w:hAnsi="Calibri"/>
          <w:color w:val="000000"/>
          <w:kern w:val="0"/>
          <w:sz w:val="24"/>
          <w:szCs w:val="24"/>
          <w:lang w:val="pt-BR" w:eastAsia="pt-BR" w:bidi="ar-SA"/>
        </w:rPr>
        <w:t xml:space="preserve">A presente contratação se dará em função da necessidade de aquisição de </w:t>
      </w:r>
      <w:r>
        <w:rPr>
          <w:rFonts w:eastAsia="Calibri" w:cs="Calibri" w:ascii="Calibri" w:hAnsi="Calibri"/>
          <w:color w:val="000000"/>
          <w:kern w:val="0"/>
          <w:sz w:val="24"/>
          <w:szCs w:val="24"/>
          <w:lang w:val="pt-BR" w:eastAsia="pt-BR" w:bidi="ar-SA"/>
        </w:rPr>
        <w:t>pallets</w:t>
      </w:r>
      <w:r>
        <w:rPr>
          <w:rFonts w:eastAsia="Calibri" w:cs="Calibri" w:ascii="Calibri" w:hAnsi="Calibri"/>
          <w:color w:val="000000"/>
          <w:kern w:val="0"/>
          <w:sz w:val="24"/>
          <w:szCs w:val="24"/>
          <w:lang w:val="pt-BR" w:eastAsia="pt-BR" w:bidi="ar-SA"/>
        </w:rPr>
        <w:t xml:space="preserve">, a fim de atender </w:t>
      </w:r>
      <w:r>
        <w:rPr>
          <w:rFonts w:eastAsia="Calibri" w:cs="Calibri" w:ascii="Calibri" w:hAnsi="Calibri"/>
          <w:color w:val="000000"/>
          <w:kern w:val="0"/>
          <w:sz w:val="24"/>
          <w:szCs w:val="24"/>
          <w:lang w:val="pt-BR" w:eastAsia="pt-BR" w:bidi="ar-SA"/>
        </w:rPr>
        <w:t>o almoxarifado da</w:t>
      </w:r>
      <w:r>
        <w:rPr>
          <w:rFonts w:eastAsia="Calibri" w:cs="Calibri" w:ascii="Calibri" w:hAnsi="Calibri"/>
          <w:color w:val="000000"/>
          <w:kern w:val="0"/>
          <w:sz w:val="24"/>
          <w:szCs w:val="24"/>
          <w:lang w:val="pt-BR" w:eastAsia="pt-BR" w:bidi="ar-SA"/>
        </w:rPr>
        <w:t xml:space="preserve"> Autarquia do Distrito Estadual de Fernando de Noronha - ATDEFN, uma vez que a administração </w:t>
      </w:r>
      <w:r>
        <w:rPr>
          <w:rFonts w:eastAsia="Calibri" w:cs="Calibri" w:ascii="Calibri" w:hAnsi="Calibri"/>
          <w:color w:val="000000"/>
          <w:kern w:val="0"/>
          <w:sz w:val="24"/>
          <w:szCs w:val="24"/>
          <w:lang w:val="pt-BR" w:eastAsia="pt-BR" w:bidi="ar-SA"/>
        </w:rPr>
        <w:t xml:space="preserve">estoca </w:t>
      </w:r>
      <w:r>
        <w:rPr>
          <w:rFonts w:eastAsia="Calibri" w:cs="Calibri" w:ascii="Calibri" w:hAnsi="Calibri"/>
          <w:color w:val="000000"/>
          <w:kern w:val="0"/>
          <w:sz w:val="20"/>
          <w:szCs w:val="20"/>
          <w:lang w:val="pt-BR" w:eastAsia="pt-BR" w:bidi="ar-SA"/>
        </w:rPr>
        <w:t>i</w:t>
      </w:r>
      <w:r>
        <w:rPr>
          <w:rFonts w:eastAsia="Calibri" w:cs="Calibri" w:ascii="Calibri" w:hAnsi="Calibri"/>
          <w:color w:val="000000"/>
          <w:kern w:val="0"/>
          <w:sz w:val="24"/>
          <w:szCs w:val="24"/>
          <w:vertAlign w:val="subscript"/>
          <w:lang w:val="pt-BR" w:eastAsia="pt-BR" w:bidi="ar-SA"/>
        </w:rPr>
        <w:t xml:space="preserve">tens diversos como, material de construção, hospitalar, de limpeza e expediente, entre outros, </w:t>
      </w:r>
      <w:r>
        <w:rPr>
          <w:rFonts w:eastAsia="Calibri" w:cs="Calibri" w:ascii="Calibri" w:hAnsi="Calibri"/>
          <w:color w:val="000000"/>
          <w:kern w:val="0"/>
          <w:sz w:val="24"/>
          <w:szCs w:val="24"/>
          <w:vertAlign w:val="subscript"/>
          <w:lang w:val="pt-BR" w:eastAsia="pt-BR" w:bidi="ar-SA"/>
        </w:rPr>
        <w:t>que são enviados para a Ilha</w:t>
      </w:r>
      <w:r>
        <w:rPr>
          <w:rFonts w:eastAsia="Calibri" w:cs="Calibri" w:ascii="Calibri" w:hAnsi="Calibri"/>
          <w:color w:val="000000"/>
          <w:kern w:val="0"/>
          <w:sz w:val="24"/>
          <w:szCs w:val="24"/>
          <w:vertAlign w:val="subscript"/>
          <w:lang w:val="pt-BR" w:eastAsia="pt-BR" w:bidi="ar-SA"/>
        </w:rPr>
        <w:t xml:space="preserve">. </w:t>
      </w:r>
    </w:p>
    <w:p>
      <w:pPr>
        <w:pStyle w:val="BodyText"/>
        <w:widowControl/>
        <w:bidi w:val="0"/>
        <w:spacing w:lineRule="auto" w:line="288" w:before="120" w:after="120"/>
        <w:ind w:hanging="0" w:left="454" w:right="113"/>
        <w:jc w:val="left"/>
        <w:textAlignment w:val="baseline"/>
        <w:rPr>
          <w:rFonts w:ascii="Calibri" w:hAnsi="Calibri" w:eastAsia="Calibri" w:cs="Calibri"/>
          <w:color w:val="000000"/>
          <w:kern w:val="0"/>
          <w:sz w:val="24"/>
          <w:szCs w:val="24"/>
          <w:lang w:val="pt-BR" w:eastAsia="pt-BR" w:bidi="ar-SA"/>
        </w:rPr>
      </w:pPr>
      <w:r>
        <w:rPr>
          <w:rFonts w:eastAsia="Calibri" w:cs="Calibri" w:ascii="Calibri" w:hAnsi="Calibri"/>
          <w:color w:val="000000"/>
          <w:kern w:val="0"/>
          <w:sz w:val="24"/>
          <w:szCs w:val="24"/>
          <w:lang w:val="pt-BR" w:eastAsia="pt-BR" w:bidi="ar-SA"/>
        </w:rPr>
        <w:t>Informe-se, por oportuno, que tal objeto atenderá o dever legal exposto no art. 75, inc II, que determina a dispensa de licitação em casos de contratação que envolva valores inferiores a R$ 50.000,00 (cinquenta mil reais), no caso de outros serviços e compras.</w:t>
      </w:r>
    </w:p>
    <w:p>
      <w:pPr>
        <w:pStyle w:val="Normal1"/>
        <w:ind w:left="426"/>
        <w:jc w:val="both"/>
        <w:rPr>
          <w:rFonts w:ascii="Calibri" w:hAnsi="Calibri" w:eastAsia="Calibri" w:cs="Calibri"/>
          <w:color w:val="000000"/>
          <w:kern w:val="0"/>
          <w:sz w:val="20"/>
          <w:szCs w:val="20"/>
          <w:lang w:val="pt-BR" w:eastAsia="pt-BR" w:bidi="ar-SA"/>
        </w:rPr>
      </w:pPr>
      <w:r>
        <w:rPr>
          <w:rFonts w:eastAsia="Calibri" w:cs="Calibri" w:ascii="Calibri" w:hAnsi="Calibri"/>
          <w:color w:val="000000"/>
          <w:kern w:val="0"/>
          <w:sz w:val="20"/>
          <w:szCs w:val="20"/>
          <w:lang w:val="pt-BR" w:eastAsia="pt-BR" w:bidi="ar-SA"/>
        </w:rPr>
      </w:r>
    </w:p>
    <w:p>
      <w:pPr>
        <w:pStyle w:val="Normal1"/>
        <w:numPr>
          <w:ilvl w:val="1"/>
          <w:numId w:val="8"/>
        </w:numPr>
        <w:spacing w:lineRule="auto" w:line="240" w:before="0" w:after="0"/>
        <w:ind w:hanging="426" w:left="426" w:right="142"/>
        <w:jc w:val="both"/>
        <w:rPr>
          <w:rFonts w:ascii="Calibri" w:hAnsi="Calibri"/>
          <w:sz w:val="20"/>
          <w:szCs w:val="20"/>
        </w:rPr>
      </w:pPr>
      <w:r>
        <w:rPr>
          <w:rFonts w:eastAsia="Calibri" w:cs="Calibri" w:ascii="Calibri" w:hAnsi="Calibri"/>
          <w:b/>
          <w:color w:val="000000"/>
          <w:sz w:val="20"/>
          <w:szCs w:val="20"/>
        </w:rPr>
        <w:t>DO QUANTITATIVO ESTIMADO</w:t>
      </w:r>
    </w:p>
    <w:p>
      <w:pPr>
        <w:pStyle w:val="Normal1"/>
        <w:widowControl/>
        <w:suppressAutoHyphens w:val="true"/>
        <w:bidi w:val="0"/>
        <w:spacing w:lineRule="auto" w:line="276" w:before="0" w:after="200"/>
        <w:ind w:hanging="0" w:left="0" w:right="113"/>
        <w:jc w:val="left"/>
        <w:rPr>
          <w:rFonts w:ascii="Calibri" w:hAnsi="Calibri" w:eastAsia="Calibri" w:cs="Calibri"/>
          <w:sz w:val="20"/>
          <w:szCs w:val="20"/>
        </w:rPr>
      </w:pPr>
      <w:r>
        <w:rPr>
          <w:rFonts w:eastAsia="Calibri" w:cs="Calibri" w:ascii="Calibri" w:hAnsi="Calibri"/>
          <w:sz w:val="20"/>
          <w:szCs w:val="20"/>
        </w:rPr>
      </w:r>
    </w:p>
    <w:p>
      <w:pPr>
        <w:pStyle w:val="Normal1"/>
        <w:spacing w:before="0" w:after="0"/>
        <w:ind w:left="426"/>
        <w:jc w:val="both"/>
        <w:rPr>
          <w:highlight w:val="none"/>
          <w:shd w:fill="auto" w:val="clear"/>
        </w:rPr>
      </w:pPr>
      <w:r>
        <w:rPr>
          <w:rFonts w:eastAsia="Calibri" w:cs="Calibri" w:ascii="Calibri" w:hAnsi="Calibri"/>
          <w:color w:val="000000"/>
          <w:sz w:val="20"/>
          <w:szCs w:val="20"/>
          <w:shd w:fill="auto" w:val="clear"/>
        </w:rPr>
        <w:t xml:space="preserve">Os quantitativos previstos no presente Termo de Referência foram definidos no documento anexado ao processo, fundamentado na necessidade de </w:t>
      </w:r>
      <w:r>
        <w:rPr>
          <w:rFonts w:eastAsia="Calibri" w:cs="Calibri" w:ascii="Calibri" w:hAnsi="Calibri"/>
          <w:color w:val="000000"/>
          <w:kern w:val="0"/>
          <w:sz w:val="20"/>
          <w:szCs w:val="20"/>
          <w:shd w:fill="auto" w:val="clear"/>
          <w:lang w:val="pt-BR" w:eastAsia="pt-BR" w:bidi="ar-SA"/>
        </w:rPr>
        <w:t xml:space="preserve">enviar itens diversos como, merenda escolar, material de construção, hospitalar, de limpeza e expediente, entre outros, que precisam ser empacotados e armazenados de forma correta. </w:t>
      </w:r>
    </w:p>
    <w:p>
      <w:pPr>
        <w:pStyle w:val="Normal1"/>
        <w:spacing w:before="0" w:after="0"/>
        <w:jc w:val="both"/>
        <w:rPr>
          <w:rFonts w:ascii="Calibri" w:hAnsi="Calibri" w:eastAsia="Calibri" w:cs="Calibri"/>
          <w:color w:val="000000"/>
          <w:kern w:val="0"/>
          <w:sz w:val="20"/>
          <w:szCs w:val="20"/>
          <w:highlight w:val="none"/>
          <w:shd w:fill="auto" w:val="clear"/>
          <w:lang w:val="pt-BR" w:eastAsia="pt-BR" w:bidi="ar-SA"/>
        </w:rPr>
      </w:pPr>
      <w:r>
        <w:rPr>
          <w:rFonts w:eastAsia="Calibri" w:cs="Calibri" w:ascii="Calibri" w:hAnsi="Calibri"/>
          <w:color w:val="000000"/>
          <w:kern w:val="0"/>
          <w:sz w:val="20"/>
          <w:szCs w:val="20"/>
          <w:shd w:fill="auto" w:val="clear"/>
          <w:lang w:val="pt-BR" w:eastAsia="pt-BR" w:bidi="ar-SA"/>
        </w:rPr>
        <w:t xml:space="preserve"> </w:t>
      </w:r>
    </w:p>
    <w:p>
      <w:pPr>
        <w:pStyle w:val="Normal1"/>
        <w:numPr>
          <w:ilvl w:val="0"/>
          <w:numId w:val="1"/>
        </w:numPr>
        <w:spacing w:before="240" w:after="0"/>
        <w:ind w:hanging="360" w:left="360" w:right="142"/>
        <w:jc w:val="both"/>
        <w:rPr>
          <w:highlight w:val="none"/>
          <w:shd w:fill="auto" w:val="clear"/>
        </w:rPr>
      </w:pPr>
      <w:r>
        <w:rPr>
          <w:rFonts w:eastAsia="Calibri" w:cs="Calibri" w:ascii="Calibri" w:hAnsi="Calibri"/>
          <w:color w:val="000000"/>
          <w:kern w:val="0"/>
          <w:sz w:val="20"/>
          <w:szCs w:val="20"/>
          <w:shd w:fill="auto" w:val="clear"/>
          <w:lang w:val="pt-BR" w:eastAsia="pt-BR" w:bidi="ar-SA"/>
        </w:rPr>
        <w:t>DAS ESPECIFICAÇÕES DO OBJETO</w:t>
      </w:r>
    </w:p>
    <w:p>
      <w:pPr>
        <w:pStyle w:val="BodyText"/>
        <w:ind w:hanging="1" w:left="0" w:right="0"/>
        <w:jc w:val="both"/>
        <w:rPr>
          <w:rFonts w:ascii="Calibri" w:hAnsi="Calibri" w:eastAsia="Calibri" w:cs="Calibri"/>
          <w:color w:val="FF0000"/>
          <w:sz w:val="20"/>
          <w:szCs w:val="20"/>
          <w:highlight w:val="none"/>
          <w:shd w:fill="auto" w:val="clear"/>
        </w:rPr>
      </w:pPr>
      <w:r>
        <w:rPr>
          <w:rFonts w:eastAsia="Calibri" w:cs="Calibri" w:ascii="Calibri" w:hAnsi="Calibri"/>
          <w:color w:val="FF0000"/>
          <w:sz w:val="20"/>
          <w:szCs w:val="20"/>
          <w:shd w:fill="auto" w:val="clear"/>
        </w:rPr>
      </w:r>
    </w:p>
    <w:p>
      <w:pPr>
        <w:pStyle w:val="PargrafodaLista1"/>
        <w:widowControl/>
        <w:numPr>
          <w:ilvl w:val="0"/>
          <w:numId w:val="0"/>
        </w:numPr>
        <w:suppressAutoHyphens w:val="true"/>
        <w:bidi w:val="0"/>
        <w:spacing w:before="0" w:after="0"/>
        <w:ind w:hanging="0" w:left="454" w:right="0"/>
        <w:contextualSpacing/>
        <w:jc w:val="both"/>
        <w:outlineLvl w:val="1"/>
        <w:rPr>
          <w:highlight w:val="none"/>
          <w:shd w:fill="auto" w:val="clear"/>
        </w:rPr>
      </w:pPr>
      <w:r>
        <w:rPr>
          <w:rFonts w:eastAsia="Calibri" w:cs="Calibri" w:ascii="Calibri" w:hAnsi="Calibri"/>
          <w:color w:val="000000"/>
          <w:sz w:val="20"/>
          <w:szCs w:val="20"/>
          <w:shd w:fill="auto" w:val="clear"/>
        </w:rPr>
        <w:t xml:space="preserve">Este TR tem como finalidade a contratação de empresa especializada para fornecimento de </w:t>
      </w:r>
      <w:r>
        <w:rPr>
          <w:rFonts w:eastAsia="Calibri" w:cs="Calibri" w:ascii="Calibri" w:hAnsi="Calibri"/>
          <w:color w:val="000000"/>
          <w:sz w:val="20"/>
          <w:szCs w:val="20"/>
          <w:shd w:fill="auto" w:val="clear"/>
        </w:rPr>
        <w:t>pallets</w:t>
      </w:r>
      <w:r>
        <w:rPr>
          <w:rFonts w:eastAsia="Calibri" w:cs="Calibri" w:ascii="Calibri" w:hAnsi="Calibri"/>
          <w:color w:val="000000"/>
          <w:sz w:val="20"/>
          <w:szCs w:val="20"/>
          <w:shd w:fill="auto" w:val="clear"/>
        </w:rPr>
        <w:t xml:space="preserve"> para atender o almoxarifado da Autarquia Territorial Distrito de Fernando de Noronha, através da modalidade menor preço por item conforme especificações detalhadas neste Termo de Referência.</w:t>
      </w:r>
    </w:p>
    <w:p>
      <w:pPr>
        <w:pStyle w:val="Normal12"/>
        <w:widowControl/>
        <w:bidi w:val="0"/>
        <w:spacing w:lineRule="auto" w:line="276" w:before="240" w:after="0"/>
        <w:ind w:hanging="0" w:left="0" w:right="113"/>
        <w:jc w:val="both"/>
        <w:rPr/>
      </w:pPr>
      <w:r>
        <w:rPr>
          <w:rStyle w:val="Strong"/>
          <w:rFonts w:ascii="Calibri" w:hAnsi="Calibri"/>
          <w:sz w:val="20"/>
          <w:szCs w:val="20"/>
        </w:rPr>
        <w:t>3.1. DESCRIÇÃO DO FORNECIMENTO/ DETALHAMENTO DO OBJETO</w:t>
      </w:r>
      <w:r>
        <w:rPr>
          <w:rFonts w:ascii="Calibri" w:hAnsi="Calibri"/>
          <w:sz w:val="20"/>
          <w:szCs w:val="20"/>
        </w:rPr>
        <w:t xml:space="preserve"> </w:t>
      </w:r>
    </w:p>
    <w:p>
      <w:pPr>
        <w:pStyle w:val="Normal12"/>
        <w:widowControl/>
        <w:bidi w:val="0"/>
        <w:spacing w:lineRule="auto" w:line="276" w:before="240" w:after="0"/>
        <w:ind w:hanging="0" w:left="397" w:right="113"/>
        <w:jc w:val="both"/>
        <w:rPr>
          <w:rFonts w:ascii="Calibri" w:hAnsi="Calibri"/>
          <w:sz w:val="20"/>
          <w:szCs w:val="20"/>
        </w:rPr>
      </w:pPr>
      <w:r>
        <w:rPr>
          <w:rFonts w:ascii="Calibri" w:hAnsi="Calibri"/>
          <w:sz w:val="20"/>
          <w:szCs w:val="20"/>
        </w:rPr>
        <w:t xml:space="preserve">O licitante deve levar em consideração as normas técnicas eventualmente existentes sobre o objeto e demais requisitos mínimos de qualidade, utilidade, resistência e segurança, conforme legislação vigente: NBR/IEC 62676. </w:t>
      </w:r>
    </w:p>
    <w:p>
      <w:pPr>
        <w:pStyle w:val="Normal12"/>
        <w:widowControl/>
        <w:numPr>
          <w:ilvl w:val="0"/>
          <w:numId w:val="0"/>
        </w:numPr>
        <w:bidi w:val="0"/>
        <w:spacing w:lineRule="auto" w:line="276" w:before="240" w:after="0"/>
        <w:ind w:hanging="0" w:left="340" w:right="113"/>
        <w:jc w:val="both"/>
        <w:rPr>
          <w:rFonts w:ascii="Calibri" w:hAnsi="Calibri"/>
          <w:sz w:val="20"/>
          <w:szCs w:val="20"/>
        </w:rPr>
      </w:pPr>
      <w:r>
        <w:rPr>
          <w:rFonts w:ascii="Calibri" w:hAnsi="Calibri"/>
          <w:sz w:val="20"/>
          <w:szCs w:val="20"/>
        </w:rPr>
      </w:r>
    </w:p>
    <w:p>
      <w:pPr>
        <w:pStyle w:val="Normal1"/>
        <w:numPr>
          <w:ilvl w:val="0"/>
          <w:numId w:val="5"/>
        </w:numPr>
        <w:spacing w:lineRule="auto" w:line="240" w:before="0" w:after="0"/>
        <w:ind w:hanging="426" w:left="426" w:right="142"/>
        <w:jc w:val="both"/>
        <w:rPr>
          <w:rFonts w:ascii="Calibri" w:hAnsi="Calibri"/>
          <w:sz w:val="20"/>
          <w:szCs w:val="20"/>
        </w:rPr>
      </w:pPr>
      <w:r>
        <w:rPr>
          <w:rFonts w:eastAsia="Calibri" w:cs="Calibri" w:ascii="Calibri" w:hAnsi="Calibri"/>
          <w:b/>
          <w:color w:val="000000"/>
          <w:sz w:val="20"/>
          <w:szCs w:val="20"/>
        </w:rPr>
        <w:t>DA</w:t>
      </w:r>
      <w:r>
        <w:rPr>
          <w:rFonts w:eastAsia="Calibri" w:cs="Calibri" w:ascii="Calibri" w:hAnsi="Calibri"/>
          <w:b/>
          <w:i/>
          <w:color w:val="000000"/>
          <w:sz w:val="20"/>
          <w:szCs w:val="20"/>
        </w:rPr>
        <w:t xml:space="preserve"> </w:t>
      </w:r>
      <w:r>
        <w:rPr>
          <w:rFonts w:eastAsia="Calibri" w:cs="Calibri" w:ascii="Calibri" w:hAnsi="Calibri"/>
          <w:b/>
          <w:color w:val="000000"/>
          <w:sz w:val="20"/>
          <w:szCs w:val="20"/>
        </w:rPr>
        <w:t xml:space="preserve">CLASSIFICAÇÃO ORÇAMENTÁRIA DA DESPESA E DO BENEFÍCIO PREVISTO NA LEI COMPLEMENTAR </w:t>
      </w:r>
      <w:r>
        <w:rPr>
          <w:rFonts w:eastAsia="Calibri" w:cs="Calibri" w:ascii="Calibri" w:hAnsi="Calibri"/>
          <w:b/>
          <w:sz w:val="20"/>
          <w:szCs w:val="20"/>
        </w:rPr>
        <w:t xml:space="preserve">Nº </w:t>
      </w:r>
      <w:r>
        <w:rPr>
          <w:rFonts w:eastAsia="Calibri" w:cs="Calibri" w:ascii="Calibri" w:hAnsi="Calibri"/>
          <w:b/>
          <w:color w:val="000000"/>
          <w:sz w:val="20"/>
          <w:szCs w:val="20"/>
        </w:rPr>
        <w:t>123/2006</w:t>
      </w:r>
    </w:p>
    <w:p>
      <w:pPr>
        <w:pStyle w:val="Normal1"/>
        <w:keepNext w:val="true"/>
        <w:keepLines/>
        <w:spacing w:before="0" w:after="0"/>
        <w:ind w:right="142"/>
        <w:jc w:val="both"/>
        <w:rPr>
          <w:rFonts w:ascii="Calibri" w:hAnsi="Calibri" w:eastAsia="Calibri" w:cs="Calibri"/>
          <w:color w:val="000000"/>
          <w:sz w:val="20"/>
          <w:szCs w:val="20"/>
          <w:highlight w:val="none"/>
          <w:shd w:fill="FFFF00" w:val="clear"/>
        </w:rPr>
      </w:pPr>
      <w:r>
        <w:rPr>
          <w:rFonts w:eastAsia="Calibri" w:cs="Calibri" w:ascii="Calibri" w:hAnsi="Calibri"/>
          <w:color w:val="000000"/>
          <w:sz w:val="20"/>
          <w:szCs w:val="20"/>
          <w:shd w:fill="FFFF00" w:val="clear"/>
        </w:rPr>
      </w:r>
    </w:p>
    <w:p>
      <w:pPr>
        <w:pStyle w:val="Normal1"/>
        <w:keepNext w:val="true"/>
        <w:keepLines/>
        <w:spacing w:before="0" w:after="0"/>
        <w:ind w:right="142"/>
        <w:jc w:val="both"/>
        <w:rPr>
          <w:rFonts w:ascii="Calibri" w:hAnsi="Calibri" w:eastAsia="Calibri" w:cs="Calibri"/>
          <w:color w:val="000000"/>
          <w:sz w:val="20"/>
          <w:szCs w:val="20"/>
          <w:highlight w:val="none"/>
          <w:shd w:fill="FFFF00" w:val="clear"/>
        </w:rPr>
      </w:pPr>
      <w:r>
        <w:rPr>
          <w:rFonts w:eastAsia="Calibri" w:cs="Calibri" w:ascii="Calibri" w:hAnsi="Calibri"/>
          <w:color w:val="000000"/>
          <w:sz w:val="20"/>
          <w:szCs w:val="20"/>
          <w:shd w:fill="FFFF00" w:val="clear"/>
        </w:rPr>
      </w:r>
    </w:p>
    <w:p>
      <w:pPr>
        <w:pStyle w:val="Normal1"/>
        <w:numPr>
          <w:ilvl w:val="1"/>
          <w:numId w:val="5"/>
        </w:numPr>
        <w:spacing w:lineRule="auto" w:line="240" w:before="0" w:after="0"/>
        <w:ind w:hanging="426" w:left="426" w:right="-285"/>
        <w:jc w:val="both"/>
        <w:rPr>
          <w:rFonts w:ascii="Calibri" w:hAnsi="Calibri"/>
          <w:sz w:val="20"/>
          <w:szCs w:val="20"/>
          <w:highlight w:val="none"/>
          <w:shd w:fill="FFFF00" w:val="clear"/>
        </w:rPr>
      </w:pPr>
      <w:r>
        <w:rPr>
          <w:rFonts w:eastAsia="Calibri" w:cs="Calibri" w:ascii="Calibri" w:hAnsi="Calibri"/>
          <w:b/>
          <w:color w:val="000000"/>
          <w:sz w:val="20"/>
          <w:szCs w:val="20"/>
          <w:shd w:fill="FFFF00" w:val="clear"/>
        </w:rPr>
        <w:t>CLASSIFICAÇÃO ORÇAMENTÁRIA DA DESPESA</w:t>
      </w:r>
    </w:p>
    <w:p>
      <w:pPr>
        <w:pStyle w:val="Normal1"/>
        <w:numPr>
          <w:ilvl w:val="2"/>
          <w:numId w:val="5"/>
        </w:numPr>
        <w:spacing w:before="240" w:after="240"/>
        <w:ind w:hanging="709" w:left="709" w:right="142"/>
        <w:jc w:val="both"/>
        <w:rPr>
          <w:rFonts w:ascii="Calibri" w:hAnsi="Calibri"/>
          <w:sz w:val="20"/>
          <w:szCs w:val="20"/>
          <w:highlight w:val="none"/>
          <w:shd w:fill="FFFF00" w:val="clear"/>
        </w:rPr>
      </w:pPr>
      <w:r>
        <w:rPr>
          <w:rFonts w:eastAsia="Calibri" w:cs="Calibri" w:ascii="Calibri" w:hAnsi="Calibri"/>
          <w:color w:val="000000"/>
          <w:sz w:val="20"/>
          <w:szCs w:val="20"/>
          <w:shd w:fill="FFFF00" w:val="clear"/>
        </w:rPr>
        <w:t xml:space="preserve">As despesas decorrentes desta contratação estão programadas em dotação orçamentária própria, prevista no orçamento do Estado de Pernambuco, para o exercício de </w:t>
      </w:r>
      <w:r>
        <w:rPr>
          <w:rFonts w:eastAsia="Calibri" w:cs="Calibri" w:ascii="Calibri" w:hAnsi="Calibri"/>
          <w:color w:val="0070C0"/>
          <w:sz w:val="20"/>
          <w:szCs w:val="20"/>
          <w:shd w:fill="FFFF00" w:val="clear"/>
        </w:rPr>
        <w:t>________</w:t>
      </w:r>
      <w:r>
        <w:rPr>
          <w:rFonts w:eastAsia="Calibri" w:cs="Calibri" w:ascii="Calibri" w:hAnsi="Calibri"/>
          <w:color w:val="000000"/>
          <w:sz w:val="20"/>
          <w:szCs w:val="20"/>
          <w:shd w:fill="FFFF00" w:val="clear"/>
        </w:rPr>
        <w:t>, na classificação abaixo:</w:t>
      </w:r>
    </w:p>
    <w:p>
      <w:pPr>
        <w:pStyle w:val="Style41"/>
        <w:spacing w:before="240" w:after="240"/>
        <w:ind w:hanging="2" w:left="708"/>
        <w:jc w:val="both"/>
        <w:rPr>
          <w:rFonts w:ascii="Calibri" w:hAnsi="Calibri"/>
          <w:sz w:val="20"/>
          <w:szCs w:val="20"/>
          <w:highlight w:val="none"/>
          <w:shd w:fill="FFFF00" w:val="clear"/>
        </w:rPr>
      </w:pPr>
      <w:r>
        <w:rPr>
          <w:rFonts w:cs="Calibri" w:ascii="Calibri" w:hAnsi="Calibri"/>
          <w:color w:val="000000"/>
          <w:sz w:val="20"/>
          <w:szCs w:val="20"/>
          <w:shd w:fill="FFFF00" w:val="clear"/>
        </w:rPr>
        <w:t>Fonte:</w:t>
      </w:r>
      <w:r>
        <w:rPr>
          <w:rFonts w:cs="Calibri" w:ascii="Calibri" w:hAnsi="Calibri"/>
          <w:bCs/>
          <w:color w:val="0070C0"/>
          <w:sz w:val="20"/>
          <w:szCs w:val="20"/>
          <w:shd w:fill="FFFF00" w:val="clear"/>
        </w:rPr>
        <w:t>_____________</w:t>
      </w:r>
      <w:r>
        <w:rPr>
          <w:rFonts w:cs="Calibri" w:ascii="Calibri" w:hAnsi="Calibri"/>
          <w:color w:val="0070C0"/>
          <w:sz w:val="20"/>
          <w:szCs w:val="20"/>
          <w:shd w:fill="FFFF00" w:val="clear"/>
        </w:rPr>
        <w:t>;</w:t>
      </w:r>
    </w:p>
    <w:p>
      <w:pPr>
        <w:pStyle w:val="Style41"/>
        <w:spacing w:before="240" w:after="240"/>
        <w:ind w:hanging="2" w:left="708"/>
        <w:jc w:val="both"/>
        <w:rPr>
          <w:rFonts w:ascii="Calibri" w:hAnsi="Calibri"/>
          <w:sz w:val="20"/>
          <w:szCs w:val="20"/>
          <w:highlight w:val="none"/>
          <w:shd w:fill="FFFF00" w:val="clear"/>
        </w:rPr>
      </w:pPr>
      <w:r>
        <w:rPr>
          <w:rFonts w:cs="Calibri" w:ascii="Calibri" w:hAnsi="Calibri"/>
          <w:color w:val="000000"/>
          <w:sz w:val="20"/>
          <w:szCs w:val="20"/>
          <w:shd w:fill="FFFF00" w:val="clear"/>
        </w:rPr>
        <w:t>Unidade Orçamentária:</w:t>
      </w:r>
      <w:r>
        <w:rPr>
          <w:rFonts w:cs="Calibri" w:ascii="Calibri" w:hAnsi="Calibri"/>
          <w:bCs/>
          <w:color w:val="0070C0"/>
          <w:sz w:val="20"/>
          <w:szCs w:val="20"/>
          <w:shd w:fill="FFFF00" w:val="clear"/>
        </w:rPr>
        <w:t>_______</w:t>
      </w:r>
      <w:r>
        <w:rPr>
          <w:rFonts w:cs="Calibri" w:ascii="Calibri" w:hAnsi="Calibri"/>
          <w:color w:val="0070C0"/>
          <w:sz w:val="20"/>
          <w:szCs w:val="20"/>
          <w:shd w:fill="FFFF00" w:val="clear"/>
        </w:rPr>
        <w:t>;</w:t>
      </w:r>
    </w:p>
    <w:p>
      <w:pPr>
        <w:pStyle w:val="Style41"/>
        <w:spacing w:before="240" w:after="240"/>
        <w:ind w:hanging="2" w:left="708"/>
        <w:jc w:val="both"/>
        <w:rPr>
          <w:rFonts w:ascii="Calibri" w:hAnsi="Calibri"/>
          <w:sz w:val="20"/>
          <w:szCs w:val="20"/>
          <w:highlight w:val="none"/>
          <w:shd w:fill="FFFF00" w:val="clear"/>
        </w:rPr>
      </w:pPr>
      <w:r>
        <w:rPr>
          <w:rFonts w:cs="Calibri" w:ascii="Calibri" w:hAnsi="Calibri"/>
          <w:color w:val="000000"/>
          <w:sz w:val="20"/>
          <w:szCs w:val="20"/>
          <w:shd w:fill="FFFF00" w:val="clear"/>
        </w:rPr>
        <w:t>Elemento de Despesa:</w:t>
      </w:r>
      <w:r>
        <w:rPr>
          <w:rFonts w:cs="Calibri" w:ascii="Calibri" w:hAnsi="Calibri"/>
          <w:bCs/>
          <w:color w:val="0070C0"/>
          <w:sz w:val="20"/>
          <w:szCs w:val="20"/>
          <w:shd w:fill="FFFF00" w:val="clear"/>
        </w:rPr>
        <w:t>______________</w:t>
      </w:r>
      <w:r>
        <w:rPr>
          <w:rFonts w:cs="Calibri" w:ascii="Calibri" w:hAnsi="Calibri"/>
          <w:color w:val="0070C0"/>
          <w:sz w:val="20"/>
          <w:szCs w:val="20"/>
          <w:shd w:fill="FFFF00" w:val="clear"/>
        </w:rPr>
        <w:t>;</w:t>
      </w:r>
    </w:p>
    <w:p>
      <w:pPr>
        <w:pStyle w:val="Style41"/>
        <w:spacing w:before="240" w:after="240"/>
        <w:ind w:hanging="2" w:left="708"/>
        <w:jc w:val="both"/>
        <w:rPr>
          <w:rFonts w:ascii="Calibri" w:hAnsi="Calibri"/>
          <w:sz w:val="20"/>
          <w:szCs w:val="20"/>
          <w:highlight w:val="none"/>
          <w:shd w:fill="FFFF00" w:val="clear"/>
        </w:rPr>
      </w:pPr>
      <w:r>
        <w:rPr>
          <w:rFonts w:cs="Calibri" w:ascii="Calibri" w:hAnsi="Calibri"/>
          <w:color w:val="000000"/>
          <w:sz w:val="20"/>
          <w:szCs w:val="20"/>
          <w:shd w:fill="FFFF00" w:val="clear"/>
        </w:rPr>
        <w:t>Atividade (Programa de Trabalho):</w:t>
      </w:r>
      <w:r>
        <w:rPr>
          <w:rFonts w:cs="Calibri" w:ascii="Calibri" w:hAnsi="Calibri"/>
          <w:color w:val="FF0000"/>
          <w:sz w:val="20"/>
          <w:szCs w:val="20"/>
          <w:shd w:fill="FFFF00" w:val="clear"/>
        </w:rPr>
        <w:t xml:space="preserve"> </w:t>
      </w:r>
      <w:r>
        <w:rPr>
          <w:rFonts w:cs="Calibri" w:ascii="Calibri" w:hAnsi="Calibri"/>
          <w:bCs/>
          <w:color w:val="0070C0"/>
          <w:sz w:val="20"/>
          <w:szCs w:val="20"/>
          <w:shd w:fill="FFFF00" w:val="clear"/>
        </w:rPr>
        <w:t>______________</w:t>
      </w:r>
      <w:r>
        <w:rPr>
          <w:rFonts w:cs="Calibri" w:ascii="Calibri" w:hAnsi="Calibri"/>
          <w:color w:val="0070C0"/>
          <w:sz w:val="20"/>
          <w:szCs w:val="20"/>
          <w:shd w:fill="FFFF00" w:val="clear"/>
        </w:rPr>
        <w:t>.</w:t>
      </w:r>
    </w:p>
    <w:p>
      <w:pPr>
        <w:pStyle w:val="Normal1"/>
        <w:numPr>
          <w:ilvl w:val="2"/>
          <w:numId w:val="5"/>
        </w:numPr>
        <w:spacing w:before="240" w:after="240"/>
        <w:ind w:hanging="709" w:left="709" w:right="142"/>
        <w:jc w:val="both"/>
        <w:rPr>
          <w:highlight w:val="none"/>
          <w:shd w:fill="auto" w:val="clear"/>
        </w:rPr>
      </w:pPr>
      <w:r>
        <w:rPr>
          <w:rFonts w:eastAsia="Calibri" w:cs="Calibri" w:ascii="Calibri" w:hAnsi="Calibri"/>
          <w:sz w:val="20"/>
          <w:szCs w:val="20"/>
          <w:shd w:fill="auto" w:val="clear"/>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pPr>
        <w:pStyle w:val="Normal1"/>
        <w:spacing w:lineRule="auto" w:line="240" w:before="0" w:after="0"/>
        <w:ind w:right="-285"/>
        <w:rPr>
          <w:rFonts w:ascii="Calibri" w:hAnsi="Calibri" w:eastAsia="Calibri" w:cs="Calibri"/>
          <w:color w:val="0070C0"/>
          <w:sz w:val="20"/>
          <w:szCs w:val="20"/>
          <w:highlight w:val="none"/>
          <w:shd w:fill="FFFF00" w:val="clear"/>
        </w:rPr>
      </w:pPr>
      <w:r>
        <w:rPr>
          <w:rFonts w:eastAsia="Calibri" w:cs="Calibri" w:ascii="Calibri" w:hAnsi="Calibri"/>
          <w:color w:val="0070C0"/>
          <w:sz w:val="20"/>
          <w:szCs w:val="20"/>
          <w:shd w:fill="FFFF00" w:val="clear"/>
        </w:rPr>
      </w:r>
    </w:p>
    <w:p>
      <w:pPr>
        <w:pStyle w:val="Normal1"/>
        <w:numPr>
          <w:ilvl w:val="1"/>
          <w:numId w:val="5"/>
        </w:numPr>
        <w:spacing w:lineRule="auto" w:line="240" w:before="0" w:after="0"/>
        <w:ind w:hanging="426" w:left="426" w:right="142"/>
        <w:jc w:val="both"/>
        <w:rPr>
          <w:rFonts w:ascii="Calibri" w:hAnsi="Calibri"/>
          <w:sz w:val="20"/>
          <w:szCs w:val="20"/>
        </w:rPr>
      </w:pPr>
      <w:r>
        <w:rPr>
          <w:rFonts w:eastAsia="Calibri" w:cs="Calibri" w:ascii="Calibri" w:hAnsi="Calibri"/>
          <w:b/>
          <w:sz w:val="20"/>
          <w:szCs w:val="20"/>
        </w:rPr>
        <w:t xml:space="preserve"> </w:t>
      </w:r>
      <w:r>
        <w:rPr>
          <w:rFonts w:eastAsia="Calibri" w:cs="Calibri" w:ascii="Calibri" w:hAnsi="Calibri"/>
          <w:b/>
          <w:color w:val="000000"/>
          <w:sz w:val="20"/>
          <w:szCs w:val="20"/>
        </w:rPr>
        <w:t xml:space="preserve">JUSTIFICATIVA PARA APLICAÇÃO OU NÃO DO BENEFÍCIO PREVISTO NA LEI COMPLEMENTAR Nº 123/2006 </w:t>
      </w:r>
    </w:p>
    <w:p>
      <w:pPr>
        <w:pStyle w:val="Normal1"/>
        <w:spacing w:lineRule="auto" w:line="240" w:before="0" w:after="0"/>
        <w:ind w:right="142"/>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Normal"/>
        <w:ind w:left="426"/>
        <w:jc w:val="both"/>
        <w:rPr>
          <w:rFonts w:ascii="Calibri" w:hAnsi="Calibri"/>
          <w:sz w:val="20"/>
          <w:szCs w:val="20"/>
        </w:rPr>
      </w:pPr>
      <w:r>
        <w:rPr>
          <w:rFonts w:eastAsia="Calibri" w:cs="Calibri" w:ascii="Calibri" w:hAnsi="Calibri"/>
          <w:color w:val="000000"/>
          <w:sz w:val="20"/>
          <w:szCs w:val="20"/>
        </w:rPr>
        <w:t>De acordo com o que preceitua o art. 49, inciso IV, da Lei Complementar nº 123/2006, as contratações com base no art. 75, inc. II da Lei nº 14.133/21 deverão ser realizadas preferencialmente com microempresas e empresas de pequeno porte (EM/EPP).</w:t>
      </w:r>
    </w:p>
    <w:p>
      <w:pPr>
        <w:pStyle w:val="Normal"/>
        <w:ind w:left="426"/>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Normal"/>
        <w:ind w:left="426"/>
        <w:jc w:val="both"/>
        <w:rPr>
          <w:rFonts w:ascii="Calibri" w:hAnsi="Calibri" w:eastAsia="Calibri" w:cs="Calibri"/>
          <w:color w:val="FF0000"/>
          <w:sz w:val="20"/>
          <w:szCs w:val="20"/>
        </w:rPr>
      </w:pPr>
      <w:r>
        <w:rPr>
          <w:rFonts w:eastAsia="Calibri" w:cs="Calibri" w:ascii="Calibri" w:hAnsi="Calibri"/>
          <w:color w:val="FF0000"/>
          <w:sz w:val="20"/>
          <w:szCs w:val="20"/>
        </w:rPr>
      </w:r>
    </w:p>
    <w:p>
      <w:pPr>
        <w:pStyle w:val="Normal1"/>
        <w:numPr>
          <w:ilvl w:val="0"/>
          <w:numId w:val="5"/>
        </w:numPr>
        <w:spacing w:lineRule="auto" w:line="240" w:before="0" w:after="0"/>
        <w:ind w:hanging="426" w:left="426" w:right="142"/>
        <w:jc w:val="both"/>
        <w:rPr>
          <w:rFonts w:ascii="Calibri" w:hAnsi="Calibri"/>
          <w:sz w:val="20"/>
          <w:szCs w:val="20"/>
        </w:rPr>
      </w:pPr>
      <w:r>
        <w:rPr>
          <w:rFonts w:eastAsia="Calibri" w:cs="Calibri" w:ascii="Calibri" w:hAnsi="Calibri"/>
          <w:b/>
          <w:color w:val="000000"/>
          <w:sz w:val="20"/>
          <w:szCs w:val="20"/>
        </w:rPr>
        <w:t>PROPOSTA</w:t>
      </w:r>
    </w:p>
    <w:p>
      <w:pPr>
        <w:pStyle w:val="Normal1"/>
        <w:spacing w:lineRule="auto" w:line="240" w:before="0" w:after="0"/>
        <w:ind w:right="142"/>
        <w:jc w:val="both"/>
        <w:rPr>
          <w:rFonts w:ascii="Calibri" w:hAnsi="Calibri" w:eastAsia="Calibri" w:cs="Calibri"/>
          <w:sz w:val="20"/>
          <w:szCs w:val="20"/>
        </w:rPr>
      </w:pPr>
      <w:r>
        <w:rPr>
          <w:rFonts w:eastAsia="Calibri" w:cs="Calibri" w:ascii="Calibri" w:hAnsi="Calibri"/>
          <w:sz w:val="20"/>
          <w:szCs w:val="20"/>
        </w:rPr>
      </w:r>
    </w:p>
    <w:p>
      <w:pPr>
        <w:pStyle w:val="Normal1"/>
        <w:numPr>
          <w:ilvl w:val="1"/>
          <w:numId w:val="9"/>
        </w:numPr>
        <w:spacing w:lineRule="auto" w:line="240" w:before="0" w:after="0"/>
        <w:ind w:hanging="426" w:left="426" w:right="142"/>
        <w:jc w:val="both"/>
        <w:rPr>
          <w:rFonts w:ascii="Calibri" w:hAnsi="Calibri"/>
          <w:sz w:val="20"/>
          <w:szCs w:val="20"/>
        </w:rPr>
      </w:pPr>
      <w:r>
        <w:rPr>
          <w:rFonts w:eastAsia="Calibri" w:cs="Calibri" w:ascii="Calibri" w:hAnsi="Calibri"/>
          <w:b/>
          <w:color w:val="000000"/>
          <w:sz w:val="20"/>
          <w:szCs w:val="20"/>
        </w:rPr>
        <w:t>PRAZO DE VALIDADE DA PROPOSTA</w:t>
      </w:r>
    </w:p>
    <w:p>
      <w:pPr>
        <w:pStyle w:val="Normal1"/>
        <w:spacing w:lineRule="auto" w:line="240" w:before="0" w:after="0"/>
        <w:ind w:right="142"/>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Normal1"/>
        <w:spacing w:lineRule="auto" w:line="240" w:before="0" w:after="0"/>
        <w:ind w:left="426" w:right="142"/>
        <w:jc w:val="both"/>
        <w:rPr>
          <w:rFonts w:ascii="Calibri" w:hAnsi="Calibri"/>
          <w:sz w:val="20"/>
          <w:szCs w:val="20"/>
        </w:rPr>
      </w:pPr>
      <w:r>
        <w:rPr>
          <w:rFonts w:eastAsia="Calibri" w:cs="Calibri" w:ascii="Calibri" w:hAnsi="Calibri"/>
          <w:color w:val="000000"/>
          <w:sz w:val="20"/>
          <w:szCs w:val="20"/>
        </w:rPr>
        <w:t>As propostas deverão ter validade de, no mínimo, 120 (cento e vinte) dias, contados da data da sua apresentação, independente de declaração da empresa.</w:t>
      </w:r>
    </w:p>
    <w:p>
      <w:pPr>
        <w:pStyle w:val="Normal1"/>
        <w:spacing w:lineRule="auto" w:line="240" w:before="0" w:after="0"/>
        <w:ind w:right="142"/>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Normal"/>
        <w:ind w:left="-11" w:right="-285"/>
        <w:jc w:val="both"/>
        <w:rPr>
          <w:rFonts w:ascii="Calibri" w:hAnsi="Calibri" w:cs="Calibri"/>
          <w:sz w:val="20"/>
          <w:szCs w:val="20"/>
          <w:u w:val="single"/>
        </w:rPr>
      </w:pPr>
      <w:r>
        <w:rPr>
          <w:rFonts w:cs="Calibri" w:ascii="Calibri" w:hAnsi="Calibri"/>
          <w:sz w:val="20"/>
          <w:szCs w:val="20"/>
          <w:u w:val="single"/>
        </w:rPr>
      </w:r>
    </w:p>
    <w:p>
      <w:pPr>
        <w:pStyle w:val="Normal1"/>
        <w:numPr>
          <w:ilvl w:val="0"/>
          <w:numId w:val="5"/>
        </w:numPr>
        <w:spacing w:before="0" w:after="0"/>
        <w:ind w:hanging="360" w:left="360" w:right="142"/>
        <w:jc w:val="both"/>
        <w:rPr>
          <w:rFonts w:ascii="Calibri" w:hAnsi="Calibri"/>
          <w:sz w:val="20"/>
          <w:szCs w:val="20"/>
        </w:rPr>
      </w:pPr>
      <w:r>
        <w:rPr>
          <w:rFonts w:eastAsia="Calibri" w:cs="Calibri" w:ascii="Calibri" w:hAnsi="Calibri"/>
          <w:b/>
          <w:color w:val="000000"/>
          <w:sz w:val="20"/>
          <w:szCs w:val="20"/>
        </w:rPr>
        <w:t>DOS DOCUMENTOS DE HABILITAÇÃO</w:t>
      </w:r>
    </w:p>
    <w:p>
      <w:pPr>
        <w:pStyle w:val="Normal1"/>
        <w:spacing w:before="0" w:after="0"/>
        <w:ind w:hanging="0" w:left="360" w:right="142"/>
        <w:jc w:val="both"/>
        <w:rPr>
          <w:rFonts w:ascii="Calibri" w:hAnsi="Calibri" w:eastAsia="Calibri" w:cs="Calibri"/>
          <w:b/>
          <w:color w:val="000000"/>
          <w:sz w:val="20"/>
          <w:szCs w:val="20"/>
          <w:u w:val="single"/>
        </w:rPr>
      </w:pPr>
      <w:r>
        <w:rPr>
          <w:rFonts w:eastAsia="Calibri" w:cs="Calibri" w:ascii="Calibri" w:hAnsi="Calibri"/>
          <w:b/>
          <w:color w:val="000000"/>
          <w:sz w:val="20"/>
          <w:szCs w:val="20"/>
          <w:u w:val="single"/>
        </w:rPr>
      </w:r>
    </w:p>
    <w:p>
      <w:pPr>
        <w:pStyle w:val="Normal1"/>
        <w:numPr>
          <w:ilvl w:val="1"/>
          <w:numId w:val="7"/>
        </w:numPr>
        <w:spacing w:lineRule="auto" w:line="240" w:before="0" w:after="0"/>
        <w:ind w:hanging="426" w:left="426" w:right="142"/>
        <w:jc w:val="both"/>
        <w:rPr>
          <w:rFonts w:ascii="Calibri" w:hAnsi="Calibri"/>
          <w:sz w:val="20"/>
          <w:szCs w:val="20"/>
        </w:rPr>
      </w:pPr>
      <w:r>
        <w:rPr>
          <w:rFonts w:cs="Arial" w:ascii="Calibri" w:hAnsi="Calibri"/>
          <w:b/>
          <w:sz w:val="20"/>
          <w:szCs w:val="20"/>
        </w:rPr>
        <w:t>HABILITAÇÃO JURÍDICA:</w:t>
      </w:r>
    </w:p>
    <w:p>
      <w:pPr>
        <w:pStyle w:val="Normal"/>
        <w:tabs>
          <w:tab w:val="clear" w:pos="720"/>
          <w:tab w:val="left" w:pos="851" w:leader="none"/>
        </w:tabs>
        <w:ind w:left="600"/>
        <w:jc w:val="both"/>
        <w:rPr>
          <w:rFonts w:ascii="Calibri" w:hAnsi="Calibri" w:cs="Arial"/>
          <w:b/>
          <w:sz w:val="20"/>
          <w:szCs w:val="20"/>
        </w:rPr>
      </w:pPr>
      <w:r>
        <w:rPr>
          <w:rFonts w:cs="Arial" w:ascii="Calibri" w:hAnsi="Calibri"/>
          <w:b/>
          <w:sz w:val="20"/>
          <w:szCs w:val="20"/>
        </w:rPr>
      </w:r>
    </w:p>
    <w:p>
      <w:pPr>
        <w:pStyle w:val="Header"/>
        <w:numPr>
          <w:ilvl w:val="2"/>
          <w:numId w:val="7"/>
        </w:numPr>
        <w:tabs>
          <w:tab w:val="clear" w:pos="720"/>
          <w:tab w:val="left" w:pos="567" w:leader="none"/>
        </w:tabs>
        <w:suppressAutoHyphens w:val="false"/>
        <w:spacing w:lineRule="auto" w:line="276"/>
        <w:ind w:hanging="567" w:left="567"/>
        <w:jc w:val="both"/>
        <w:textAlignment w:val="auto"/>
        <w:outlineLvl w:val="9"/>
        <w:rPr>
          <w:rFonts w:ascii="Calibri" w:hAnsi="Calibri"/>
          <w:sz w:val="20"/>
          <w:szCs w:val="20"/>
        </w:rPr>
      </w:pPr>
      <w:r>
        <w:rPr>
          <w:rFonts w:cs="Arial" w:ascii="Calibri" w:hAnsi="Calibri"/>
          <w:sz w:val="20"/>
          <w:szCs w:val="20"/>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pPr>
        <w:pStyle w:val="Header"/>
        <w:tabs>
          <w:tab w:val="clear" w:pos="720"/>
          <w:tab w:val="left" w:pos="567" w:leader="none"/>
        </w:tabs>
        <w:suppressAutoHyphens w:val="false"/>
        <w:spacing w:lineRule="auto" w:line="276"/>
        <w:ind w:hanging="567" w:left="567"/>
        <w:jc w:val="both"/>
        <w:textAlignment w:val="auto"/>
        <w:outlineLvl w:val="9"/>
        <w:rPr>
          <w:rFonts w:ascii="Calibri" w:hAnsi="Calibri" w:cs="Arial"/>
          <w:sz w:val="20"/>
          <w:szCs w:val="20"/>
        </w:rPr>
      </w:pPr>
      <w:r>
        <w:rPr>
          <w:rFonts w:cs="Arial" w:ascii="Calibri" w:hAnsi="Calibri"/>
          <w:sz w:val="20"/>
          <w:szCs w:val="20"/>
        </w:rPr>
      </w:r>
    </w:p>
    <w:p>
      <w:pPr>
        <w:pStyle w:val="Header"/>
        <w:numPr>
          <w:ilvl w:val="2"/>
          <w:numId w:val="7"/>
        </w:numPr>
        <w:tabs>
          <w:tab w:val="clear" w:pos="720"/>
          <w:tab w:val="left" w:pos="567" w:leader="none"/>
        </w:tabs>
        <w:suppressAutoHyphens w:val="false"/>
        <w:spacing w:lineRule="auto" w:line="276"/>
        <w:ind w:hanging="567" w:left="567"/>
        <w:jc w:val="both"/>
        <w:textAlignment w:val="auto"/>
        <w:outlineLvl w:val="9"/>
        <w:rPr>
          <w:rFonts w:ascii="Calibri" w:hAnsi="Calibri"/>
          <w:sz w:val="20"/>
          <w:szCs w:val="20"/>
        </w:rPr>
      </w:pPr>
      <w:r>
        <w:rPr>
          <w:rFonts w:cs="Arial" w:ascii="Calibri" w:hAnsi="Calibri"/>
          <w:sz w:val="20"/>
          <w:szCs w:val="20"/>
        </w:rPr>
        <w:t>Decreto de autorização, em se tratando de empresa ou sociedade estrangeira em funcionamento no País, e ato de registro ou autorização para funcionamento expedido pelo órgão competente, quando a atividade assim o exigir.</w:t>
      </w:r>
    </w:p>
    <w:p>
      <w:pPr>
        <w:pStyle w:val="Normal"/>
        <w:tabs>
          <w:tab w:val="clear" w:pos="720"/>
          <w:tab w:val="left" w:pos="851" w:leader="none"/>
        </w:tabs>
        <w:ind w:left="600"/>
        <w:jc w:val="both"/>
        <w:rPr>
          <w:rFonts w:ascii="Calibri" w:hAnsi="Calibri" w:cs="Arial"/>
          <w:b/>
          <w:sz w:val="20"/>
          <w:szCs w:val="20"/>
        </w:rPr>
      </w:pPr>
      <w:r>
        <w:rPr>
          <w:rFonts w:cs="Arial" w:ascii="Calibri" w:hAnsi="Calibri"/>
          <w:b/>
          <w:sz w:val="20"/>
          <w:szCs w:val="20"/>
        </w:rPr>
      </w:r>
    </w:p>
    <w:p>
      <w:pPr>
        <w:pStyle w:val="Normal"/>
        <w:tabs>
          <w:tab w:val="clear" w:pos="720"/>
          <w:tab w:val="left" w:pos="851" w:leader="none"/>
        </w:tabs>
        <w:ind w:left="600"/>
        <w:jc w:val="both"/>
        <w:rPr>
          <w:rFonts w:ascii="Calibri" w:hAnsi="Calibri" w:cs="Arial"/>
          <w:b/>
          <w:sz w:val="20"/>
          <w:szCs w:val="20"/>
        </w:rPr>
      </w:pPr>
      <w:r>
        <w:rPr>
          <w:rFonts w:cs="Arial" w:ascii="Calibri" w:hAnsi="Calibri"/>
          <w:b/>
          <w:sz w:val="20"/>
          <w:szCs w:val="20"/>
        </w:rPr>
      </w:r>
    </w:p>
    <w:p>
      <w:pPr>
        <w:pStyle w:val="Header"/>
        <w:numPr>
          <w:ilvl w:val="1"/>
          <w:numId w:val="7"/>
        </w:numPr>
        <w:tabs>
          <w:tab w:val="clear" w:pos="720"/>
          <w:tab w:val="left" w:pos="426" w:leader="none"/>
        </w:tabs>
        <w:suppressAutoHyphens w:val="false"/>
        <w:spacing w:lineRule="auto" w:line="276"/>
        <w:jc w:val="both"/>
        <w:textAlignment w:val="auto"/>
        <w:outlineLvl w:val="9"/>
        <w:rPr>
          <w:rFonts w:ascii="Calibri" w:hAnsi="Calibri"/>
          <w:sz w:val="20"/>
          <w:szCs w:val="20"/>
        </w:rPr>
      </w:pPr>
      <w:r>
        <w:rPr>
          <w:rFonts w:cs="Arial" w:ascii="Calibri" w:hAnsi="Calibri"/>
          <w:b/>
          <w:sz w:val="20"/>
          <w:szCs w:val="20"/>
        </w:rPr>
        <w:t>REGULARIDADE SOCIAL:</w:t>
      </w:r>
    </w:p>
    <w:p>
      <w:pPr>
        <w:pStyle w:val="Normal"/>
        <w:tabs>
          <w:tab w:val="clear" w:pos="720"/>
          <w:tab w:val="left" w:pos="851" w:leader="none"/>
          <w:tab w:val="left" w:pos="1276" w:leader="none"/>
        </w:tabs>
        <w:ind w:left="600"/>
        <w:jc w:val="both"/>
        <w:rPr>
          <w:rFonts w:ascii="Calibri" w:hAnsi="Calibri" w:cs="Arial"/>
          <w:sz w:val="20"/>
          <w:szCs w:val="20"/>
        </w:rPr>
      </w:pPr>
      <w:r>
        <w:rPr>
          <w:rFonts w:cs="Arial" w:ascii="Calibri" w:hAnsi="Calibri"/>
          <w:sz w:val="20"/>
          <w:szCs w:val="20"/>
        </w:rPr>
      </w:r>
    </w:p>
    <w:p>
      <w:pPr>
        <w:pStyle w:val="Header"/>
        <w:numPr>
          <w:ilvl w:val="2"/>
          <w:numId w:val="7"/>
        </w:numPr>
        <w:tabs>
          <w:tab w:val="clear" w:pos="720"/>
          <w:tab w:val="left" w:pos="567" w:leader="none"/>
        </w:tabs>
        <w:suppressAutoHyphens w:val="false"/>
        <w:spacing w:lineRule="auto" w:line="276"/>
        <w:ind w:hanging="567" w:left="567"/>
        <w:jc w:val="both"/>
        <w:textAlignment w:val="auto"/>
        <w:outlineLvl w:val="9"/>
        <w:rPr/>
      </w:pPr>
      <w:r>
        <w:rPr>
          <w:rFonts w:cs="Arial" w:ascii="Calibri" w:hAnsi="Calibri"/>
          <w:sz w:val="20"/>
          <w:szCs w:val="20"/>
        </w:rPr>
        <w:t xml:space="preserve">Declaração de comprovação do cumprimento do disposto no </w:t>
      </w:r>
      <w:r>
        <w:fldChar w:fldCharType="begin"/>
      </w:r>
      <w:r>
        <w:rPr>
          <w:rStyle w:val="Hyperlink"/>
          <w:sz w:val="20"/>
          <w:u w:val="none"/>
          <w:szCs w:val="20"/>
          <w:rFonts w:cs="Arial" w:ascii="Calibri" w:hAnsi="Calibri"/>
          <w:color w:val="auto"/>
        </w:rPr>
        <w:instrText xml:space="preserve"> HYPERLINK "http://www.planalto.gov.br/ccivil_03/Constituicao/Constituicao.htm" \l "art7xxxiii"</w:instrText>
      </w:r>
      <w:r>
        <w:rPr>
          <w:rStyle w:val="Hyperlink"/>
          <w:sz w:val="20"/>
          <w:u w:val="none"/>
          <w:szCs w:val="20"/>
          <w:rFonts w:cs="Arial" w:ascii="Calibri" w:hAnsi="Calibri"/>
          <w:color w:val="auto"/>
        </w:rPr>
        <w:fldChar w:fldCharType="separate"/>
      </w:r>
      <w:r>
        <w:rPr>
          <w:rStyle w:val="Hyperlink"/>
          <w:rFonts w:cs="Arial" w:ascii="Calibri" w:hAnsi="Calibri"/>
          <w:color w:val="auto"/>
          <w:sz w:val="20"/>
          <w:szCs w:val="20"/>
          <w:u w:val="none"/>
        </w:rPr>
        <w:t>inciso XXXIII do art. 7º da Constituição Federal.</w:t>
      </w:r>
      <w:r>
        <w:rPr>
          <w:rStyle w:val="Hyperlink"/>
          <w:sz w:val="20"/>
          <w:u w:val="none"/>
          <w:szCs w:val="20"/>
          <w:rFonts w:cs="Arial" w:ascii="Calibri" w:hAnsi="Calibri"/>
          <w:color w:val="auto"/>
        </w:rPr>
        <w:fldChar w:fldCharType="end"/>
      </w:r>
    </w:p>
    <w:p>
      <w:pPr>
        <w:pStyle w:val="Normal12"/>
        <w:keepNext w:val="true"/>
        <w:keepLines/>
        <w:spacing w:before="0" w:after="0"/>
        <w:ind w:left="720" w:right="142"/>
        <w:jc w:val="both"/>
        <w:rPr>
          <w:rFonts w:ascii="Calibri" w:hAnsi="Calibri" w:eastAsia="Calibri" w:cs="Calibri"/>
          <w:color w:val="365F91"/>
          <w:sz w:val="20"/>
          <w:szCs w:val="20"/>
        </w:rPr>
      </w:pPr>
      <w:r>
        <w:rPr>
          <w:rFonts w:eastAsia="Calibri" w:cs="Calibri" w:ascii="Calibri" w:hAnsi="Calibri"/>
          <w:color w:val="365F91"/>
          <w:sz w:val="20"/>
          <w:szCs w:val="20"/>
        </w:rPr>
      </w:r>
    </w:p>
    <w:p>
      <w:pPr>
        <w:pStyle w:val="Header"/>
        <w:tabs>
          <w:tab w:val="clear" w:pos="720"/>
          <w:tab w:val="left" w:pos="426" w:leader="none"/>
        </w:tabs>
        <w:suppressAutoHyphens w:val="false"/>
        <w:spacing w:lineRule="auto" w:line="276"/>
        <w:ind w:hanging="426" w:left="426"/>
        <w:jc w:val="both"/>
        <w:textAlignment w:val="auto"/>
        <w:outlineLvl w:val="9"/>
        <w:rPr>
          <w:rFonts w:ascii="Calibri" w:hAnsi="Calibri"/>
          <w:sz w:val="20"/>
          <w:szCs w:val="20"/>
        </w:rPr>
      </w:pPr>
      <w:r>
        <w:rPr>
          <w:rFonts w:cs="Arial" w:ascii="Calibri" w:hAnsi="Calibri"/>
          <w:b/>
          <w:sz w:val="20"/>
          <w:szCs w:val="20"/>
        </w:rPr>
        <w:t xml:space="preserve">6.3 QUALIFICAÇÃO ECONÔMICO-FINANCEIRA </w:t>
      </w:r>
    </w:p>
    <w:p>
      <w:pPr>
        <w:pStyle w:val="Normal12"/>
        <w:keepNext w:val="true"/>
        <w:keepLines/>
        <w:spacing w:before="0" w:after="0"/>
        <w:ind w:right="142"/>
        <w:jc w:val="both"/>
        <w:rPr>
          <w:rFonts w:ascii="Calibri" w:hAnsi="Calibri" w:eastAsia="Calibri" w:cs="Calibri"/>
          <w:b/>
          <w:color w:val="0070C0"/>
          <w:sz w:val="20"/>
          <w:szCs w:val="20"/>
        </w:rPr>
      </w:pPr>
      <w:r>
        <w:rPr>
          <w:rFonts w:eastAsia="Calibri" w:cs="Calibri" w:ascii="Calibri" w:hAnsi="Calibri"/>
          <w:b/>
          <w:color w:val="0070C0"/>
          <w:sz w:val="20"/>
          <w:szCs w:val="20"/>
        </w:rPr>
      </w:r>
    </w:p>
    <w:p>
      <w:pPr>
        <w:pStyle w:val="Cabealho1"/>
        <w:widowControl/>
        <w:numPr>
          <w:ilvl w:val="0"/>
          <w:numId w:val="0"/>
        </w:numPr>
        <w:tabs>
          <w:tab w:val="clear" w:pos="720"/>
          <w:tab w:val="left" w:pos="426" w:leader="none"/>
        </w:tabs>
        <w:suppressAutoHyphens w:val="true"/>
        <w:bidi w:val="0"/>
        <w:spacing w:lineRule="auto" w:line="276" w:before="0" w:after="0"/>
        <w:ind w:hanging="0" w:left="0" w:right="0"/>
        <w:jc w:val="both"/>
        <w:textAlignment w:val="auto"/>
        <w:outlineLvl w:val="9"/>
        <w:rPr>
          <w:rFonts w:ascii="Calibri" w:hAnsi="Calibri"/>
          <w:sz w:val="20"/>
          <w:szCs w:val="20"/>
        </w:rPr>
      </w:pPr>
      <w:r>
        <w:rPr>
          <w:rFonts w:cs="Calibri" w:ascii="Calibri" w:hAnsi="Calibri"/>
          <w:color w:val="000000"/>
          <w:sz w:val="20"/>
          <w:szCs w:val="20"/>
        </w:rPr>
        <w:t xml:space="preserve">6.3.1 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pPr>
        <w:pStyle w:val="Cabealho1"/>
        <w:tabs>
          <w:tab w:val="clear" w:pos="720"/>
          <w:tab w:val="left" w:pos="426" w:leader="none"/>
        </w:tabs>
        <w:spacing w:lineRule="auto" w:line="276"/>
        <w:ind w:hanging="2" w:left="0"/>
        <w:rPr>
          <w:rFonts w:ascii="Calibri" w:hAnsi="Calibri"/>
          <w:color w:val="000000"/>
          <w:sz w:val="20"/>
          <w:szCs w:val="20"/>
        </w:rPr>
      </w:pPr>
      <w:r>
        <w:rPr>
          <w:rFonts w:ascii="Calibri" w:hAnsi="Calibri"/>
          <w:color w:val="000000"/>
          <w:sz w:val="20"/>
          <w:szCs w:val="20"/>
        </w:rPr>
      </w:r>
    </w:p>
    <w:p>
      <w:pPr>
        <w:pStyle w:val="Cabealho1"/>
        <w:widowControl/>
        <w:numPr>
          <w:ilvl w:val="0"/>
          <w:numId w:val="0"/>
        </w:numPr>
        <w:tabs>
          <w:tab w:val="clear" w:pos="720"/>
          <w:tab w:val="left" w:pos="426" w:leader="none"/>
        </w:tabs>
        <w:suppressAutoHyphens w:val="true"/>
        <w:bidi w:val="0"/>
        <w:spacing w:lineRule="auto" w:line="276" w:before="0" w:after="0"/>
        <w:ind w:hanging="0" w:left="0" w:right="0"/>
        <w:jc w:val="both"/>
        <w:textAlignment w:val="auto"/>
        <w:outlineLvl w:val="9"/>
        <w:rPr>
          <w:rFonts w:ascii="Calibri" w:hAnsi="Calibri"/>
          <w:sz w:val="20"/>
          <w:szCs w:val="20"/>
        </w:rPr>
      </w:pPr>
      <w:r>
        <w:rPr>
          <w:rFonts w:cs="Calibri" w:ascii="Calibri" w:hAnsi="Calibri"/>
          <w:color w:val="000000"/>
          <w:sz w:val="20"/>
          <w:szCs w:val="20"/>
        </w:rPr>
        <w:t>6.3.2 Certidão Negativa de Falência ou Recuperação Judicial referente aos processos distribuídos pelo PJe (</w:t>
      </w:r>
      <w:r>
        <w:rPr>
          <w:rFonts w:cs="Calibri" w:ascii="Calibri" w:hAnsi="Calibri"/>
          <w:b/>
          <w:color w:val="000000"/>
          <w:sz w:val="20"/>
          <w:szCs w:val="20"/>
          <w:u w:val="single"/>
        </w:rPr>
        <w:t>processos judiciais eletrônicos</w:t>
      </w:r>
      <w:r>
        <w:rPr>
          <w:rFonts w:cs="Calibri" w:ascii="Calibri" w:hAnsi="Calibri"/>
          <w:color w:val="000000"/>
          <w:sz w:val="20"/>
          <w:szCs w:val="20"/>
        </w:rPr>
        <w:t>) da sede da licitante OU, no caso de empresas em recuperação judicial, certidão emitida pela instância judicial competente que ateste que as empresas tenham tido o plano de recuperação concedido ou homologado em juízo.</w:t>
      </w:r>
    </w:p>
    <w:p>
      <w:pPr>
        <w:pStyle w:val="ListParagraph"/>
        <w:tabs>
          <w:tab w:val="clear" w:pos="720"/>
          <w:tab w:val="left" w:pos="426" w:leader="none"/>
        </w:tabs>
        <w:ind w:hanging="426" w:left="426"/>
        <w:rPr>
          <w:rFonts w:ascii="Calibri" w:hAnsi="Calibri" w:cs="Calibri"/>
          <w:color w:val="000000"/>
          <w:sz w:val="20"/>
          <w:szCs w:val="20"/>
        </w:rPr>
      </w:pPr>
      <w:r>
        <w:rPr>
          <w:rFonts w:cs="Calibri" w:ascii="Calibri" w:hAnsi="Calibri"/>
          <w:color w:val="000000"/>
          <w:sz w:val="20"/>
          <w:szCs w:val="20"/>
        </w:rPr>
      </w:r>
    </w:p>
    <w:p>
      <w:pPr>
        <w:pStyle w:val="Cabealho1"/>
        <w:widowControl/>
        <w:numPr>
          <w:ilvl w:val="0"/>
          <w:numId w:val="0"/>
        </w:numPr>
        <w:tabs>
          <w:tab w:val="clear" w:pos="720"/>
          <w:tab w:val="left" w:pos="426" w:leader="none"/>
        </w:tabs>
        <w:suppressAutoHyphens w:val="true"/>
        <w:bidi w:val="0"/>
        <w:spacing w:lineRule="auto" w:line="276" w:before="0" w:after="0"/>
        <w:ind w:hanging="0" w:left="0" w:right="0"/>
        <w:jc w:val="both"/>
        <w:textAlignment w:val="auto"/>
        <w:outlineLvl w:val="9"/>
        <w:rPr>
          <w:rFonts w:ascii="Calibri" w:hAnsi="Calibri"/>
          <w:sz w:val="20"/>
          <w:szCs w:val="20"/>
        </w:rPr>
      </w:pPr>
      <w:r>
        <w:rPr>
          <w:rFonts w:cs="Calibri" w:ascii="Calibri" w:hAnsi="Calibri"/>
          <w:color w:val="000000"/>
          <w:sz w:val="20"/>
          <w:szCs w:val="20"/>
        </w:rPr>
        <w:t xml:space="preserve">6.3.3 A certidão descrita no item 6.3.2 somente é exigível quando a certidão negativa de Falência ou Recuperação Judicial da sede ou do domicílio da licitante (item 6.3.1) contiver a </w:t>
      </w:r>
      <w:r>
        <w:rPr>
          <w:rFonts w:cs="Calibri" w:ascii="Calibri" w:hAnsi="Calibri"/>
          <w:b/>
          <w:color w:val="000000"/>
          <w:sz w:val="20"/>
          <w:szCs w:val="20"/>
          <w:u w:val="single"/>
        </w:rPr>
        <w:t>ressalva expressa</w:t>
      </w:r>
      <w:r>
        <w:rPr>
          <w:rFonts w:cs="Calibri" w:ascii="Calibri" w:hAnsi="Calibri"/>
          <w:color w:val="000000"/>
          <w:sz w:val="20"/>
          <w:szCs w:val="20"/>
        </w:rPr>
        <w:t xml:space="preserve"> de que não abrange os </w:t>
      </w:r>
      <w:r>
        <w:rPr>
          <w:rFonts w:cs="Calibri" w:ascii="Calibri" w:hAnsi="Calibri"/>
          <w:color w:val="000000"/>
          <w:sz w:val="20"/>
          <w:szCs w:val="20"/>
          <w:u w:val="single"/>
        </w:rPr>
        <w:t>processos judiciais eletrônicos</w:t>
      </w:r>
      <w:r>
        <w:rPr>
          <w:rFonts w:cs="Calibri" w:ascii="Calibri" w:hAnsi="Calibri"/>
          <w:color w:val="000000"/>
          <w:sz w:val="20"/>
          <w:szCs w:val="20"/>
        </w:rPr>
        <w:t>.</w:t>
      </w:r>
    </w:p>
    <w:p>
      <w:pPr>
        <w:pStyle w:val="Normal12"/>
        <w:spacing w:lineRule="auto" w:line="240" w:before="0" w:after="0"/>
        <w:ind w:right="142"/>
        <w:jc w:val="both"/>
        <w:rPr>
          <w:rFonts w:ascii="Calibri" w:hAnsi="Calibri" w:eastAsia="Calibri" w:cs="Calibri"/>
          <w:color w:val="000000"/>
          <w:sz w:val="20"/>
          <w:szCs w:val="20"/>
          <w:highlight w:val="green"/>
        </w:rPr>
      </w:pPr>
      <w:r>
        <w:rPr>
          <w:rFonts w:eastAsia="Calibri" w:cs="Calibri" w:ascii="Calibri" w:hAnsi="Calibri"/>
          <w:color w:val="000000"/>
          <w:sz w:val="20"/>
          <w:szCs w:val="20"/>
          <w:highlight w:val="green"/>
        </w:rPr>
      </w:r>
    </w:p>
    <w:p>
      <w:pPr>
        <w:pStyle w:val="Normal1"/>
        <w:widowControl/>
        <w:numPr>
          <w:ilvl w:val="0"/>
          <w:numId w:val="0"/>
        </w:numPr>
        <w:bidi w:val="0"/>
        <w:spacing w:lineRule="auto" w:line="276" w:before="0" w:after="0"/>
        <w:ind w:hanging="0" w:left="0" w:right="113"/>
        <w:jc w:val="left"/>
        <w:rPr>
          <w:rFonts w:ascii="Calibri" w:hAnsi="Calibri"/>
          <w:sz w:val="20"/>
          <w:szCs w:val="20"/>
        </w:rPr>
      </w:pPr>
      <w:r>
        <w:rPr>
          <w:rFonts w:eastAsia="Calibri" w:cs="Calibri" w:ascii="Calibri" w:hAnsi="Calibri"/>
          <w:b/>
          <w:color w:val="000000"/>
          <w:sz w:val="20"/>
          <w:szCs w:val="20"/>
        </w:rPr>
        <w:t xml:space="preserve">7 DO CONTRATO </w:t>
      </w:r>
    </w:p>
    <w:p>
      <w:pPr>
        <w:pStyle w:val="Normal"/>
        <w:ind w:left="426"/>
        <w:jc w:val="both"/>
        <w:rPr>
          <w:rFonts w:ascii="Calibri" w:hAnsi="Calibri"/>
          <w:color w:val="FF0000"/>
          <w:sz w:val="20"/>
          <w:szCs w:val="20"/>
          <w:highlight w:val="yellow"/>
        </w:rPr>
      </w:pPr>
      <w:r>
        <w:rPr>
          <w:rFonts w:ascii="Calibri" w:hAnsi="Calibri"/>
          <w:color w:val="FF0000"/>
          <w:sz w:val="20"/>
          <w:szCs w:val="20"/>
          <w:highlight w:val="yellow"/>
        </w:rPr>
      </w:r>
    </w:p>
    <w:p>
      <w:pPr>
        <w:pStyle w:val="Normal"/>
        <w:numPr>
          <w:ilvl w:val="1"/>
          <w:numId w:val="10"/>
        </w:numPr>
        <w:spacing w:lineRule="auto" w:line="276" w:before="120" w:after="120"/>
        <w:ind w:hanging="426" w:left="426"/>
        <w:jc w:val="both"/>
        <w:rPr>
          <w:rFonts w:ascii="Calibri" w:hAnsi="Calibri"/>
          <w:sz w:val="20"/>
          <w:szCs w:val="20"/>
        </w:rPr>
      </w:pPr>
      <w:r>
        <w:rPr>
          <w:rFonts w:ascii="Calibri" w:hAnsi="Calibri"/>
          <w:iCs/>
          <w:color w:val="000000"/>
          <w:sz w:val="20"/>
          <w:szCs w:val="20"/>
        </w:rPr>
        <w:t>A contratação será efetivada por meio de Nota de Empenho acompanhada de autorização de compra ou ordem de execução de serviço, nos termos do art. 95 da Lei nº 14.133/2021.</w:t>
      </w:r>
    </w:p>
    <w:p>
      <w:pPr>
        <w:pStyle w:val="Normal1"/>
        <w:spacing w:lineRule="auto" w:line="240" w:before="0" w:after="0"/>
        <w:ind w:right="142"/>
        <w:jc w:val="both"/>
        <w:rPr>
          <w:rFonts w:ascii="Calibri" w:hAnsi="Calibri" w:eastAsia="Calibri" w:cs="Calibri"/>
          <w:b/>
          <w:sz w:val="20"/>
          <w:szCs w:val="20"/>
        </w:rPr>
      </w:pPr>
      <w:r>
        <w:rPr>
          <w:rFonts w:eastAsia="Calibri" w:cs="Calibri" w:ascii="Calibri" w:hAnsi="Calibri"/>
          <w:b/>
          <w:sz w:val="20"/>
          <w:szCs w:val="20"/>
        </w:rPr>
      </w:r>
    </w:p>
    <w:p>
      <w:pPr>
        <w:pStyle w:val="Normal1"/>
        <w:numPr>
          <w:ilvl w:val="1"/>
          <w:numId w:val="10"/>
        </w:numPr>
        <w:spacing w:lineRule="auto" w:line="240" w:before="0" w:after="0"/>
        <w:ind w:hanging="426" w:left="426" w:right="142"/>
        <w:jc w:val="both"/>
        <w:rPr>
          <w:rFonts w:ascii="Calibri" w:hAnsi="Calibri"/>
          <w:sz w:val="20"/>
          <w:szCs w:val="20"/>
        </w:rPr>
      </w:pPr>
      <w:r>
        <w:rPr>
          <w:rFonts w:eastAsia="Calibri" w:cs="Calibri" w:ascii="Calibri" w:hAnsi="Calibri"/>
          <w:b/>
          <w:color w:val="000000"/>
          <w:sz w:val="20"/>
          <w:szCs w:val="20"/>
        </w:rPr>
        <w:t xml:space="preserve">OBRIGAÇÕES DA CONTRATANTE </w:t>
      </w:r>
    </w:p>
    <w:p>
      <w:pPr>
        <w:pStyle w:val="Normal1"/>
        <w:spacing w:lineRule="auto" w:line="240" w:before="0" w:after="0"/>
        <w:ind w:right="142"/>
        <w:jc w:val="both"/>
        <w:rPr>
          <w:rFonts w:ascii="Calibri" w:hAnsi="Calibri" w:eastAsia="Calibri" w:cs="Calibri"/>
          <w:b/>
          <w:color w:val="000000"/>
          <w:sz w:val="20"/>
          <w:szCs w:val="20"/>
        </w:rPr>
      </w:pPr>
      <w:r>
        <w:rPr>
          <w:rFonts w:eastAsia="Calibri" w:cs="Calibri" w:ascii="Calibri" w:hAnsi="Calibri"/>
          <w:b/>
          <w:color w:val="000000"/>
          <w:sz w:val="20"/>
          <w:szCs w:val="20"/>
        </w:rPr>
      </w:r>
    </w:p>
    <w:p>
      <w:pPr>
        <w:pStyle w:val="BodyText"/>
        <w:widowControl/>
        <w:bidi w:val="0"/>
        <w:spacing w:lineRule="auto" w:line="240" w:before="0" w:after="0"/>
        <w:ind w:hanging="0" w:left="113" w:right="113"/>
        <w:jc w:val="both"/>
        <w:textAlignment w:val="baseline"/>
        <w:rPr>
          <w:rFonts w:ascii="Calibri" w:hAnsi="Calibri"/>
          <w:position w:val="0"/>
          <w:sz w:val="20"/>
          <w:sz w:val="20"/>
          <w:szCs w:val="20"/>
          <w:vertAlign w:val="baseline"/>
        </w:rPr>
      </w:pPr>
      <w:r>
        <w:rPr>
          <w:rFonts w:eastAsia="Calibri" w:cs="Calibri" w:ascii="Calibri" w:hAnsi="Calibri"/>
          <w:color w:val="000000"/>
          <w:position w:val="0"/>
          <w:sz w:val="20"/>
          <w:sz w:val="20"/>
          <w:szCs w:val="20"/>
          <w:u w:val="none"/>
          <w:vertAlign w:val="baseline"/>
        </w:rPr>
        <w:t xml:space="preserve">7.2.1 É dever da CONTRATANTE exigir o cumprimento de todas as obrigações assumidas pela CONTRATADA, em especial: </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I. </w:t>
      </w:r>
      <w:r>
        <w:rPr>
          <w:rFonts w:ascii="Calibri" w:hAnsi="Calibri"/>
          <w:position w:val="0"/>
          <w:sz w:val="20"/>
          <w:sz w:val="20"/>
          <w:szCs w:val="20"/>
          <w:vertAlign w:val="baseline"/>
        </w:rPr>
        <w:t>Receber o objeto no prazo e condições estabelecidas neste Termo de Referência;</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II. </w:t>
      </w:r>
      <w:r>
        <w:rPr>
          <w:rFonts w:ascii="Calibri" w:hAnsi="Calibri"/>
          <w:position w:val="0"/>
          <w:sz w:val="20"/>
          <w:sz w:val="20"/>
          <w:szCs w:val="20"/>
          <w:vertAlign w:val="baseline"/>
        </w:rPr>
        <w:t>Acompanhar e fiscalizar a execução do objeto contratado, através de servidor designado para este fim;</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III. </w:t>
      </w:r>
      <w:r>
        <w:rPr>
          <w:rFonts w:ascii="Calibri" w:hAnsi="Calibri"/>
          <w:position w:val="0"/>
          <w:sz w:val="20"/>
          <w:sz w:val="20"/>
          <w:szCs w:val="20"/>
          <w:vertAlign w:val="baseline"/>
        </w:rPr>
        <w:t>Informar à CONTRATADA as normas e procedimentos de acesso às suas instalações para entrega dos bens;</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IV. </w:t>
      </w:r>
      <w:r>
        <w:rPr>
          <w:rFonts w:ascii="Calibri" w:hAnsi="Calibri"/>
          <w:position w:val="0"/>
          <w:sz w:val="20"/>
          <w:sz w:val="20"/>
          <w:szCs w:val="20"/>
          <w:vertAlign w:val="baseline"/>
        </w:rPr>
        <w:t>Verificar a conformidade dos bens entregues com as especificações e quantidades exigidas, inclusive quanto à marca indicada na proposta;</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V. </w:t>
      </w:r>
      <w:r>
        <w:rPr>
          <w:rFonts w:ascii="Calibri" w:hAnsi="Calibri"/>
          <w:position w:val="0"/>
          <w:sz w:val="20"/>
          <w:sz w:val="20"/>
          <w:szCs w:val="20"/>
          <w:vertAlign w:val="baseline"/>
        </w:rPr>
        <w:t>Comunicar por escrito à CONTRATADA qualquer vício, defeito ou irregularidade no objeto fornecido, solicitando a substituição, o reparo ou complementação do bem entregue, às suas expensas, no prazo fixado para o cumprimento da determinação;</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VI. </w:t>
      </w:r>
      <w:r>
        <w:rPr>
          <w:rFonts w:ascii="Calibri" w:hAnsi="Calibri"/>
          <w:position w:val="0"/>
          <w:sz w:val="20"/>
          <w:sz w:val="20"/>
          <w:szCs w:val="20"/>
          <w:vertAlign w:val="baseline"/>
        </w:rPr>
        <w:t>Recusar o recebimento do bem que não atenda aos requisitos elencados nas especificações indicadas se, após o prazo fixado para substituição, reparo ou complementação, não for sanada a irregularidade verificada, comunicando à CONTRATADA o fato por escrito;</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VII. </w:t>
      </w:r>
      <w:r>
        <w:rPr>
          <w:rFonts w:ascii="Calibri" w:hAnsi="Calibri"/>
          <w:position w:val="0"/>
          <w:sz w:val="20"/>
          <w:sz w:val="20"/>
          <w:szCs w:val="20"/>
          <w:vertAlign w:val="baseline"/>
        </w:rPr>
        <w:t>Analisar e atestar as Faturas e Notas Fiscais emitidas e efetuar os respectivos pagamentos nas condições e nos prazos estabelecidos;</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VIII. </w:t>
      </w:r>
      <w:r>
        <w:rPr>
          <w:rFonts w:ascii="Calibri" w:hAnsi="Calibri"/>
          <w:position w:val="0"/>
          <w:sz w:val="20"/>
          <w:sz w:val="20"/>
          <w:szCs w:val="20"/>
          <w:vertAlign w:val="baseline"/>
        </w:rPr>
        <w:t>Liberar o pagamento da parcela incontroversa da execução do objeto contratado, quando houver controvérsia sobre a dimensão, qualidade e quantidade do objeto executado;</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IX. </w:t>
      </w:r>
      <w:r>
        <w:rPr>
          <w:rFonts w:ascii="Calibri" w:hAnsi="Calibri"/>
          <w:position w:val="0"/>
          <w:sz w:val="20"/>
          <w:sz w:val="20"/>
          <w:szCs w:val="20"/>
          <w:vertAlign w:val="baseline"/>
        </w:rPr>
        <w:t>Comunicar à CONTRATADA as ocorrências de quaisquer fatos que, a seu critério, exijam medidas corretivas;</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X. </w:t>
      </w:r>
      <w:r>
        <w:rPr>
          <w:rFonts w:ascii="Calibri" w:hAnsi="Calibri"/>
          <w:position w:val="0"/>
          <w:sz w:val="20"/>
          <w:sz w:val="20"/>
          <w:szCs w:val="20"/>
          <w:vertAlign w:val="baseline"/>
        </w:rPr>
        <w:t>Prestar as informações e esclarecimentos que venham a ser solicitados pela CONTRATADA relacionados à execução contratual;</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XI. </w:t>
      </w:r>
      <w:r>
        <w:rPr>
          <w:rFonts w:ascii="Calibri" w:hAnsi="Calibri"/>
          <w:position w:val="0"/>
          <w:sz w:val="20"/>
          <w:sz w:val="20"/>
          <w:szCs w:val="20"/>
          <w:vertAlign w:val="baseline"/>
        </w:rPr>
        <w:t>Aplicar as penalidades previstas na lei e neste TERMO DE REFERÊNCIA;</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XII. </w:t>
      </w:r>
      <w:r>
        <w:rPr>
          <w:rFonts w:ascii="Calibri" w:hAnsi="Calibri"/>
          <w:position w:val="0"/>
          <w:sz w:val="20"/>
          <w:sz w:val="20"/>
          <w:szCs w:val="20"/>
          <w:vertAlign w:val="baseline"/>
        </w:rPr>
        <w:t>Notificar, nos termos do §4º do art. 137 da Lei nº 14.133, de 2021, os emitentes das garantias quanto ao início de processo administrativo para apuração de descumprimento de cláusulas contratuais.</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XIII. </w:t>
      </w:r>
      <w:r>
        <w:rPr>
          <w:rFonts w:ascii="Calibri" w:hAnsi="Calibri"/>
          <w:position w:val="0"/>
          <w:sz w:val="20"/>
          <w:sz w:val="20"/>
          <w:szCs w:val="20"/>
          <w:vertAlign w:val="baseline"/>
        </w:rPr>
        <w:t>Proferir, no prazo de 30 (trinta) dias a contar da data do protocolo do requerimento, admitida a prorrogação motivada por igual período, decisão explícita sobre todas as solicitações e reclamações relacionadas à execução do presente CONTRATO, ressalvados os requerimentos manifestamente impertinentes, meramente protelatórios ou de nenhum interesse para a boa execução do ajuste;</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XIV. </w:t>
      </w:r>
      <w:r>
        <w:rPr>
          <w:rFonts w:ascii="Calibri" w:hAnsi="Calibri"/>
          <w:position w:val="0"/>
          <w:sz w:val="20"/>
          <w:sz w:val="20"/>
          <w:szCs w:val="20"/>
          <w:vertAlign w:val="baseline"/>
        </w:rPr>
        <w:t>Cumprir a Lei nº 13.709, de 14 de agosto de 2018 (LGPD), quanto a todos os dados pessoais a que tenha acesso em razão do certame ou do contrato administrativo, independentemente de declaração ou de aceitação expressa.</w:t>
      </w:r>
    </w:p>
    <w:p>
      <w:pPr>
        <w:pStyle w:val="BodyText"/>
        <w:ind w:hanging="1" w:left="0" w:right="0"/>
        <w:rPr>
          <w:rFonts w:ascii="Calibri" w:hAnsi="Calibri"/>
          <w:position w:val="0"/>
          <w:sz w:val="20"/>
          <w:sz w:val="20"/>
          <w:szCs w:val="20"/>
          <w:vertAlign w:val="baseline"/>
        </w:rPr>
      </w:pPr>
      <w:r>
        <w:rPr>
          <w:rFonts w:ascii="Calibri" w:hAnsi="Calibri"/>
          <w:position w:val="0"/>
          <w:sz w:val="20"/>
          <w:sz w:val="20"/>
          <w:szCs w:val="20"/>
          <w:vertAlign w:val="baseline"/>
        </w:rPr>
        <w:t> </w:t>
      </w:r>
    </w:p>
    <w:p>
      <w:pPr>
        <w:pStyle w:val="BodyText"/>
        <w:spacing w:before="120" w:after="0"/>
        <w:ind w:hanging="0" w:left="119" w:right="135"/>
        <w:rPr>
          <w:rFonts w:ascii="Calibri" w:hAnsi="Calibri"/>
          <w:position w:val="0"/>
          <w:sz w:val="20"/>
          <w:sz w:val="20"/>
          <w:szCs w:val="20"/>
          <w:vertAlign w:val="baseline"/>
        </w:rPr>
      </w:pPr>
      <w:r>
        <w:rPr>
          <w:rFonts w:ascii="Calibri" w:hAnsi="Calibri"/>
          <w:b/>
          <w:position w:val="0"/>
          <w:sz w:val="20"/>
          <w:sz w:val="20"/>
          <w:szCs w:val="20"/>
          <w:vertAlign w:val="baseline"/>
        </w:rPr>
        <w:t>7.3 OBRIGAÇÕES DA CONTRATADA</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7.3.1 </w:t>
      </w:r>
      <w:r>
        <w:rPr>
          <w:rFonts w:ascii="Calibri" w:hAnsi="Calibri"/>
          <w:position w:val="0"/>
          <w:sz w:val="20"/>
          <w:sz w:val="20"/>
          <w:szCs w:val="20"/>
          <w:vertAlign w:val="baseline"/>
        </w:rPr>
        <w:t>A CONTRATADA deve cumprir todas as obrigações constantes neste TERMO DE REFERÊNCIA, de seus anexos e da proposta apresentada na licitação e, ainda:</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I. </w:t>
      </w:r>
      <w:r>
        <w:rPr>
          <w:rFonts w:ascii="Calibri" w:hAnsi="Calibri"/>
          <w:position w:val="0"/>
          <w:sz w:val="20"/>
          <w:sz w:val="20"/>
          <w:szCs w:val="20"/>
          <w:vertAlign w:val="baseline"/>
        </w:rPr>
        <w:t>Fornecer o bem contratado, nas quantidades e especificações exigidas, salvo se obtiver por escrito prévia anuência da CONTRATANTE para alteração nas condições do fornecimento;</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II. </w:t>
      </w:r>
      <w:r>
        <w:rPr>
          <w:rFonts w:ascii="Calibri" w:hAnsi="Calibri"/>
          <w:position w:val="0"/>
          <w:sz w:val="20"/>
          <w:sz w:val="20"/>
          <w:szCs w:val="20"/>
          <w:vertAlign w:val="baseline"/>
        </w:rPr>
        <w:t>Fornecer o bem acondicionado de forma adequada, de modo a garantir seu perfeito estado de conservação e funcionamento;</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III. </w:t>
      </w:r>
      <w:r>
        <w:rPr>
          <w:rFonts w:ascii="Calibri" w:hAnsi="Calibri"/>
          <w:position w:val="0"/>
          <w:sz w:val="20"/>
          <w:sz w:val="20"/>
          <w:szCs w:val="20"/>
          <w:vertAlign w:val="baseline"/>
        </w:rPr>
        <w:t>Cumprir o prazo de entrega estabelecido no contrato;</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IV. </w:t>
      </w:r>
      <w:r>
        <w:rPr>
          <w:rFonts w:ascii="Calibri" w:hAnsi="Calibri"/>
          <w:position w:val="0"/>
          <w:sz w:val="20"/>
          <w:sz w:val="20"/>
          <w:szCs w:val="20"/>
          <w:vertAlign w:val="baseline"/>
        </w:rPr>
        <w:t>Substituir, corrigir, reparar ou complementar, às suas expensas, no todo ou em parte, conforme o caso, no prazo de até 05 (cinco) dias úteis contado da respectiva notificação, ou no prazo assinalado pelo fiscal do CONTRATO, os bens que apresentarem vícios, defeitos ou qualquer irregularidade;</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V. </w:t>
      </w:r>
      <w:r>
        <w:rPr>
          <w:rFonts w:ascii="Calibri" w:hAnsi="Calibri"/>
          <w:position w:val="0"/>
          <w:sz w:val="20"/>
          <w:sz w:val="20"/>
          <w:szCs w:val="20"/>
          <w:vertAlign w:val="baseline"/>
        </w:rPr>
        <w:t>Programar, com a necessária antecedência, data e hora para entrega do objeto contratado, inclusive quando esta ocorrer através de empresa transportadora, comunicando à CONTRATANTE, até 02 (dois) dias antes, qualquer impedimento à entrega, devidamente comprovado;</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VI. </w:t>
      </w:r>
      <w:r>
        <w:rPr>
          <w:rFonts w:ascii="Calibri" w:hAnsi="Calibri"/>
          <w:position w:val="0"/>
          <w:sz w:val="20"/>
          <w:sz w:val="20"/>
          <w:szCs w:val="20"/>
          <w:vertAlign w:val="baseline"/>
        </w:rPr>
        <w:t>Entregar o manual do usuário, com uma versão em português, e da relação da rede de assistência técnica autorizada, conforme o caso;</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VII. </w:t>
      </w:r>
      <w:r>
        <w:rPr>
          <w:rFonts w:ascii="Calibri" w:hAnsi="Calibri"/>
          <w:position w:val="0"/>
          <w:sz w:val="20"/>
          <w:sz w:val="20"/>
          <w:szCs w:val="20"/>
          <w:vertAlign w:val="baseline"/>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VIII. </w:t>
      </w:r>
      <w:r>
        <w:rPr>
          <w:rFonts w:ascii="Calibri" w:hAnsi="Calibri"/>
          <w:position w:val="0"/>
          <w:sz w:val="20"/>
          <w:sz w:val="20"/>
          <w:szCs w:val="20"/>
          <w:vertAlign w:val="baseline"/>
        </w:rPr>
        <w:t>Não transferir a outrem, no todo ou em parte, o objeto do CONTRATO, ressalvadas as hipóteses de subcontratação autorizada no Termo de Referência;</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IX. </w:t>
      </w:r>
      <w:r>
        <w:rPr>
          <w:rFonts w:ascii="Calibri" w:hAnsi="Calibri"/>
          <w:position w:val="0"/>
          <w:sz w:val="20"/>
          <w:sz w:val="20"/>
          <w:szCs w:val="20"/>
          <w:vertAlign w:val="baseline"/>
        </w:rPr>
        <w:t>Comunicar à CONTRATANTE, em tempo hábil e por escrito, a superveniência de fatos que venham a prejudicar o adequado fornecimento dos bens, de modo a se viabilizar a correção da situação apresentada;</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X. </w:t>
      </w:r>
      <w:r>
        <w:rPr>
          <w:rFonts w:ascii="Calibri" w:hAnsi="Calibri"/>
          <w:position w:val="0"/>
          <w:sz w:val="20"/>
          <w:sz w:val="20"/>
          <w:szCs w:val="20"/>
          <w:vertAlign w:val="baseline"/>
        </w:rPr>
        <w:t>Designar preposto para representá-la perante a CONTRATANTE sempre que for necessário, indicando o respectivo telefone e e-mail para futuros contatos;</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XI. </w:t>
      </w:r>
      <w:r>
        <w:rPr>
          <w:rFonts w:ascii="Calibri" w:hAnsi="Calibri"/>
          <w:position w:val="0"/>
          <w:sz w:val="20"/>
          <w:sz w:val="20"/>
          <w:szCs w:val="20"/>
          <w:vertAlign w:val="baseline"/>
        </w:rPr>
        <w:t>Prestar os necessários esclarecimentos sobre a execução do objeto contratual solicitados pela CONTRATANTE, no prazo máximo de 05 (cinco) dias úteis após o recebimento da solicitação;</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XII. </w:t>
      </w:r>
      <w:r>
        <w:rPr>
          <w:rFonts w:ascii="Calibri" w:hAnsi="Calibri"/>
          <w:position w:val="0"/>
          <w:sz w:val="20"/>
          <w:sz w:val="20"/>
          <w:szCs w:val="20"/>
          <w:vertAlign w:val="baseline"/>
        </w:rPr>
        <w:t>Enviar sem ônus, no prazo assinalado pelo fiscal, amostra para análise de aceitabilidade dos produtos quanto à satisfação de uso por parte do seu corpo funcional, se houver solicitação da CONTRATANTE;</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XIII. </w:t>
      </w:r>
      <w:r>
        <w:rPr>
          <w:rFonts w:ascii="Calibri" w:hAnsi="Calibri"/>
          <w:position w:val="0"/>
          <w:sz w:val="20"/>
          <w:sz w:val="20"/>
          <w:szCs w:val="20"/>
          <w:vertAlign w:val="baseline"/>
        </w:rPr>
        <w:t>Responsabilizar-se pelos encargos trabalhistas, previdenciários, fiscais e comerciais resultantes da execução do objeto, cuja inadimplência não transfere a responsabilidade à CONTRATANTE e não poderá onerar o objeto do CONTRATO, sendo que eventual pessoal alocado ao CONTRATO não terá qualquer vínculo empregatício com a CONTRATANTE;</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XIV. </w:t>
      </w:r>
      <w:r>
        <w:rPr>
          <w:rFonts w:ascii="Calibri" w:hAnsi="Calibri"/>
          <w:position w:val="0"/>
          <w:sz w:val="20"/>
          <w:sz w:val="20"/>
          <w:szCs w:val="20"/>
          <w:vertAlign w:val="baseline"/>
        </w:rPr>
        <w:t>Emitir documento fiscal com a discriminação expressa do percentual de isenção do ICMS, quando se tratar de operação abrangida pelo art. 63 do Anexo 7 do Decreto Estadual nº 44.650/17 (Convênio ICMS 73/04);</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XV. </w:t>
      </w:r>
      <w:r>
        <w:rPr>
          <w:rFonts w:ascii="Calibri" w:hAnsi="Calibri"/>
          <w:position w:val="0"/>
          <w:sz w:val="20"/>
          <w:sz w:val="20"/>
          <w:szCs w:val="20"/>
          <w:vertAlign w:val="baseline"/>
        </w:rPr>
        <w:t>Manter, durante o prazo de vigência do CONTRATO, todas as condições de habilitação e qualificação exigidas na licitação, inclusive sua inscrição no CADFOR-PE;</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XVI. </w:t>
      </w:r>
      <w:r>
        <w:rPr>
          <w:rFonts w:ascii="Calibri" w:hAnsi="Calibri"/>
          <w:position w:val="0"/>
          <w:sz w:val="20"/>
          <w:sz w:val="20"/>
          <w:szCs w:val="20"/>
          <w:vertAlign w:val="baseline"/>
        </w:rPr>
        <w:t>Comprovar, quando for o caso, no início da execução contratual e sempre que solicitado pelo fiscal, a reserva de cargos prevista em lei para pessoa com deficiência, para reabilitado da Previdência Social e para aprendiz, durante toda a vigência do CONTRATO, com a indicação dos empregados que preencheram as referidas vagas;</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XVII. </w:t>
      </w:r>
      <w:r>
        <w:rPr>
          <w:rFonts w:ascii="Calibri" w:hAnsi="Calibri"/>
          <w:position w:val="0"/>
          <w:sz w:val="20"/>
          <w:sz w:val="20"/>
          <w:szCs w:val="20"/>
          <w:vertAlign w:val="baseline"/>
        </w:rPr>
        <w:t>Guardar sigilo sobre todas as informações obtidas em decorrência do cumprimento do CONTRATO e cumprir a Lei nº 13.709, de 14 de agosto de 2018 (LGPD), quanto a todos os dados pessoais a que tenha acesso em razão do certame ou do contrato administrativo, independentemente de declaração ou de aceitação expressa;</w:t>
      </w:r>
    </w:p>
    <w:p>
      <w:pPr>
        <w:pStyle w:val="BodyText"/>
        <w:spacing w:before="120" w:after="120"/>
        <w:ind w:hanging="1" w:left="119" w:right="120"/>
        <w:rPr>
          <w:rFonts w:ascii="Calibri" w:hAnsi="Calibri"/>
          <w:position w:val="0"/>
          <w:sz w:val="20"/>
          <w:sz w:val="20"/>
          <w:szCs w:val="20"/>
          <w:vertAlign w:val="baseline"/>
        </w:rPr>
      </w:pPr>
      <w:r>
        <w:rPr>
          <w:rFonts w:ascii="Calibri" w:hAnsi="Calibri"/>
          <w:b/>
          <w:position w:val="0"/>
          <w:sz w:val="20"/>
          <w:sz w:val="20"/>
          <w:szCs w:val="20"/>
          <w:vertAlign w:val="baseline"/>
        </w:rPr>
        <w:t xml:space="preserve">XVIII. </w:t>
      </w:r>
      <w:r>
        <w:rPr>
          <w:rFonts w:ascii="Calibri" w:hAnsi="Calibri"/>
          <w:position w:val="0"/>
          <w:sz w:val="20"/>
          <w:sz w:val="20"/>
          <w:szCs w:val="20"/>
          <w:vertAlign w:val="baseline"/>
        </w:rPr>
        <w:t>Comunicar à CONTRATANTE, no prazo máximo de 05 (cinco) dias úteis, qualquer alteração no Contrato Social ou no endereço comercial;</w:t>
      </w:r>
    </w:p>
    <w:p>
      <w:pPr>
        <w:pStyle w:val="BodyText"/>
        <w:spacing w:before="120" w:after="120"/>
        <w:ind w:hanging="1" w:left="119" w:right="120"/>
        <w:rPr>
          <w:rFonts w:ascii="Calibri" w:hAnsi="Calibri"/>
          <w:position w:val="0"/>
          <w:sz w:val="20"/>
          <w:sz w:val="20"/>
          <w:szCs w:val="20"/>
          <w:vertAlign w:val="baseline"/>
        </w:rPr>
      </w:pPr>
      <w:r>
        <w:rPr>
          <w:rFonts w:ascii="Calibri" w:hAnsi="Calibri"/>
          <w:position w:val="0"/>
          <w:sz w:val="20"/>
          <w:sz w:val="20"/>
          <w:szCs w:val="20"/>
          <w:vertAlign w:val="baseline"/>
        </w:rPr>
      </w:r>
    </w:p>
    <w:p>
      <w:pPr>
        <w:pStyle w:val="BodyText"/>
        <w:spacing w:before="120" w:after="120"/>
        <w:ind w:hanging="1" w:left="119" w:right="120"/>
        <w:jc w:val="both"/>
        <w:rPr>
          <w:rFonts w:ascii="Calibri" w:hAnsi="Calibri"/>
          <w:position w:val="0"/>
          <w:sz w:val="20"/>
          <w:sz w:val="20"/>
          <w:szCs w:val="20"/>
          <w:vertAlign w:val="baseline"/>
        </w:rPr>
      </w:pPr>
      <w:r>
        <w:rPr>
          <w:rFonts w:ascii="Calibri" w:hAnsi="Calibri"/>
          <w:b/>
          <w:position w:val="0"/>
          <w:sz w:val="20"/>
          <w:sz w:val="20"/>
          <w:szCs w:val="20"/>
          <w:vertAlign w:val="baseline"/>
        </w:rPr>
        <w:t>7.4 MODELO DE GESTÃO DO CONTRATO</w:t>
      </w:r>
    </w:p>
    <w:p>
      <w:pPr>
        <w:pStyle w:val="BodyText"/>
        <w:spacing w:before="120" w:after="120"/>
        <w:ind w:hanging="1" w:left="119" w:right="120"/>
        <w:jc w:val="both"/>
        <w:rPr>
          <w:highlight w:val="none"/>
          <w:shd w:fill="auto" w:val="clear"/>
        </w:rPr>
      </w:pPr>
      <w:r>
        <w:rPr>
          <w:rFonts w:ascii="Calibri" w:hAnsi="Calibri"/>
          <w:b/>
          <w:position w:val="0"/>
          <w:sz w:val="20"/>
          <w:sz w:val="20"/>
          <w:szCs w:val="20"/>
          <w:shd w:fill="auto" w:val="clear"/>
          <w:vertAlign w:val="baseline"/>
        </w:rPr>
        <w:t xml:space="preserve">7.4.1 </w:t>
      </w:r>
      <w:r>
        <w:rPr>
          <w:rFonts w:ascii="Calibri" w:hAnsi="Calibri"/>
          <w:position w:val="0"/>
          <w:sz w:val="20"/>
          <w:sz w:val="20"/>
          <w:szCs w:val="20"/>
          <w:shd w:fill="auto" w:val="clear"/>
          <w:vertAlign w:val="baseline"/>
        </w:rPr>
        <w:t>A execução contratual será acompanhada e fiscalizada pelo órgão Contratante, devendo a CONTRATADA fornecer todas as informações solicitadas no prazo máximo de 05 (cinco) dias úteis após o recebimento da solicitação.</w:t>
      </w:r>
    </w:p>
    <w:p>
      <w:pPr>
        <w:pStyle w:val="BodyText"/>
        <w:spacing w:before="120" w:after="120"/>
        <w:ind w:hanging="1" w:left="119" w:right="120"/>
        <w:jc w:val="both"/>
        <w:rPr/>
      </w:pPr>
      <w:r>
        <w:rPr>
          <w:rStyle w:val="Strong"/>
          <w:rFonts w:ascii="Calibri" w:hAnsi="Calibri"/>
          <w:position w:val="0"/>
          <w:sz w:val="20"/>
          <w:sz w:val="20"/>
          <w:szCs w:val="20"/>
          <w:shd w:fill="auto" w:val="clear"/>
          <w:vertAlign w:val="baseline"/>
        </w:rPr>
        <w:t xml:space="preserve">7.4.2 </w:t>
      </w:r>
      <w:r>
        <w:rPr>
          <w:rFonts w:ascii="Calibri" w:hAnsi="Calibri"/>
          <w:position w:val="0"/>
          <w:sz w:val="20"/>
          <w:sz w:val="20"/>
          <w:szCs w:val="20"/>
          <w:shd w:fill="auto" w:val="clear"/>
          <w:vertAlign w:val="baseline"/>
        </w:rPr>
        <w:t>As obrigações dos agentes responsáveis pela gestão e fiscalização da presente contratação estão detalhadas no Decreto Estadual nº 51.651/2021.</w:t>
      </w:r>
    </w:p>
    <w:p>
      <w:pPr>
        <w:pStyle w:val="BodyText"/>
        <w:spacing w:before="120" w:after="120"/>
        <w:ind w:hanging="1" w:left="119" w:right="120"/>
        <w:jc w:val="both"/>
        <w:rPr/>
      </w:pPr>
      <w:r>
        <w:rPr>
          <w:rStyle w:val="Strong"/>
          <w:rFonts w:ascii="Calibri" w:hAnsi="Calibri"/>
          <w:position w:val="0"/>
          <w:sz w:val="20"/>
          <w:sz w:val="20"/>
          <w:szCs w:val="20"/>
          <w:shd w:fill="auto" w:val="clear"/>
          <w:vertAlign w:val="baseline"/>
        </w:rPr>
        <w:t xml:space="preserve">7.4.3 </w:t>
      </w:r>
      <w:r>
        <w:rPr>
          <w:rFonts w:ascii="Calibri" w:hAnsi="Calibri"/>
          <w:position w:val="0"/>
          <w:sz w:val="20"/>
          <w:sz w:val="20"/>
          <w:szCs w:val="20"/>
          <w:shd w:fill="auto" w:val="clear"/>
          <w:vertAlign w:val="baseline"/>
        </w:rPr>
        <w:t>A comunicação entre a Contratante e a Contratada se dará por meio do seguinte e-mail: almoxarifado.rec@noronha.pe.gov.br, sem prejuízo de outros meios disponíveis.</w:t>
      </w:r>
    </w:p>
    <w:p>
      <w:pPr>
        <w:pStyle w:val="BodyText"/>
        <w:spacing w:before="120" w:after="120"/>
        <w:ind w:hanging="1" w:left="119" w:right="120"/>
        <w:jc w:val="both"/>
        <w:rPr/>
      </w:pPr>
      <w:r>
        <w:rPr>
          <w:rStyle w:val="Strong"/>
          <w:rFonts w:ascii="Calibri" w:hAnsi="Calibri"/>
          <w:position w:val="0"/>
          <w:sz w:val="20"/>
          <w:sz w:val="20"/>
          <w:szCs w:val="20"/>
          <w:shd w:fill="auto" w:val="clear"/>
          <w:vertAlign w:val="baseline"/>
        </w:rPr>
        <w:t xml:space="preserve">7.4.4 </w:t>
      </w:r>
      <w:r>
        <w:rPr>
          <w:rFonts w:ascii="Calibri" w:hAnsi="Calibri"/>
          <w:position w:val="0"/>
          <w:sz w:val="20"/>
          <w:sz w:val="20"/>
          <w:szCs w:val="20"/>
          <w:shd w:fill="auto" w:val="clear"/>
          <w:vertAlign w:val="baseline"/>
        </w:rPr>
        <w:t>A contratada deverá apresentar a Nota Fiscal ou fatura para atesto da Administração no seguinte endereço: Av. Rio Capibaribe, 147 - São José, Recife - PE, 50020-080, setor almoxarifado.</w:t>
      </w:r>
    </w:p>
    <w:p>
      <w:pPr>
        <w:pStyle w:val="BodyText"/>
        <w:spacing w:before="120" w:after="120"/>
        <w:ind w:hanging="1" w:left="119" w:right="120"/>
        <w:jc w:val="both"/>
        <w:rPr/>
      </w:pPr>
      <w:r>
        <w:rPr>
          <w:rStyle w:val="Strong"/>
          <w:rFonts w:ascii="Calibri" w:hAnsi="Calibri"/>
          <w:position w:val="0"/>
          <w:sz w:val="20"/>
          <w:sz w:val="20"/>
          <w:szCs w:val="20"/>
          <w:shd w:fill="auto" w:val="clear"/>
          <w:vertAlign w:val="baseline"/>
        </w:rPr>
        <w:t xml:space="preserve">7.4.5 </w:t>
      </w:r>
      <w:r>
        <w:rPr>
          <w:rFonts w:ascii="Calibri" w:hAnsi="Calibri"/>
          <w:position w:val="0"/>
          <w:sz w:val="20"/>
          <w:sz w:val="20"/>
          <w:szCs w:val="20"/>
          <w:shd w:fill="auto" w:val="clear"/>
          <w:vertAlign w:val="baseline"/>
        </w:rPr>
        <w:t>A Gestão do contrato ficará a cargo do:</w:t>
      </w:r>
    </w:p>
    <w:p>
      <w:pPr>
        <w:pStyle w:val="ListParagraph"/>
        <w:widowControl/>
        <w:numPr>
          <w:ilvl w:val="0"/>
          <w:numId w:val="0"/>
        </w:numPr>
        <w:tabs>
          <w:tab w:val="clear" w:pos="720"/>
          <w:tab w:val="left" w:pos="426" w:leader="none"/>
        </w:tabs>
        <w:suppressAutoHyphens w:val="true"/>
        <w:bidi w:val="0"/>
        <w:spacing w:before="0" w:after="0"/>
        <w:ind w:hanging="0" w:left="113" w:right="0"/>
        <w:contextualSpacing/>
        <w:jc w:val="both"/>
        <w:rPr>
          <w:rFonts w:ascii="Calibri" w:hAnsi="Calibri" w:eastAsia="Franklin Gothic Book" w:cs="Calibri"/>
          <w:color w:val="000000"/>
          <w:kern w:val="0"/>
          <w:sz w:val="20"/>
          <w:szCs w:val="20"/>
          <w:highlight w:val="none"/>
          <w:shd w:fill="auto" w:val="clear"/>
          <w:lang w:val="pt-BR" w:eastAsia="en-US" w:bidi="ar-SA"/>
        </w:rPr>
      </w:pPr>
      <w:r>
        <w:rPr>
          <w:rFonts w:eastAsia="Franklin Gothic Book" w:cs="Calibri" w:ascii="Calibri" w:hAnsi="Calibri"/>
          <w:color w:val="000000"/>
          <w:kern w:val="0"/>
          <w:position w:val="-1"/>
          <w:sz w:val="20"/>
          <w:szCs w:val="20"/>
          <w:shd w:fill="auto" w:val="clear"/>
          <w:lang w:val="pt-BR" w:eastAsia="en-US" w:bidi="ar-SA"/>
        </w:rPr>
        <w:t>Nome: Fernando José de Araújo Coutinho Júnior</w:t>
      </w:r>
    </w:p>
    <w:p>
      <w:pPr>
        <w:pStyle w:val="ListParagraph"/>
        <w:widowControl/>
        <w:numPr>
          <w:ilvl w:val="0"/>
          <w:numId w:val="0"/>
        </w:numPr>
        <w:tabs>
          <w:tab w:val="clear" w:pos="720"/>
          <w:tab w:val="left" w:pos="426" w:leader="none"/>
        </w:tabs>
        <w:suppressAutoHyphens w:val="true"/>
        <w:bidi w:val="0"/>
        <w:spacing w:before="0" w:after="0"/>
        <w:ind w:hanging="0" w:left="113" w:right="0"/>
        <w:contextualSpacing/>
        <w:jc w:val="both"/>
        <w:rPr>
          <w:rFonts w:ascii="Calibri" w:hAnsi="Calibri" w:eastAsia="Franklin Gothic Book" w:cs="Calibri"/>
          <w:color w:val="000000"/>
          <w:kern w:val="0"/>
          <w:sz w:val="20"/>
          <w:szCs w:val="20"/>
          <w:highlight w:val="none"/>
          <w:shd w:fill="auto" w:val="clear"/>
          <w:lang w:val="pt-BR" w:eastAsia="en-US" w:bidi="ar-SA"/>
        </w:rPr>
      </w:pPr>
      <w:r>
        <w:rPr>
          <w:rFonts w:eastAsia="Franklin Gothic Book" w:cs="Calibri" w:ascii="Calibri" w:hAnsi="Calibri"/>
          <w:color w:val="000000"/>
          <w:kern w:val="0"/>
          <w:position w:val="-1"/>
          <w:sz w:val="20"/>
          <w:szCs w:val="20"/>
          <w:shd w:fill="auto" w:val="clear"/>
          <w:lang w:val="pt-BR" w:eastAsia="en-US" w:bidi="ar-SA"/>
        </w:rPr>
        <w:t>Matrícula: 009536-2</w:t>
      </w:r>
    </w:p>
    <w:p>
      <w:pPr>
        <w:pStyle w:val="ListParagraph"/>
        <w:widowControl/>
        <w:numPr>
          <w:ilvl w:val="0"/>
          <w:numId w:val="0"/>
        </w:numPr>
        <w:tabs>
          <w:tab w:val="clear" w:pos="720"/>
          <w:tab w:val="left" w:pos="426" w:leader="none"/>
        </w:tabs>
        <w:suppressAutoHyphens w:val="true"/>
        <w:bidi w:val="0"/>
        <w:spacing w:before="0" w:after="0"/>
        <w:ind w:hanging="0" w:left="113" w:right="0"/>
        <w:contextualSpacing/>
        <w:jc w:val="both"/>
        <w:rPr/>
      </w:pPr>
      <w:r>
        <w:rPr>
          <w:rFonts w:eastAsia="Franklin Gothic Book" w:cs="Calibri" w:ascii="Calibri" w:hAnsi="Calibri"/>
          <w:color w:val="000000"/>
          <w:kern w:val="0"/>
          <w:position w:val="-1"/>
          <w:sz w:val="20"/>
          <w:szCs w:val="20"/>
          <w:shd w:fill="auto" w:val="clear"/>
          <w:lang w:val="pt-BR" w:eastAsia="en-US" w:bidi="ar-SA"/>
        </w:rPr>
        <w:t xml:space="preserve">E-mail: </w:t>
      </w:r>
      <w:r>
        <w:rPr>
          <w:rStyle w:val="Hyperlink"/>
          <w:rFonts w:eastAsia="Franklin Gothic Book" w:cs="Calibri" w:ascii="Calibri" w:hAnsi="Calibri"/>
          <w:color w:val="000000"/>
          <w:kern w:val="0"/>
          <w:position w:val="-1"/>
          <w:sz w:val="20"/>
          <w:szCs w:val="20"/>
          <w:shd w:fill="auto" w:val="clear"/>
          <w:lang w:val="pt-BR" w:eastAsia="en-US" w:bidi="ar-SA"/>
        </w:rPr>
        <w:t>fernando.coutinhojr@noronha.pe.gov.br</w:t>
      </w:r>
    </w:p>
    <w:p>
      <w:pPr>
        <w:pStyle w:val="ListParagraph"/>
        <w:widowControl/>
        <w:numPr>
          <w:ilvl w:val="0"/>
          <w:numId w:val="0"/>
        </w:numPr>
        <w:tabs>
          <w:tab w:val="clear" w:pos="720"/>
          <w:tab w:val="left" w:pos="426" w:leader="none"/>
        </w:tabs>
        <w:suppressAutoHyphens w:val="true"/>
        <w:bidi w:val="0"/>
        <w:spacing w:before="0" w:after="0"/>
        <w:ind w:hanging="0" w:left="113" w:right="0"/>
        <w:contextualSpacing/>
        <w:jc w:val="both"/>
        <w:rPr>
          <w:rFonts w:ascii="Calibri" w:hAnsi="Calibri" w:eastAsia="Franklin Gothic Book" w:cs="Calibri"/>
          <w:color w:val="000000"/>
          <w:kern w:val="0"/>
          <w:sz w:val="20"/>
          <w:szCs w:val="20"/>
          <w:highlight w:val="none"/>
          <w:shd w:fill="auto" w:val="clear"/>
          <w:lang w:val="pt-BR" w:eastAsia="en-US" w:bidi="ar-SA"/>
        </w:rPr>
      </w:pPr>
      <w:r>
        <w:rPr>
          <w:rFonts w:eastAsia="Franklin Gothic Book" w:cs="Calibri" w:ascii="Calibri" w:hAnsi="Calibri"/>
          <w:color w:val="000000"/>
          <w:kern w:val="0"/>
          <w:position w:val="-1"/>
          <w:sz w:val="20"/>
          <w:szCs w:val="20"/>
          <w:shd w:fill="auto" w:val="clear"/>
          <w:lang w:val="pt-BR" w:eastAsia="en-US" w:bidi="ar-SA"/>
        </w:rPr>
        <w:t xml:space="preserve">Fone: 81 31829659 </w:t>
      </w:r>
    </w:p>
    <w:p>
      <w:pPr>
        <w:pStyle w:val="BodyText"/>
        <w:spacing w:before="120" w:after="120"/>
        <w:ind w:hanging="1" w:left="119" w:right="120"/>
        <w:jc w:val="both"/>
        <w:rPr/>
      </w:pPr>
      <w:r>
        <w:rPr>
          <w:rStyle w:val="Strong"/>
          <w:rFonts w:ascii="Calibri" w:hAnsi="Calibri"/>
          <w:position w:val="0"/>
          <w:sz w:val="20"/>
          <w:sz w:val="20"/>
          <w:szCs w:val="20"/>
          <w:shd w:fill="auto" w:val="clear"/>
          <w:vertAlign w:val="baseline"/>
        </w:rPr>
        <w:t xml:space="preserve">7.4.6 </w:t>
      </w:r>
      <w:r>
        <w:rPr>
          <w:rFonts w:ascii="Calibri" w:hAnsi="Calibri"/>
          <w:position w:val="0"/>
          <w:sz w:val="20"/>
          <w:sz w:val="20"/>
          <w:szCs w:val="20"/>
          <w:shd w:fill="auto" w:val="clear"/>
          <w:vertAlign w:val="baseline"/>
        </w:rPr>
        <w:t>A Fiscalização do contrato ficará a cargo do:</w:t>
      </w:r>
    </w:p>
    <w:p>
      <w:pPr>
        <w:pStyle w:val="ListParagraph"/>
        <w:widowControl/>
        <w:numPr>
          <w:ilvl w:val="0"/>
          <w:numId w:val="0"/>
        </w:numPr>
        <w:tabs>
          <w:tab w:val="clear" w:pos="720"/>
          <w:tab w:val="left" w:pos="426" w:leader="none"/>
        </w:tabs>
        <w:suppressAutoHyphens w:val="true"/>
        <w:bidi w:val="0"/>
        <w:spacing w:before="0" w:after="0"/>
        <w:ind w:hanging="0" w:left="113" w:right="0"/>
        <w:contextualSpacing/>
        <w:jc w:val="both"/>
        <w:rPr>
          <w:rFonts w:ascii="Calibri" w:hAnsi="Calibri" w:eastAsia="Franklin Gothic Book" w:cs="Calibri"/>
          <w:color w:val="000000"/>
          <w:kern w:val="0"/>
          <w:sz w:val="20"/>
          <w:szCs w:val="20"/>
          <w:shd w:fill="auto" w:val="clear"/>
          <w:lang w:val="pt-BR" w:eastAsia="en-US" w:bidi="ar-SA"/>
        </w:rPr>
      </w:pPr>
      <w:r>
        <w:rPr>
          <w:rFonts w:eastAsia="Franklin Gothic Book" w:cs="Calibri" w:ascii="Calibri" w:hAnsi="Calibri"/>
          <w:color w:val="000000"/>
          <w:kern w:val="0"/>
          <w:position w:val="-1"/>
          <w:sz w:val="20"/>
          <w:szCs w:val="20"/>
          <w:shd w:fill="auto" w:val="clear"/>
          <w:lang w:val="pt-BR" w:eastAsia="en-US" w:bidi="ar-SA"/>
        </w:rPr>
        <w:t>Nome: Márcio André da Silva</w:t>
      </w:r>
    </w:p>
    <w:p>
      <w:pPr>
        <w:pStyle w:val="ListParagraph"/>
        <w:widowControl/>
        <w:numPr>
          <w:ilvl w:val="0"/>
          <w:numId w:val="0"/>
        </w:numPr>
        <w:tabs>
          <w:tab w:val="clear" w:pos="720"/>
          <w:tab w:val="left" w:pos="426" w:leader="none"/>
        </w:tabs>
        <w:suppressAutoHyphens w:val="true"/>
        <w:bidi w:val="0"/>
        <w:spacing w:before="0" w:after="0"/>
        <w:ind w:hanging="0" w:left="113" w:right="0"/>
        <w:contextualSpacing/>
        <w:jc w:val="both"/>
        <w:rPr>
          <w:rFonts w:ascii="Calibri" w:hAnsi="Calibri" w:eastAsia="Franklin Gothic Book" w:cs="Calibri"/>
          <w:color w:val="000000"/>
          <w:kern w:val="0"/>
          <w:sz w:val="20"/>
          <w:szCs w:val="20"/>
          <w:shd w:fill="auto" w:val="clear"/>
          <w:lang w:val="pt-BR" w:eastAsia="en-US" w:bidi="ar-SA"/>
        </w:rPr>
      </w:pPr>
      <w:r>
        <w:rPr>
          <w:rFonts w:eastAsia="Franklin Gothic Book" w:cs="Calibri" w:ascii="Calibri" w:hAnsi="Calibri"/>
          <w:color w:val="000000"/>
          <w:kern w:val="0"/>
          <w:position w:val="-1"/>
          <w:sz w:val="20"/>
          <w:szCs w:val="20"/>
          <w:shd w:fill="auto" w:val="clear"/>
          <w:lang w:val="pt-BR" w:eastAsia="en-US" w:bidi="ar-SA"/>
        </w:rPr>
        <w:t>Matrícula: 009537-0</w:t>
      </w:r>
    </w:p>
    <w:p>
      <w:pPr>
        <w:pStyle w:val="ListParagraph"/>
        <w:widowControl/>
        <w:numPr>
          <w:ilvl w:val="0"/>
          <w:numId w:val="0"/>
        </w:numPr>
        <w:tabs>
          <w:tab w:val="clear" w:pos="720"/>
          <w:tab w:val="left" w:pos="426" w:leader="none"/>
        </w:tabs>
        <w:suppressAutoHyphens w:val="true"/>
        <w:bidi w:val="0"/>
        <w:spacing w:before="0" w:after="0"/>
        <w:ind w:hanging="0" w:left="113" w:right="0"/>
        <w:contextualSpacing/>
        <w:jc w:val="both"/>
        <w:rPr/>
      </w:pPr>
      <w:r>
        <w:rPr>
          <w:rFonts w:eastAsia="Franklin Gothic Book" w:cs="Calibri" w:ascii="Calibri" w:hAnsi="Calibri"/>
          <w:color w:val="000000"/>
          <w:kern w:val="0"/>
          <w:position w:val="-1"/>
          <w:sz w:val="20"/>
          <w:szCs w:val="20"/>
          <w:shd w:fill="auto" w:val="clear"/>
          <w:lang w:val="pt-BR" w:eastAsia="en-US" w:bidi="ar-SA"/>
        </w:rPr>
        <w:t xml:space="preserve">E-mail: </w:t>
      </w:r>
      <w:hyperlink r:id="rId2">
        <w:r>
          <w:rPr>
            <w:rStyle w:val="Hyperlink"/>
            <w:rFonts w:eastAsia="Franklin Gothic Book" w:cs="Calibri" w:ascii="Calibri" w:hAnsi="Calibri"/>
            <w:color w:val="000000"/>
            <w:kern w:val="0"/>
            <w:position w:val="-1"/>
            <w:sz w:val="20"/>
            <w:szCs w:val="20"/>
            <w:shd w:fill="auto" w:val="clear"/>
            <w:lang w:val="pt-BR" w:eastAsia="en-US" w:bidi="ar-SA"/>
          </w:rPr>
          <w:t>marcio.andre@noronha.pe.gov.br</w:t>
        </w:r>
      </w:hyperlink>
    </w:p>
    <w:p>
      <w:pPr>
        <w:pStyle w:val="ListParagraph"/>
        <w:widowControl/>
        <w:numPr>
          <w:ilvl w:val="0"/>
          <w:numId w:val="0"/>
        </w:numPr>
        <w:tabs>
          <w:tab w:val="clear" w:pos="720"/>
          <w:tab w:val="left" w:pos="426" w:leader="none"/>
        </w:tabs>
        <w:suppressAutoHyphens w:val="true"/>
        <w:bidi w:val="0"/>
        <w:spacing w:before="0" w:after="0"/>
        <w:ind w:hanging="0" w:left="113" w:right="0"/>
        <w:contextualSpacing/>
        <w:jc w:val="both"/>
        <w:rPr>
          <w:rFonts w:ascii="Calibri" w:hAnsi="Calibri" w:eastAsia="Franklin Gothic Book" w:cs="Calibri"/>
          <w:color w:val="000000"/>
          <w:kern w:val="0"/>
          <w:sz w:val="20"/>
          <w:szCs w:val="20"/>
          <w:shd w:fill="auto" w:val="clear"/>
          <w:lang w:val="pt-BR" w:eastAsia="en-US" w:bidi="ar-SA"/>
        </w:rPr>
      </w:pPr>
      <w:r>
        <w:rPr>
          <w:rFonts w:eastAsia="Franklin Gothic Book" w:cs="Calibri" w:ascii="Calibri" w:hAnsi="Calibri"/>
          <w:color w:val="000000"/>
          <w:kern w:val="0"/>
          <w:position w:val="-1"/>
          <w:sz w:val="20"/>
          <w:szCs w:val="20"/>
          <w:shd w:fill="auto" w:val="clear"/>
          <w:lang w:val="pt-BR" w:eastAsia="en-US" w:bidi="ar-SA"/>
        </w:rPr>
        <w:t>Fone: 81 3182965</w:t>
      </w:r>
    </w:p>
    <w:p>
      <w:pPr>
        <w:pStyle w:val="BodyText"/>
        <w:spacing w:before="120" w:after="120"/>
        <w:ind w:hanging="1" w:left="119" w:right="120"/>
        <w:jc w:val="both"/>
        <w:rPr>
          <w:rFonts w:ascii="Calibri" w:hAnsi="Calibri" w:eastAsia="Franklin Gothic Book" w:cs="Calibri"/>
          <w:color w:val="000000"/>
          <w:kern w:val="0"/>
          <w:sz w:val="20"/>
          <w:szCs w:val="20"/>
          <w:shd w:fill="auto" w:val="clear"/>
          <w:lang w:val="pt-BR" w:eastAsia="en-US" w:bidi="ar-SA"/>
        </w:rPr>
      </w:pPr>
      <w:r>
        <w:rPr>
          <w:rFonts w:eastAsia="Franklin Gothic Book" w:cs="Calibri" w:ascii="Calibri" w:hAnsi="Calibri"/>
          <w:color w:val="000000"/>
          <w:kern w:val="0"/>
          <w:sz w:val="20"/>
          <w:szCs w:val="20"/>
          <w:shd w:fill="auto" w:val="clear"/>
          <w:lang w:val="pt-BR" w:eastAsia="en-US" w:bidi="ar-SA"/>
        </w:rPr>
      </w:r>
    </w:p>
    <w:p>
      <w:pPr>
        <w:pStyle w:val="BodyText"/>
        <w:spacing w:before="120" w:after="120"/>
        <w:ind w:hanging="1" w:left="119" w:right="120"/>
        <w:jc w:val="both"/>
        <w:rPr>
          <w:rFonts w:ascii="Calibri" w:hAnsi="Calibri"/>
          <w:position w:val="0"/>
          <w:sz w:val="20"/>
          <w:sz w:val="20"/>
          <w:szCs w:val="20"/>
          <w:vertAlign w:val="baseline"/>
        </w:rPr>
      </w:pPr>
      <w:r>
        <w:rPr>
          <w:rFonts w:eastAsia="Calibri" w:cs="Calibri" w:ascii="Calibri" w:hAnsi="Calibri"/>
          <w:b/>
          <w:color w:val="000000"/>
          <w:position w:val="0"/>
          <w:sz w:val="20"/>
          <w:sz w:val="20"/>
          <w:szCs w:val="20"/>
          <w:vertAlign w:val="baseline"/>
        </w:rPr>
        <w:t>8 DOS CRITÉRIOS E PRAZOS PARA PAGAMENTO</w:t>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sz w:val="20"/>
          <w:szCs w:val="20"/>
        </w:rPr>
      </w:pPr>
      <w:r>
        <w:rPr>
          <w:rFonts w:cs="Calibri" w:ascii="Calibri" w:hAnsi="Calibri"/>
          <w:color w:val="000000"/>
          <w:sz w:val="20"/>
          <w:szCs w:val="20"/>
          <w:shd w:fill="auto" w:val="clear"/>
        </w:rPr>
        <w:t xml:space="preserve">8.1. O empenhamento somente será efetuado, e consequentemente paga a despesa, na forma prevista neste termo de referência, se a contratada estiver inscrita no CADASTRO DE FORNECEDORES DO ESTADO DE PERNAMBUCO – CADFOR. </w:t>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color w:val="000000"/>
          <w:sz w:val="20"/>
          <w:szCs w:val="20"/>
          <w:highlight w:val="none"/>
          <w:shd w:fill="auto" w:val="clear"/>
        </w:rPr>
      </w:pPr>
      <w:r>
        <w:rPr>
          <w:rFonts w:ascii="Calibri" w:hAnsi="Calibri"/>
          <w:color w:val="000000"/>
          <w:sz w:val="20"/>
          <w:szCs w:val="20"/>
          <w:shd w:fill="auto" w:val="clear"/>
        </w:rPr>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sz w:val="20"/>
          <w:szCs w:val="20"/>
        </w:rPr>
      </w:pPr>
      <w:r>
        <w:rPr>
          <w:rFonts w:cs="Calibri" w:ascii="Calibri" w:hAnsi="Calibri"/>
          <w:color w:val="000000"/>
          <w:sz w:val="20"/>
          <w:szCs w:val="20"/>
          <w:shd w:fill="auto" w:val="clear"/>
        </w:rPr>
        <w:t xml:space="preserve">8.2. O pagamento deverá ser efetuado à Contratada, em até 30 (trinta) dias corridos, à vista de termo de recebimento definitivo dos bens ou de recibo, conforme o caso, acompanhado da apresentação de Nota Fiscal / fatura discriminativa, devidamente atestada pelo servidor competente. </w:t>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cs="Calibri"/>
          <w:color w:val="000000"/>
          <w:sz w:val="20"/>
          <w:szCs w:val="20"/>
          <w:shd w:fill="auto" w:val="clear"/>
        </w:rPr>
      </w:pPr>
      <w:r>
        <w:rPr>
          <w:rFonts w:cs="Calibri" w:ascii="Calibri" w:hAnsi="Calibri"/>
          <w:color w:val="000000"/>
          <w:sz w:val="20"/>
          <w:szCs w:val="20"/>
          <w:shd w:fill="auto" w:val="clear"/>
        </w:rPr>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sz w:val="20"/>
          <w:szCs w:val="20"/>
        </w:rPr>
      </w:pPr>
      <w:r>
        <w:rPr>
          <w:rFonts w:cs="Calibri" w:ascii="Calibri" w:hAnsi="Calibri"/>
          <w:color w:val="000000"/>
          <w:sz w:val="20"/>
          <w:szCs w:val="20"/>
          <w:shd w:fill="auto" w:val="clear"/>
        </w:rPr>
        <w:t xml:space="preserve">8.3. Nos casos de eventuais atrasos de pagamento, verificados por culpa única e exclusiva da CONTRATANTE, fica convencionado que a taxa de atualização financeira, devida pela Contratante entre o prazo referido no item anterior e o correspondente ao efetivo adimplemento da parcela, será calculada mediante a aplicação da seguinte fórmula: </w:t>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cs="Calibri"/>
          <w:sz w:val="20"/>
          <w:szCs w:val="20"/>
        </w:rPr>
      </w:pPr>
      <w:r>
        <w:rPr>
          <w:rFonts w:cs="Calibri" w:ascii="Calibri" w:hAnsi="Calibri"/>
          <w:sz w:val="20"/>
          <w:szCs w:val="20"/>
        </w:rPr>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cs="Calibri"/>
          <w:sz w:val="20"/>
          <w:szCs w:val="20"/>
        </w:rPr>
      </w:pPr>
      <w:r>
        <w:rPr>
          <w:rFonts w:cs="Calibri" w:ascii="Calibri" w:hAnsi="Calibri"/>
          <w:sz w:val="20"/>
          <w:szCs w:val="20"/>
        </w:rPr>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sz w:val="20"/>
          <w:szCs w:val="20"/>
        </w:rPr>
      </w:pPr>
      <w:r>
        <w:rPr>
          <w:rFonts w:cs="Calibri" w:ascii="Calibri" w:hAnsi="Calibri"/>
          <w:color w:val="000000"/>
          <w:sz w:val="20"/>
          <w:szCs w:val="20"/>
          <w:shd w:fill="auto" w:val="clear"/>
        </w:rPr>
        <w:tab/>
        <w:tab/>
        <w:tab/>
        <w:tab/>
      </w:r>
      <w:r>
        <w:rPr>
          <w:rFonts w:cs="Calibri" w:ascii="Calibri" w:hAnsi="Calibri"/>
          <w:i/>
          <w:iCs/>
          <w:color w:val="000000"/>
          <w:sz w:val="20"/>
          <w:szCs w:val="20"/>
          <w:shd w:fill="auto" w:val="clear"/>
        </w:rPr>
        <w:tab/>
        <w:t xml:space="preserve">EM = I x N x VP </w:t>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cs="Calibri"/>
          <w:sz w:val="20"/>
          <w:szCs w:val="20"/>
        </w:rPr>
      </w:pPr>
      <w:r>
        <w:rPr>
          <w:rFonts w:cs="Calibri" w:ascii="Calibri" w:hAnsi="Calibri"/>
          <w:sz w:val="20"/>
          <w:szCs w:val="20"/>
        </w:rPr>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sz w:val="20"/>
          <w:szCs w:val="20"/>
        </w:rPr>
      </w:pPr>
      <w:r>
        <w:rPr>
          <w:rFonts w:cs="Calibri" w:ascii="Calibri" w:hAnsi="Calibri"/>
          <w:i/>
          <w:iCs/>
          <w:color w:val="000000"/>
          <w:sz w:val="20"/>
          <w:szCs w:val="20"/>
          <w:shd w:fill="auto" w:val="clear"/>
        </w:rPr>
        <w:t>Onde:</w:t>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sz w:val="20"/>
          <w:szCs w:val="20"/>
        </w:rPr>
      </w:pPr>
      <w:r>
        <w:rPr>
          <w:rFonts w:cs="Calibri" w:ascii="Calibri" w:hAnsi="Calibri"/>
          <w:i/>
          <w:iCs/>
          <w:color w:val="000000"/>
          <w:sz w:val="20"/>
          <w:szCs w:val="20"/>
          <w:shd w:fill="auto" w:val="clear"/>
        </w:rPr>
        <w:t xml:space="preserve"> </w:t>
      </w:r>
      <w:r>
        <w:rPr>
          <w:rFonts w:cs="Calibri" w:ascii="Calibri" w:hAnsi="Calibri"/>
          <w:i/>
          <w:iCs/>
          <w:color w:val="000000"/>
          <w:sz w:val="20"/>
          <w:szCs w:val="20"/>
          <w:shd w:fill="auto" w:val="clear"/>
        </w:rPr>
        <w:t>EM = Encargos Moratórios</w:t>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cs="Calibri"/>
          <w:sz w:val="20"/>
          <w:szCs w:val="20"/>
        </w:rPr>
      </w:pPr>
      <w:r>
        <w:rPr>
          <w:rFonts w:cs="Calibri" w:ascii="Calibri" w:hAnsi="Calibri"/>
          <w:sz w:val="20"/>
          <w:szCs w:val="20"/>
        </w:rPr>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sz w:val="20"/>
          <w:szCs w:val="20"/>
        </w:rPr>
      </w:pPr>
      <w:r>
        <w:rPr>
          <w:rFonts w:cs="Calibri" w:ascii="Calibri" w:hAnsi="Calibri"/>
          <w:i/>
          <w:iCs/>
          <w:color w:val="000000"/>
          <w:sz w:val="20"/>
          <w:szCs w:val="20"/>
          <w:shd w:fill="auto" w:val="clear"/>
        </w:rPr>
        <w:t xml:space="preserve"> </w:t>
      </w:r>
      <w:r>
        <w:rPr>
          <w:rFonts w:cs="Calibri" w:ascii="Calibri" w:hAnsi="Calibri"/>
          <w:i/>
          <w:iCs/>
          <w:color w:val="000000"/>
          <w:sz w:val="20"/>
          <w:szCs w:val="20"/>
          <w:shd w:fill="auto" w:val="clear"/>
        </w:rPr>
        <w:t>N = Número de dias entre a data prevista para pagamento e a do efetivo pagamento</w:t>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cs="Calibri"/>
          <w:sz w:val="20"/>
          <w:szCs w:val="20"/>
        </w:rPr>
      </w:pPr>
      <w:r>
        <w:rPr>
          <w:rFonts w:cs="Calibri" w:ascii="Calibri" w:hAnsi="Calibri"/>
          <w:sz w:val="20"/>
          <w:szCs w:val="20"/>
        </w:rPr>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sz w:val="20"/>
          <w:szCs w:val="20"/>
        </w:rPr>
      </w:pPr>
      <w:r>
        <w:rPr>
          <w:rFonts w:cs="Calibri" w:ascii="Calibri" w:hAnsi="Calibri"/>
          <w:i/>
          <w:iCs/>
          <w:color w:val="000000"/>
          <w:sz w:val="20"/>
          <w:szCs w:val="20"/>
          <w:shd w:fill="auto" w:val="clear"/>
        </w:rPr>
        <w:t xml:space="preserve"> </w:t>
      </w:r>
      <w:r>
        <w:rPr>
          <w:rFonts w:cs="Calibri" w:ascii="Calibri" w:hAnsi="Calibri"/>
          <w:i/>
          <w:iCs/>
          <w:color w:val="000000"/>
          <w:sz w:val="20"/>
          <w:szCs w:val="20"/>
          <w:shd w:fill="auto" w:val="clear"/>
        </w:rPr>
        <w:t xml:space="preserve">VP = Valor da parcela a ser paga </w:t>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cs="Calibri"/>
          <w:sz w:val="20"/>
          <w:szCs w:val="20"/>
        </w:rPr>
      </w:pPr>
      <w:r>
        <w:rPr>
          <w:rFonts w:cs="Calibri" w:ascii="Calibri" w:hAnsi="Calibri"/>
          <w:sz w:val="20"/>
          <w:szCs w:val="20"/>
        </w:rPr>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sz w:val="20"/>
          <w:szCs w:val="20"/>
        </w:rPr>
      </w:pPr>
      <w:r>
        <w:rPr>
          <w:rFonts w:cs="Calibri" w:ascii="Calibri" w:hAnsi="Calibri"/>
          <w:i/>
          <w:iCs/>
          <w:color w:val="000000"/>
          <w:sz w:val="20"/>
          <w:szCs w:val="20"/>
          <w:shd w:fill="auto" w:val="clear"/>
        </w:rPr>
        <w:t xml:space="preserve">I = Índice de atualização financeira. Assim apurado: I = (TX/100) </w:t>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cs="Calibri"/>
          <w:sz w:val="20"/>
          <w:szCs w:val="20"/>
        </w:rPr>
      </w:pPr>
      <w:r>
        <w:rPr>
          <w:rFonts w:cs="Calibri" w:ascii="Calibri" w:hAnsi="Calibri"/>
          <w:sz w:val="20"/>
          <w:szCs w:val="20"/>
        </w:rPr>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sz w:val="20"/>
          <w:szCs w:val="20"/>
        </w:rPr>
      </w:pPr>
      <w:r>
        <w:rPr>
          <w:rFonts w:cs="Calibri" w:ascii="Calibri" w:hAnsi="Calibri"/>
          <w:i/>
          <w:iCs/>
          <w:color w:val="000000"/>
          <w:sz w:val="20"/>
          <w:szCs w:val="20"/>
          <w:shd w:fill="auto" w:val="clear"/>
        </w:rPr>
        <w:t>365</w:t>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cs="Calibri"/>
          <w:sz w:val="20"/>
          <w:szCs w:val="20"/>
        </w:rPr>
      </w:pPr>
      <w:r>
        <w:rPr>
          <w:rFonts w:cs="Calibri" w:ascii="Calibri" w:hAnsi="Calibri"/>
          <w:sz w:val="20"/>
          <w:szCs w:val="20"/>
        </w:rPr>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sz w:val="20"/>
          <w:szCs w:val="20"/>
        </w:rPr>
      </w:pPr>
      <w:r>
        <w:rPr>
          <w:rFonts w:cs="Calibri" w:ascii="Calibri" w:hAnsi="Calibri"/>
          <w:i/>
          <w:iCs/>
          <w:color w:val="000000"/>
          <w:sz w:val="20"/>
          <w:szCs w:val="20"/>
          <w:shd w:fill="auto" w:val="clear"/>
        </w:rPr>
        <w:t xml:space="preserve"> </w:t>
      </w:r>
      <w:r>
        <w:rPr>
          <w:rFonts w:cs="Calibri" w:ascii="Calibri" w:hAnsi="Calibri"/>
          <w:i/>
          <w:iCs/>
          <w:color w:val="000000"/>
          <w:sz w:val="20"/>
          <w:szCs w:val="20"/>
          <w:shd w:fill="auto" w:val="clear"/>
        </w:rPr>
        <w:t xml:space="preserve">TX = Índice Nacional de Preços ao Consumidor Amplo – IPCA </w:t>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cs="Calibri"/>
          <w:sz w:val="20"/>
          <w:szCs w:val="20"/>
        </w:rPr>
      </w:pPr>
      <w:r>
        <w:rPr>
          <w:rFonts w:cs="Calibri" w:ascii="Calibri" w:hAnsi="Calibri"/>
          <w:sz w:val="20"/>
          <w:szCs w:val="20"/>
        </w:rPr>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cs="Calibri"/>
          <w:sz w:val="20"/>
          <w:szCs w:val="20"/>
        </w:rPr>
      </w:pPr>
      <w:r>
        <w:rPr>
          <w:rFonts w:cs="Calibri" w:ascii="Calibri" w:hAnsi="Calibri"/>
          <w:sz w:val="20"/>
          <w:szCs w:val="20"/>
        </w:rPr>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sz w:val="20"/>
          <w:szCs w:val="20"/>
        </w:rPr>
      </w:pPr>
      <w:r>
        <w:rPr>
          <w:rFonts w:cs="Calibri" w:ascii="Calibri" w:hAnsi="Calibri"/>
          <w:color w:val="000000"/>
          <w:sz w:val="20"/>
          <w:szCs w:val="20"/>
          <w:shd w:fill="auto" w:val="clear"/>
        </w:rPr>
        <w:t xml:space="preserve">8.4. A atualização financeira prevista nesta condição será incluída na Nota Fiscal/Fatura do mês seguinte ao da ocorrência. </w:t>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cs="Calibri"/>
          <w:sz w:val="20"/>
          <w:szCs w:val="20"/>
        </w:rPr>
      </w:pPr>
      <w:r>
        <w:rPr>
          <w:rFonts w:cs="Calibri" w:ascii="Calibri" w:hAnsi="Calibri"/>
          <w:sz w:val="20"/>
          <w:szCs w:val="20"/>
        </w:rPr>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sz w:val="20"/>
          <w:szCs w:val="20"/>
        </w:rPr>
      </w:pPr>
      <w:r>
        <w:rPr>
          <w:rFonts w:cs="Calibri" w:ascii="Calibri" w:hAnsi="Calibri"/>
          <w:color w:val="000000"/>
          <w:sz w:val="20"/>
          <w:szCs w:val="20"/>
          <w:shd w:fill="auto" w:val="clear"/>
        </w:rPr>
        <w:t xml:space="preserve">8.5. Nenhum pagamento será efetuado à Contratada, cuja situação junto ao Cadastro de Fornecedores do Estado de Pernambuco esteja irregular e enquanto pendente de liquidação ou qualquer obrigação financeira que lhe for imposta, em virtude de penalidade. </w:t>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sz w:val="20"/>
          <w:szCs w:val="20"/>
        </w:rPr>
      </w:pPr>
      <w:r>
        <w:rPr>
          <w:rFonts w:ascii="Calibri" w:hAnsi="Calibri"/>
          <w:sz w:val="20"/>
          <w:szCs w:val="20"/>
        </w:rPr>
      </w:r>
    </w:p>
    <w:p>
      <w:pPr>
        <w:pStyle w:val="ListParagraph"/>
        <w:widowControl/>
        <w:tabs>
          <w:tab w:val="clear" w:pos="720"/>
          <w:tab w:val="left" w:pos="426" w:leader="none"/>
        </w:tabs>
        <w:bidi w:val="0"/>
        <w:spacing w:lineRule="auto" w:line="276" w:before="0" w:after="0"/>
        <w:ind w:hanging="0" w:left="170" w:right="0"/>
        <w:contextualSpacing/>
        <w:jc w:val="both"/>
        <w:rPr>
          <w:rFonts w:ascii="Calibri" w:hAnsi="Calibri"/>
          <w:sz w:val="20"/>
          <w:szCs w:val="20"/>
        </w:rPr>
      </w:pPr>
      <w:r>
        <w:rPr>
          <w:rFonts w:cs="Calibri" w:ascii="Calibri" w:hAnsi="Calibri"/>
          <w:color w:val="000000"/>
          <w:sz w:val="20"/>
          <w:szCs w:val="20"/>
          <w:shd w:fill="auto" w:val="clear"/>
        </w:rPr>
        <w:t xml:space="preserve">8.6. A Contratada é responsável pelos pagamentos de quaisquer tributos, sejam eles sociais, trabalhistas, previdenciários, fiscais, comerciais ou de qualquer outra natureza resultantes da execução do contrato </w:t>
      </w:r>
    </w:p>
    <w:p>
      <w:pPr>
        <w:pStyle w:val="BodyText"/>
        <w:ind w:hanging="1" w:left="0" w:right="0"/>
        <w:rPr>
          <w:rFonts w:ascii="Calibri" w:hAnsi="Calibri"/>
          <w:sz w:val="20"/>
          <w:szCs w:val="20"/>
        </w:rPr>
      </w:pPr>
      <w:r>
        <w:rPr>
          <w:rFonts w:ascii="Calibri" w:hAnsi="Calibri"/>
          <w:sz w:val="20"/>
          <w:szCs w:val="20"/>
        </w:rPr>
        <w:t> </w:t>
      </w:r>
    </w:p>
    <w:p>
      <w:pPr>
        <w:pStyle w:val="BodyText"/>
        <w:spacing w:before="120" w:after="0"/>
        <w:ind w:hanging="1" w:left="119" w:right="135"/>
        <w:rPr>
          <w:rFonts w:ascii="Calibri" w:hAnsi="Calibri"/>
          <w:position w:val="0"/>
          <w:sz w:val="20"/>
          <w:sz w:val="20"/>
          <w:szCs w:val="20"/>
          <w:vertAlign w:val="baseline"/>
        </w:rPr>
      </w:pPr>
      <w:r>
        <w:rPr>
          <w:rFonts w:ascii="Calibri" w:hAnsi="Calibri"/>
          <w:b/>
          <w:position w:val="0"/>
          <w:sz w:val="20"/>
          <w:sz w:val="20"/>
          <w:szCs w:val="20"/>
          <w:vertAlign w:val="baseline"/>
        </w:rPr>
        <w:t>9 DAS SANÇÕES</w:t>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 xml:space="preserve">9.1. Comete infração administrativa, nos termos do art. 155 da Lei nº 14.133/2021, o PROPONENTE e o CONTRATADO que: </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 xml:space="preserve">9.1.1 Der causa à inexecução parcial do contrato; </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 xml:space="preserve">9.1.2 Der causa à inexecução parcial do contrato que cause grave dano à Administração, ao funcionamento dos serviços públicos ou ao interesse coletivo; </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9.1.3 Der causa à inexecução total do contrato;</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 xml:space="preserve">9.1.4 Deixar de entregar a documentação exigida para a dispensa; </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 xml:space="preserve">9.1.5 Não mantiver a proposta, salvo em decorrência de fato superveniente devidamente justificado; </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 xml:space="preserve">9.1.6 Não celebrar o contrato ou não entregar a documentação exigida para a contratação, quando convocado dentro do prazo de validade de sua proposta; </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 xml:space="preserve">9.1.7 Ensejar o retardamento da execução ou da entrega do objeto da dispensa sem motivo justificado; </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 xml:space="preserve">9.1.8 Apresentar declaração ou documentação falsa exigida para a dispensa ou prestar declaração falsa durante a dispensa ou a execução do contrato; </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 xml:space="preserve">9.1.9 Fraudar a dispensa ou praticar ato fraudulento na execução do contrato; </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9.1.10 Comportar-se de modo inidôneo ou cometer fraude de qualquer natureza;</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9.1.11 Considera-se comportamento inidôneo, entre outros, a declaração falsa quanto às condições de participação, quanto ao enquadramento como ME/EPP ou o conluio entre os fornecedores/prestadores, em qualquer momento da dispensa, mesmo após o encerramento da fase de lances.</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 xml:space="preserve">9.1.12 Praticar atos ilícitos com vistas a frustrar os objetivos da dispensa; </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9.1.13 Praticar ato lesivo previsto no art. 5º da Lei nº 12.846, de 1º de agosto de 2013.</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9.1.14 O PROPONENTE e o CONTRATADO que cometer qualquer das infrações discriminadas no subitem anterior ficarão sujeito, sem prejuízo da responsabilidade civil e criminal, às seguintes sanções:</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ab/>
        <w:tab/>
        <w:tab/>
        <w:t xml:space="preserve"> I. Advertência pela falta do subitem 9.1.1 desta contratação direta, quando não se justificar a </w:t>
        <w:tab/>
        <w:tab/>
        <w:t>imposição de penalidade mais grave;</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 xml:space="preserve"> </w:t>
      </w:r>
      <w:r>
        <w:rPr>
          <w:rFonts w:cs="Calibri" w:ascii="Calibri" w:hAnsi="Calibri"/>
          <w:b w:val="false"/>
          <w:bCs w:val="false"/>
          <w:color w:val="000000"/>
          <w:sz w:val="20"/>
          <w:szCs w:val="20"/>
          <w:shd w:fill="auto" w:val="clear"/>
        </w:rPr>
        <w:tab/>
        <w:tab/>
        <w:tab/>
        <w:t xml:space="preserve">II. Multa de 1% (um por cento) sobre o valor do(s) item(s) prejudicado(s) pela conduta do </w:t>
        <w:tab/>
        <w:tab/>
        <w:t>fornecedor/prestador, por qualquer das infrações dos subitens 9.1.1 a 9.1.12;</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ab/>
        <w:tab/>
        <w:tab/>
        <w:t xml:space="preserve"> III. Impedimento de licitar e contratar com o Estado de Pernambuco e descredenciamento do </w:t>
        <w:tab/>
        <w:tab/>
        <w:t xml:space="preserve">CADFORPE, pelo prazo máximo de 3 (três) anos, nos casos dos subitens 9.1.2 a 9.1.7, quando </w:t>
        <w:tab/>
        <w:tab/>
        <w:t xml:space="preserve">não se justificar a imposição de penalidade mais grave; </w:t>
      </w:r>
    </w:p>
    <w:p>
      <w:pPr>
        <w:pStyle w:val="Normal12"/>
        <w:spacing w:lineRule="auto" w:line="240" w:before="0" w:after="0"/>
        <w:ind w:hanging="426" w:left="426" w:right="142"/>
        <w:jc w:val="both"/>
        <w:rPr>
          <w:rFonts w:ascii="Calibri" w:hAnsi="Calibri" w:cs="Calibri"/>
          <w:sz w:val="20"/>
          <w:szCs w:val="20"/>
        </w:rPr>
      </w:pPr>
      <w:r>
        <w:rPr>
          <w:rFonts w:cs="Calibri" w:ascii="Calibri" w:hAnsi="Calibri"/>
          <w:sz w:val="20"/>
          <w:szCs w:val="20"/>
        </w:rPr>
      </w:r>
    </w:p>
    <w:p>
      <w:pPr>
        <w:pStyle w:val="Normal12"/>
        <w:spacing w:lineRule="auto" w:line="240" w:before="0" w:after="0"/>
        <w:ind w:hanging="426" w:left="426" w:right="142"/>
        <w:jc w:val="both"/>
        <w:rPr>
          <w:rFonts w:ascii="Calibri" w:hAnsi="Calibri"/>
          <w:sz w:val="20"/>
          <w:szCs w:val="20"/>
        </w:rPr>
      </w:pPr>
      <w:r>
        <w:rPr>
          <w:rFonts w:cs="Calibri" w:ascii="Calibri" w:hAnsi="Calibri"/>
          <w:b w:val="false"/>
          <w:bCs w:val="false"/>
          <w:color w:val="000000"/>
          <w:sz w:val="20"/>
          <w:szCs w:val="20"/>
          <w:shd w:fill="auto" w:val="clear"/>
        </w:rPr>
        <w:tab/>
        <w:tab/>
        <w:tab/>
        <w:t xml:space="preserve">IV. Declaração de inidoneidade para licitar ou contratar, que impedirá o responsável de licitar </w:t>
        <w:tab/>
        <w:tab/>
        <w:t xml:space="preserve">ou contratar no âmbito da Administração Pública direta e indireta de todos os entes </w:t>
        <w:tab/>
        <w:tab/>
        <w:tab/>
        <w:t xml:space="preserve">federativos, pelo </w:t>
      </w:r>
      <w:r>
        <w:rPr>
          <w:rFonts w:cs="Calibri" w:ascii="Calibri" w:hAnsi="Calibri"/>
          <w:b w:val="false"/>
          <w:bCs w:val="false"/>
          <w:color w:val="000000"/>
          <w:sz w:val="20"/>
          <w:szCs w:val="20"/>
        </w:rPr>
        <w:t xml:space="preserve">prazo mínimo de 3 (três) anos e máximo de 6 (seis) anos, nos casos dos </w:t>
        <w:tab/>
        <w:tab/>
        <w:t xml:space="preserve">subitens 9.1.8 a 9.1.12, bem como nos demais casos que justifiquem a imposição da </w:t>
        <w:tab/>
        <w:tab/>
        <w:tab/>
        <w:t xml:space="preserve">penalidade mais grave. </w:t>
      </w:r>
    </w:p>
    <w:p>
      <w:pPr>
        <w:pStyle w:val="Normal12"/>
        <w:spacing w:lineRule="auto" w:line="240" w:before="0" w:after="0"/>
        <w:ind w:hanging="426" w:left="426" w:right="142"/>
        <w:jc w:val="both"/>
        <w:rPr>
          <w:rFonts w:ascii="Calibri" w:hAnsi="Calibri" w:cs="Calibri"/>
          <w:b/>
          <w:bCs/>
          <w:color w:val="FF0000"/>
          <w:sz w:val="20"/>
          <w:szCs w:val="20"/>
        </w:rPr>
      </w:pPr>
      <w:r>
        <w:rPr>
          <w:rFonts w:cs="Calibri" w:ascii="Calibri" w:hAnsi="Calibri"/>
          <w:b/>
          <w:bCs/>
          <w:color w:val="FF0000"/>
          <w:sz w:val="20"/>
          <w:szCs w:val="20"/>
        </w:rPr>
      </w:r>
    </w:p>
    <w:p>
      <w:pPr>
        <w:pStyle w:val="Normal"/>
        <w:spacing w:lineRule="auto" w:line="276" w:before="120" w:after="120"/>
        <w:jc w:val="both"/>
        <w:rPr>
          <w:rFonts w:ascii="Calibri" w:hAnsi="Calibri"/>
          <w:sz w:val="20"/>
          <w:szCs w:val="20"/>
        </w:rPr>
      </w:pPr>
      <w:r>
        <w:rPr>
          <w:rFonts w:cs="Calibri" w:ascii="Calibri" w:hAnsi="Calibri"/>
          <w:sz w:val="20"/>
          <w:szCs w:val="20"/>
          <w:shd w:fill="auto" w:val="clear"/>
        </w:rPr>
        <w:t>9.2 Na aplicação das sanções serão considerados:</w:t>
      </w:r>
    </w:p>
    <w:p>
      <w:pPr>
        <w:pStyle w:val="Normal"/>
        <w:spacing w:lineRule="auto" w:line="276" w:before="120" w:after="120"/>
        <w:jc w:val="both"/>
        <w:rPr>
          <w:rFonts w:ascii="Calibri" w:hAnsi="Calibri"/>
          <w:sz w:val="20"/>
          <w:szCs w:val="20"/>
        </w:rPr>
      </w:pPr>
      <w:r>
        <w:rPr>
          <w:rFonts w:cs="Calibri" w:ascii="Calibri" w:hAnsi="Calibri"/>
          <w:sz w:val="20"/>
          <w:szCs w:val="20"/>
          <w:shd w:fill="auto" w:val="clear"/>
        </w:rPr>
        <w:t>9.2.1 A natureza e a gravidade da infração cometida;</w:t>
      </w:r>
    </w:p>
    <w:p>
      <w:pPr>
        <w:pStyle w:val="Normal"/>
        <w:spacing w:lineRule="auto" w:line="276" w:before="120" w:after="120"/>
        <w:jc w:val="both"/>
        <w:rPr>
          <w:rFonts w:ascii="Calibri" w:hAnsi="Calibri"/>
          <w:sz w:val="20"/>
          <w:szCs w:val="20"/>
        </w:rPr>
      </w:pPr>
      <w:r>
        <w:rPr>
          <w:rFonts w:cs="Calibri" w:ascii="Calibri" w:hAnsi="Calibri"/>
          <w:sz w:val="20"/>
          <w:szCs w:val="20"/>
          <w:shd w:fill="auto" w:val="clear"/>
        </w:rPr>
        <w:t>9.2.2 As peculiaridades do caso concreto;</w:t>
      </w:r>
    </w:p>
    <w:p>
      <w:pPr>
        <w:pStyle w:val="Normal"/>
        <w:spacing w:lineRule="auto" w:line="276" w:before="120" w:after="120"/>
        <w:jc w:val="both"/>
        <w:rPr>
          <w:rFonts w:ascii="Calibri" w:hAnsi="Calibri"/>
          <w:sz w:val="20"/>
          <w:szCs w:val="20"/>
        </w:rPr>
      </w:pPr>
      <w:r>
        <w:rPr>
          <w:rFonts w:cs="Calibri" w:ascii="Calibri" w:hAnsi="Calibri"/>
          <w:sz w:val="20"/>
          <w:szCs w:val="20"/>
          <w:shd w:fill="auto" w:val="clear"/>
        </w:rPr>
        <w:t>9.2.3 As circunstâncias agravantes ou atenuantes;</w:t>
      </w:r>
    </w:p>
    <w:p>
      <w:pPr>
        <w:pStyle w:val="Normal"/>
        <w:spacing w:lineRule="auto" w:line="276" w:before="120" w:after="120"/>
        <w:jc w:val="both"/>
        <w:rPr>
          <w:rFonts w:ascii="Calibri" w:hAnsi="Calibri"/>
          <w:sz w:val="20"/>
          <w:szCs w:val="20"/>
        </w:rPr>
      </w:pPr>
      <w:r>
        <w:rPr>
          <w:rFonts w:cs="Calibri" w:ascii="Calibri" w:hAnsi="Calibri"/>
          <w:sz w:val="20"/>
          <w:szCs w:val="20"/>
          <w:shd w:fill="auto" w:val="clear"/>
        </w:rPr>
        <w:t>9.2.4 Os danos que dela provierem para a Administração Pública;</w:t>
      </w:r>
    </w:p>
    <w:p>
      <w:pPr>
        <w:pStyle w:val="Normal"/>
        <w:spacing w:lineRule="auto" w:line="276" w:before="120" w:after="120"/>
        <w:jc w:val="both"/>
        <w:rPr>
          <w:rFonts w:ascii="Calibri" w:hAnsi="Calibri"/>
          <w:sz w:val="20"/>
          <w:szCs w:val="20"/>
        </w:rPr>
      </w:pPr>
      <w:r>
        <w:rPr>
          <w:rFonts w:cs="Calibri" w:ascii="Calibri" w:hAnsi="Calibri"/>
          <w:sz w:val="20"/>
          <w:szCs w:val="20"/>
          <w:shd w:fill="auto" w:val="clear"/>
        </w:rPr>
        <w:t>9.2.5 A implantação ou o aperfeiçoamento de programa de integridade, conforme normas e orientações dos órgãos de controle.</w:t>
      </w:r>
    </w:p>
    <w:p>
      <w:pPr>
        <w:pStyle w:val="Normal"/>
        <w:spacing w:lineRule="auto" w:line="276" w:before="120" w:after="120"/>
        <w:jc w:val="both"/>
        <w:rPr>
          <w:rFonts w:ascii="Calibri" w:hAnsi="Calibri"/>
          <w:sz w:val="20"/>
          <w:szCs w:val="20"/>
        </w:rPr>
      </w:pPr>
      <w:r>
        <w:rPr>
          <w:rFonts w:cs="Calibri" w:ascii="Calibri" w:hAnsi="Calibri"/>
          <w:sz w:val="20"/>
          <w:szCs w:val="20"/>
          <w:shd w:fill="auto" w:val="clear"/>
        </w:rPr>
        <w:t>9.3 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spacing w:lineRule="auto" w:line="276" w:before="120" w:after="120"/>
        <w:jc w:val="both"/>
        <w:rPr>
          <w:rFonts w:ascii="Calibri" w:hAnsi="Calibri"/>
          <w:sz w:val="20"/>
          <w:szCs w:val="20"/>
        </w:rPr>
      </w:pPr>
      <w:r>
        <w:rPr>
          <w:rFonts w:cs="Calibri" w:ascii="Calibri" w:hAnsi="Calibri"/>
          <w:sz w:val="20"/>
          <w:szCs w:val="20"/>
          <w:shd w:fill="auto" w:val="clear"/>
        </w:rPr>
        <w:t>9.4 A aplicação das sanções, em hipótese alguma, exime a obrigação de reparação integral do dano causado à Administração Pública.</w:t>
      </w:r>
    </w:p>
    <w:p>
      <w:pPr>
        <w:pStyle w:val="Normal"/>
        <w:spacing w:lineRule="auto" w:line="276" w:before="120" w:after="120"/>
        <w:jc w:val="both"/>
        <w:rPr>
          <w:rFonts w:ascii="Calibri" w:hAnsi="Calibri"/>
          <w:sz w:val="20"/>
          <w:szCs w:val="20"/>
        </w:rPr>
      </w:pPr>
      <w:r>
        <w:rPr>
          <w:rFonts w:cs="Calibri" w:ascii="Calibri" w:hAnsi="Calibri"/>
          <w:sz w:val="20"/>
          <w:szCs w:val="20"/>
          <w:shd w:fill="auto" w:val="clear"/>
        </w:rPr>
        <w:t>9.5 A penalidade de multa pode ser aplicada cumulativamente com as demais sanções.</w:t>
      </w:r>
    </w:p>
    <w:p>
      <w:pPr>
        <w:pStyle w:val="Normal"/>
        <w:spacing w:lineRule="auto" w:line="276" w:before="120" w:after="120"/>
        <w:jc w:val="both"/>
        <w:rPr>
          <w:rFonts w:ascii="Calibri" w:hAnsi="Calibri"/>
          <w:sz w:val="20"/>
          <w:szCs w:val="20"/>
        </w:rPr>
      </w:pPr>
      <w:r>
        <w:rPr>
          <w:rFonts w:cs="Calibri" w:ascii="Calibri" w:hAnsi="Calibri"/>
          <w:sz w:val="20"/>
          <w:szCs w:val="20"/>
          <w:shd w:fill="auto" w:val="clear"/>
        </w:rPr>
        <w:t>9.6 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pPr>
        <w:pStyle w:val="Normal"/>
        <w:spacing w:lineRule="auto" w:line="276" w:before="120" w:after="120"/>
        <w:jc w:val="both"/>
        <w:rPr>
          <w:rFonts w:ascii="Calibri" w:hAnsi="Calibri"/>
          <w:sz w:val="20"/>
          <w:szCs w:val="20"/>
        </w:rPr>
      </w:pPr>
      <w:r>
        <w:rPr>
          <w:rFonts w:cs="Calibri" w:ascii="Calibri" w:hAnsi="Calibri"/>
          <w:sz w:val="20"/>
          <w:szCs w:val="20"/>
          <w:shd w:fill="auto" w:val="clear"/>
        </w:rPr>
        <w:t>9.7 Nenhuma penalidade será aplicada sem o devido Processo Administrativo de Aplicação de Penalidade - PAAP, que assegurará o contraditório e a ampla defesa ao fornecedor/prestador, observando-se o procedimento previsto na Lei nº 14.133/2021 e no Decreto Estadual nº 42.191, de 1º de outubro de 2015.</w:t>
      </w:r>
    </w:p>
    <w:p>
      <w:pPr>
        <w:pStyle w:val="BodyText"/>
        <w:spacing w:before="120" w:after="120"/>
        <w:ind w:hanging="1" w:left="119" w:right="120"/>
        <w:rPr>
          <w:rFonts w:ascii="Calibri" w:hAnsi="Calibri"/>
          <w:position w:val="0"/>
          <w:sz w:val="20"/>
          <w:sz w:val="20"/>
          <w:szCs w:val="20"/>
          <w:vertAlign w:val="baseline"/>
        </w:rPr>
      </w:pPr>
      <w:r>
        <w:rPr>
          <w:rFonts w:ascii="Calibri" w:hAnsi="Calibri"/>
          <w:position w:val="0"/>
          <w:sz w:val="20"/>
          <w:sz w:val="20"/>
          <w:szCs w:val="20"/>
          <w:vertAlign w:val="baseline"/>
        </w:rPr>
      </w:r>
    </w:p>
    <w:p>
      <w:pPr>
        <w:pStyle w:val="BodyText"/>
        <w:spacing w:before="120" w:after="120"/>
        <w:ind w:hanging="1" w:left="119" w:right="120"/>
        <w:rPr>
          <w:rFonts w:ascii="Calibri" w:hAnsi="Calibri"/>
          <w:position w:val="0"/>
          <w:sz w:val="20"/>
          <w:sz w:val="20"/>
          <w:szCs w:val="20"/>
          <w:vertAlign w:val="baseline"/>
        </w:rPr>
      </w:pPr>
      <w:r>
        <w:rPr>
          <w:rFonts w:ascii="Calibri" w:hAnsi="Calibri"/>
          <w:position w:val="0"/>
          <w:sz w:val="20"/>
          <w:sz w:val="20"/>
          <w:szCs w:val="20"/>
          <w:vertAlign w:val="baseline"/>
        </w:rPr>
      </w:r>
    </w:p>
    <w:p>
      <w:pPr>
        <w:pStyle w:val="BodyText"/>
        <w:spacing w:before="120" w:after="120"/>
        <w:ind w:hanging="1" w:left="119" w:right="120"/>
        <w:rPr>
          <w:rFonts w:ascii="Calibri" w:hAnsi="Calibri"/>
          <w:position w:val="0"/>
          <w:sz w:val="20"/>
          <w:sz w:val="20"/>
          <w:szCs w:val="20"/>
          <w:vertAlign w:val="baseline"/>
        </w:rPr>
      </w:pPr>
      <w:r>
        <w:rPr>
          <w:rFonts w:ascii="Calibri" w:hAnsi="Calibri"/>
          <w:position w:val="0"/>
          <w:sz w:val="20"/>
          <w:sz w:val="20"/>
          <w:szCs w:val="20"/>
          <w:vertAlign w:val="baseline"/>
        </w:rPr>
      </w:r>
    </w:p>
    <w:p>
      <w:pPr>
        <w:pStyle w:val="BodyText"/>
        <w:ind w:hanging="1" w:left="0" w:right="0"/>
        <w:rPr>
          <w:rFonts w:ascii="Calibri" w:hAnsi="Calibri"/>
          <w:position w:val="0"/>
          <w:sz w:val="20"/>
          <w:sz w:val="20"/>
          <w:szCs w:val="20"/>
          <w:vertAlign w:val="baseline"/>
        </w:rPr>
      </w:pPr>
      <w:r>
        <w:rPr>
          <w:rFonts w:ascii="Calibri" w:hAnsi="Calibri"/>
          <w:position w:val="0"/>
          <w:sz w:val="20"/>
          <w:sz w:val="20"/>
          <w:szCs w:val="20"/>
          <w:vertAlign w:val="baseline"/>
        </w:rPr>
      </w:r>
    </w:p>
    <w:p>
      <w:pPr>
        <w:pStyle w:val="BodyText"/>
        <w:spacing w:lineRule="atLeast" w:line="270"/>
        <w:ind w:hanging="0" w:left="0" w:right="0"/>
        <w:jc w:val="center"/>
        <w:rPr>
          <w:rFonts w:ascii="Calibri" w:hAnsi="Calibri"/>
          <w:position w:val="0"/>
          <w:sz w:val="20"/>
          <w:sz w:val="20"/>
          <w:szCs w:val="20"/>
          <w:vertAlign w:val="baseline"/>
        </w:rPr>
      </w:pPr>
      <w:r>
        <w:rPr>
          <w:rFonts w:ascii="Calibri" w:hAnsi="Calibri"/>
          <w:color w:val="000000"/>
          <w:position w:val="0"/>
          <w:sz w:val="20"/>
          <w:sz w:val="20"/>
          <w:szCs w:val="20"/>
          <w:vertAlign w:val="baseline"/>
        </w:rPr>
        <w:t>Recife, 2</w:t>
      </w:r>
      <w:r>
        <w:rPr>
          <w:rFonts w:ascii="Calibri" w:hAnsi="Calibri"/>
          <w:color w:val="000000"/>
          <w:position w:val="0"/>
          <w:sz w:val="20"/>
          <w:sz w:val="20"/>
          <w:szCs w:val="20"/>
          <w:vertAlign w:val="baseline"/>
        </w:rPr>
        <w:t>7</w:t>
      </w:r>
      <w:r>
        <w:rPr>
          <w:rFonts w:ascii="Calibri" w:hAnsi="Calibri"/>
          <w:color w:val="000000"/>
          <w:position w:val="0"/>
          <w:sz w:val="20"/>
          <w:sz w:val="20"/>
          <w:szCs w:val="20"/>
          <w:vertAlign w:val="baseline"/>
        </w:rPr>
        <w:t xml:space="preserve"> de junho de 2024</w:t>
      </w:r>
    </w:p>
    <w:p>
      <w:pPr>
        <w:pStyle w:val="BodyText"/>
        <w:spacing w:lineRule="atLeast" w:line="270"/>
        <w:ind w:hanging="0" w:left="0" w:right="0"/>
        <w:jc w:val="center"/>
        <w:rPr>
          <w:rFonts w:ascii="Calibri" w:hAnsi="Calibri"/>
          <w:position w:val="0"/>
          <w:sz w:val="20"/>
          <w:sz w:val="20"/>
          <w:szCs w:val="20"/>
          <w:vertAlign w:val="baseline"/>
        </w:rPr>
      </w:pPr>
      <w:r>
        <w:rPr>
          <w:rFonts w:ascii="Calibri" w:hAnsi="Calibri"/>
          <w:position w:val="0"/>
          <w:sz w:val="20"/>
          <w:sz w:val="20"/>
          <w:szCs w:val="20"/>
          <w:vertAlign w:val="baseline"/>
        </w:rPr>
      </w:r>
    </w:p>
    <w:p>
      <w:pPr>
        <w:pStyle w:val="BodyText"/>
        <w:spacing w:before="0" w:after="140"/>
        <w:ind w:hanging="1" w:left="0" w:right="0"/>
        <w:jc w:val="center"/>
        <w:rPr>
          <w:rFonts w:ascii="Calibri" w:hAnsi="Calibri"/>
          <w:position w:val="0"/>
          <w:sz w:val="20"/>
          <w:sz w:val="20"/>
          <w:szCs w:val="20"/>
          <w:vertAlign w:val="baseline"/>
        </w:rPr>
      </w:pPr>
      <w:r>
        <w:rPr>
          <w:rFonts w:ascii="Calibri" w:hAnsi="Calibri"/>
          <w:position w:val="0"/>
          <w:sz w:val="20"/>
          <w:sz w:val="20"/>
          <w:szCs w:val="20"/>
          <w:vertAlign w:val="baseline"/>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559" w:right="991" w:gutter="0" w:header="0" w:top="147" w:footer="708" w:bottom="993"/>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re Franklin">
    <w:charset w:val="00"/>
    <w:family w:val="roman"/>
    <w:pitch w:val="variable"/>
  </w:font>
  <w:font w:name="Calibri">
    <w:charset w:val="00"/>
    <w:family w:val="roman"/>
    <w:pitch w:val="variable"/>
  </w:font>
  <w:font w:name="Arial">
    <w:charset w:val="00"/>
    <w:family w:val="roman"/>
    <w:pitch w:val="variable"/>
  </w:font>
  <w:font w:name="Cambria">
    <w:charset w:val="00"/>
    <w:family w:val="roman"/>
    <w:pitch w:val="variable"/>
  </w:font>
  <w:font w:name="Franklin Gothic Book">
    <w:charset w:val="00"/>
    <w:family w:val="roman"/>
    <w:pitch w:val="variable"/>
  </w:font>
  <w:font w:name="Tahoma">
    <w:charset w:val="00"/>
    <w:family w:val="roman"/>
    <w:pitch w:val="variable"/>
  </w:font>
  <w:font w:name="Liberation Sans">
    <w:altName w:val="Arial"/>
    <w:charset w:val="00"/>
    <w:family w:val="roman"/>
    <w:pitch w:val="variable"/>
  </w:font>
  <w:font w:name="Georgia">
    <w:charset w:val="00"/>
    <w:family w:val="roman"/>
    <w:pitch w:val="variable"/>
  </w:font>
  <w:font w:name="Ecofont_Spranq_eco_San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2" w:left="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2" w:left="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2" w:left="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hanging="2" w:left="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2"/>
      <w:numFmt w:val="decimal"/>
      <w:lvlText w:val="%1."/>
      <w:lvlJc w:val="left"/>
      <w:pPr>
        <w:tabs>
          <w:tab w:val="num" w:pos="0"/>
        </w:tabs>
        <w:ind w:left="360" w:hanging="360"/>
      </w:pPr>
      <w:rPr>
        <w:vertAlign w:val="baseline"/>
        <w:position w:val="0"/>
        <w:sz w:val="20"/>
        <w:sz w:val="20"/>
        <w:b/>
        <w:color w:val="000000"/>
      </w:rPr>
    </w:lvl>
    <w:lvl w:ilvl="1">
      <w:start w:val="1"/>
      <w:numFmt w:val="decimal"/>
      <w:lvlText w:val="%1.%2."/>
      <w:lvlJc w:val="left"/>
      <w:pPr>
        <w:tabs>
          <w:tab w:val="num" w:pos="0"/>
        </w:tabs>
        <w:ind w:left="360" w:hanging="360"/>
      </w:pPr>
      <w:rPr>
        <w:vertAlign w:val="baseline"/>
        <w:position w:val="0"/>
        <w:sz w:val="20"/>
        <w:sz w:val="20"/>
        <w:b/>
        <w:rFonts w:ascii="Calibri" w:hAnsi="Calibri" w:eastAsia="Calibri" w:cs="Calibri"/>
        <w:color w:val="000000"/>
      </w:rPr>
    </w:lvl>
    <w:lvl w:ilvl="2">
      <w:start w:val="1"/>
      <w:numFmt w:val="decimal"/>
      <w:lvlText w:val="%1.%2.%3."/>
      <w:lvlJc w:val="left"/>
      <w:pPr>
        <w:tabs>
          <w:tab w:val="num" w:pos="0"/>
        </w:tabs>
        <w:ind w:left="720" w:hanging="720"/>
      </w:pPr>
      <w:rPr>
        <w:vertAlign w:val="baseline"/>
        <w:position w:val="0"/>
        <w:sz w:val="20"/>
        <w:sz w:val="20"/>
        <w:i w:val="false"/>
        <w:b w:val="false"/>
        <w:rFonts w:ascii="Calibri" w:hAnsi="Calibri" w:eastAsia="Calibri" w:cs="Calibri"/>
        <w:color w:val="000000"/>
      </w:rPr>
    </w:lvl>
    <w:lvl w:ilvl="3">
      <w:start w:val="1"/>
      <w:numFmt w:val="lowerLetter"/>
      <w:lvlText w:val="%4)"/>
      <w:lvlJc w:val="left"/>
      <w:pPr>
        <w:tabs>
          <w:tab w:val="num" w:pos="0"/>
        </w:tabs>
        <w:ind w:left="720" w:hanging="720"/>
      </w:pPr>
      <w:rPr>
        <w:vertAlign w:val="baseline"/>
        <w:position w:val="0"/>
        <w:sz w:val="20"/>
        <w:sz w:val="20"/>
        <w:b w:val="false"/>
        <w:rFonts w:ascii="Calibri" w:hAnsi="Calibri" w:eastAsia="Calibri" w:cs="Calibri"/>
        <w:color w:val="000000"/>
      </w:rPr>
    </w:lvl>
    <w:lvl w:ilvl="4">
      <w:start w:val="1"/>
      <w:numFmt w:val="decimal"/>
      <w:lvlText w:val="%1.%2.%3.%4.%5."/>
      <w:lvlJc w:val="left"/>
      <w:pPr>
        <w:tabs>
          <w:tab w:val="num" w:pos="0"/>
        </w:tabs>
        <w:ind w:left="1080" w:hanging="1080"/>
      </w:pPr>
      <w:rPr>
        <w:vertAlign w:val="baseline"/>
        <w:position w:val="0"/>
        <w:sz w:val="20"/>
        <w:sz w:val="20"/>
        <w:b w:val="false"/>
        <w:color w:val="000000"/>
      </w:rPr>
    </w:lvl>
    <w:lvl w:ilvl="5">
      <w:start w:val="1"/>
      <w:numFmt w:val="decimal"/>
      <w:lvlText w:val="%1.%2.%3.%4.%5.%6."/>
      <w:lvlJc w:val="left"/>
      <w:pPr>
        <w:tabs>
          <w:tab w:val="num" w:pos="0"/>
        </w:tabs>
        <w:ind w:left="1080" w:hanging="1080"/>
      </w:pPr>
      <w:rPr>
        <w:vertAlign w:val="baseline"/>
        <w:position w:val="0"/>
        <w:sz w:val="20"/>
        <w:sz w:val="20"/>
        <w:b w:val="false"/>
        <w:color w:val="000000"/>
      </w:rPr>
    </w:lvl>
    <w:lvl w:ilvl="6">
      <w:start w:val="1"/>
      <w:numFmt w:val="decimal"/>
      <w:lvlText w:val="%1.%2.%3.%4.%5.%6.%7."/>
      <w:lvlJc w:val="left"/>
      <w:pPr>
        <w:tabs>
          <w:tab w:val="num" w:pos="0"/>
        </w:tabs>
        <w:ind w:left="1440" w:hanging="1440"/>
      </w:pPr>
      <w:rPr>
        <w:vertAlign w:val="baseline"/>
        <w:position w:val="0"/>
        <w:sz w:val="20"/>
        <w:sz w:val="20"/>
        <w:b w:val="false"/>
        <w:color w:val="000000"/>
      </w:rPr>
    </w:lvl>
    <w:lvl w:ilvl="7">
      <w:start w:val="1"/>
      <w:numFmt w:val="decimal"/>
      <w:lvlText w:val="%1.%2.%3.%4.%5.%6.%7.%8."/>
      <w:lvlJc w:val="left"/>
      <w:pPr>
        <w:tabs>
          <w:tab w:val="num" w:pos="0"/>
        </w:tabs>
        <w:ind w:left="1440" w:hanging="1440"/>
      </w:pPr>
      <w:rPr>
        <w:vertAlign w:val="baseline"/>
        <w:position w:val="0"/>
        <w:sz w:val="20"/>
        <w:sz w:val="20"/>
        <w:b w:val="false"/>
        <w:color w:val="000000"/>
      </w:rPr>
    </w:lvl>
    <w:lvl w:ilvl="8">
      <w:start w:val="1"/>
      <w:numFmt w:val="decimal"/>
      <w:lvlText w:val="%1.%2.%3.%4.%5.%6.%7.%8.%9."/>
      <w:lvlJc w:val="left"/>
      <w:pPr>
        <w:tabs>
          <w:tab w:val="num" w:pos="0"/>
        </w:tabs>
        <w:ind w:left="1800" w:hanging="1800"/>
      </w:pPr>
      <w:rPr>
        <w:vertAlign w:val="baseline"/>
        <w:position w:val="0"/>
        <w:sz w:val="20"/>
        <w:sz w:val="20"/>
        <w:b w:val="false"/>
        <w:color w:val="000000"/>
      </w:rPr>
    </w:lvl>
  </w:abstractNum>
  <w:abstractNum w:abstractNumId="2">
    <w:lvl w:ilvl="0">
      <w:start w:val="1"/>
      <w:numFmt w:val="decimal"/>
      <w:lvlText w:val="%1."/>
      <w:lvlJc w:val="left"/>
      <w:pPr>
        <w:tabs>
          <w:tab w:val="num" w:pos="0"/>
        </w:tabs>
        <w:ind w:left="720" w:hanging="360"/>
      </w:pPr>
      <w:rPr>
        <w:vertAlign w:val="baseline"/>
        <w:position w:val="0"/>
        <w:sz w:val="20"/>
        <w:sz w:val="20"/>
        <w:b/>
      </w:rPr>
    </w:lvl>
    <w:lvl w:ilvl="1">
      <w:start w:val="1"/>
      <w:numFmt w:val="decimal"/>
      <w:lvlText w:val="%2."/>
      <w:lvlJc w:val="left"/>
      <w:pPr>
        <w:tabs>
          <w:tab w:val="num" w:pos="0"/>
        </w:tabs>
        <w:ind w:left="1440" w:hanging="360"/>
      </w:pPr>
      <w:rPr>
        <w:vertAlign w:val="baseline"/>
        <w:position w:val="0"/>
        <w:sz w:val="20"/>
        <w:sz w:val="20"/>
        <w:b w:val="false"/>
        <w:color w:val="000000"/>
      </w:rPr>
    </w:lvl>
    <w:lvl w:ilvl="2">
      <w:start w:val="1"/>
      <w:numFmt w:val="decimal"/>
      <w:lvlText w:val="%1.%2.%3."/>
      <w:lvlJc w:val="right"/>
      <w:pPr>
        <w:tabs>
          <w:tab w:val="num" w:pos="0"/>
        </w:tabs>
        <w:ind w:left="2160" w:hanging="360"/>
      </w:pPr>
      <w:rPr>
        <w:vertAlign w:val="baseline"/>
        <w:position w:val="0"/>
        <w:sz w:val="20"/>
        <w:sz w:val="20"/>
      </w:rPr>
    </w:lvl>
    <w:lvl w:ilvl="3">
      <w:start w:val="1"/>
      <w:numFmt w:val="decimal"/>
      <w:lvlText w:val="%1.%2.%3.%4."/>
      <w:lvlJc w:val="right"/>
      <w:pPr>
        <w:tabs>
          <w:tab w:val="num" w:pos="0"/>
        </w:tabs>
        <w:ind w:left="2880" w:hanging="360"/>
      </w:pPr>
      <w:rPr>
        <w:vertAlign w:val="baseline"/>
        <w:position w:val="0"/>
        <w:sz w:val="20"/>
        <w:sz w:val="20"/>
      </w:rPr>
    </w:lvl>
    <w:lvl w:ilvl="4">
      <w:start w:val="1"/>
      <w:numFmt w:val="decimal"/>
      <w:lvlText w:val="%1.%2.%3.%4.%5."/>
      <w:lvlJc w:val="right"/>
      <w:pPr>
        <w:tabs>
          <w:tab w:val="num" w:pos="0"/>
        </w:tabs>
        <w:ind w:left="3600" w:hanging="360"/>
      </w:pPr>
      <w:rPr>
        <w:vertAlign w:val="baseline"/>
        <w:position w:val="0"/>
        <w:sz w:val="20"/>
        <w:sz w:val="20"/>
      </w:rPr>
    </w:lvl>
    <w:lvl w:ilvl="5">
      <w:start w:val="1"/>
      <w:numFmt w:val="decimal"/>
      <w:lvlText w:val="%1.%2.%3.%4.%5.%6."/>
      <w:lvlJc w:val="right"/>
      <w:pPr>
        <w:tabs>
          <w:tab w:val="num" w:pos="0"/>
        </w:tabs>
        <w:ind w:left="4320" w:hanging="360"/>
      </w:pPr>
      <w:rPr>
        <w:vertAlign w:val="baseline"/>
        <w:position w:val="0"/>
        <w:sz w:val="20"/>
        <w:sz w:val="20"/>
      </w:rPr>
    </w:lvl>
    <w:lvl w:ilvl="6">
      <w:start w:val="1"/>
      <w:numFmt w:val="decimal"/>
      <w:lvlText w:val="%1.%2.%3.%4.%5.%6.%7."/>
      <w:lvlJc w:val="right"/>
      <w:pPr>
        <w:tabs>
          <w:tab w:val="num" w:pos="0"/>
        </w:tabs>
        <w:ind w:left="5040" w:hanging="360"/>
      </w:pPr>
      <w:rPr>
        <w:vertAlign w:val="baseline"/>
        <w:position w:val="0"/>
        <w:sz w:val="20"/>
        <w:sz w:val="20"/>
      </w:rPr>
    </w:lvl>
    <w:lvl w:ilvl="7">
      <w:start w:val="1"/>
      <w:numFmt w:val="decimal"/>
      <w:lvlText w:val="%1.%2.%3.%4.%5.%6.%7.%8."/>
      <w:lvlJc w:val="right"/>
      <w:pPr>
        <w:tabs>
          <w:tab w:val="num" w:pos="0"/>
        </w:tabs>
        <w:ind w:left="5760" w:hanging="360"/>
      </w:pPr>
      <w:rPr>
        <w:vertAlign w:val="baseline"/>
        <w:position w:val="0"/>
        <w:sz w:val="20"/>
        <w:sz w:val="20"/>
      </w:rPr>
    </w:lvl>
    <w:lvl w:ilvl="8">
      <w:start w:val="1"/>
      <w:numFmt w:val="decimal"/>
      <w:lvlText w:val="%1.%2.%3.%4.%5.%6.%7.%8.%9."/>
      <w:lvlJc w:val="right"/>
      <w:pPr>
        <w:tabs>
          <w:tab w:val="num" w:pos="0"/>
        </w:tabs>
        <w:ind w:left="6480" w:hanging="360"/>
      </w:pPr>
      <w:rPr>
        <w:vertAlign w:val="baseline"/>
        <w:position w:val="0"/>
        <w:sz w:val="20"/>
        <w:sz w:val="20"/>
      </w:rPr>
    </w:lvl>
  </w:abstractNum>
  <w:abstractNum w:abstractNumId="3">
    <w:lvl w:ilvl="0">
      <w:start w:val="1"/>
      <w:numFmt w:val="upperRoman"/>
      <w:lvlText w:val="%1."/>
      <w:lvlJc w:val="left"/>
      <w:pPr>
        <w:tabs>
          <w:tab w:val="num" w:pos="0"/>
        </w:tabs>
        <w:ind w:left="1080" w:hanging="720"/>
      </w:pPr>
      <w:rPr>
        <w:vertAlign w:val="baseline"/>
        <w:position w:val="0"/>
        <w:sz w:val="20"/>
        <w:sz w:val="20"/>
        <w:rFonts w:ascii="Calibri" w:hAnsi="Calibri" w:eastAsia="Calibri" w:cs="Calibri"/>
        <w:color w:val="000000"/>
      </w:rPr>
    </w:lvl>
    <w:lvl w:ilvl="1">
      <w:start w:val="1"/>
      <w:numFmt w:val="lowerLetter"/>
      <w:lvlText w:val="%2."/>
      <w:lvlJc w:val="left"/>
      <w:pPr>
        <w:tabs>
          <w:tab w:val="num" w:pos="0"/>
        </w:tabs>
        <w:ind w:left="1440" w:hanging="360"/>
      </w:pPr>
      <w:rPr>
        <w:vertAlign w:val="baseline"/>
        <w:position w:val="0"/>
        <w:sz w:val="20"/>
        <w:sz w:val="20"/>
      </w:rPr>
    </w:lvl>
    <w:lvl w:ilvl="2">
      <w:start w:val="1"/>
      <w:numFmt w:val="lowerRoman"/>
      <w:lvlText w:val="%3."/>
      <w:lvlJc w:val="right"/>
      <w:pPr>
        <w:tabs>
          <w:tab w:val="num" w:pos="0"/>
        </w:tabs>
        <w:ind w:left="2160" w:hanging="180"/>
      </w:pPr>
      <w:rPr>
        <w:vertAlign w:val="baseline"/>
        <w:position w:val="0"/>
        <w:sz w:val="20"/>
        <w:sz w:val="20"/>
      </w:rPr>
    </w:lvl>
    <w:lvl w:ilvl="3">
      <w:start w:val="1"/>
      <w:numFmt w:val="decimal"/>
      <w:lvlText w:val="%4."/>
      <w:lvlJc w:val="left"/>
      <w:pPr>
        <w:tabs>
          <w:tab w:val="num" w:pos="0"/>
        </w:tabs>
        <w:ind w:left="2880" w:hanging="360"/>
      </w:pPr>
      <w:rPr>
        <w:vertAlign w:val="baseline"/>
        <w:position w:val="0"/>
        <w:sz w:val="20"/>
        <w:sz w:val="20"/>
      </w:rPr>
    </w:lvl>
    <w:lvl w:ilvl="4">
      <w:start w:val="1"/>
      <w:numFmt w:val="lowerLetter"/>
      <w:lvlText w:val="%5."/>
      <w:lvlJc w:val="left"/>
      <w:pPr>
        <w:tabs>
          <w:tab w:val="num" w:pos="0"/>
        </w:tabs>
        <w:ind w:left="3600" w:hanging="360"/>
      </w:pPr>
      <w:rPr>
        <w:vertAlign w:val="baseline"/>
        <w:position w:val="0"/>
        <w:sz w:val="20"/>
        <w:sz w:val="20"/>
      </w:rPr>
    </w:lvl>
    <w:lvl w:ilvl="5">
      <w:start w:val="1"/>
      <w:numFmt w:val="lowerRoman"/>
      <w:lvlText w:val="%6."/>
      <w:lvlJc w:val="right"/>
      <w:pPr>
        <w:tabs>
          <w:tab w:val="num" w:pos="0"/>
        </w:tabs>
        <w:ind w:left="4320" w:hanging="180"/>
      </w:pPr>
      <w:rPr>
        <w:vertAlign w:val="baseline"/>
        <w:position w:val="0"/>
        <w:sz w:val="20"/>
        <w:sz w:val="20"/>
      </w:rPr>
    </w:lvl>
    <w:lvl w:ilvl="6">
      <w:start w:val="1"/>
      <w:numFmt w:val="decimal"/>
      <w:lvlText w:val="%7."/>
      <w:lvlJc w:val="left"/>
      <w:pPr>
        <w:tabs>
          <w:tab w:val="num" w:pos="0"/>
        </w:tabs>
        <w:ind w:left="5040" w:hanging="360"/>
      </w:pPr>
      <w:rPr>
        <w:vertAlign w:val="baseline"/>
        <w:position w:val="0"/>
        <w:sz w:val="20"/>
        <w:sz w:val="20"/>
      </w:rPr>
    </w:lvl>
    <w:lvl w:ilvl="7">
      <w:start w:val="1"/>
      <w:numFmt w:val="lowerLetter"/>
      <w:lvlText w:val="%8."/>
      <w:lvlJc w:val="left"/>
      <w:pPr>
        <w:tabs>
          <w:tab w:val="num" w:pos="0"/>
        </w:tabs>
        <w:ind w:left="5760" w:hanging="360"/>
      </w:pPr>
      <w:rPr>
        <w:vertAlign w:val="baseline"/>
        <w:position w:val="0"/>
        <w:sz w:val="20"/>
        <w:sz w:val="20"/>
      </w:rPr>
    </w:lvl>
    <w:lvl w:ilvl="8">
      <w:start w:val="1"/>
      <w:numFmt w:val="lowerRoman"/>
      <w:lvlText w:val="%9."/>
      <w:lvlJc w:val="right"/>
      <w:pPr>
        <w:tabs>
          <w:tab w:val="num" w:pos="0"/>
        </w:tabs>
        <w:ind w:left="6480" w:hanging="180"/>
      </w:pPr>
      <w:rPr>
        <w:vertAlign w:val="baseline"/>
        <w:position w:val="0"/>
        <w:sz w:val="20"/>
        <w:sz w:val="20"/>
      </w:rPr>
    </w:lvl>
  </w:abstractNum>
  <w:abstractNum w:abstractNumId="4">
    <w:lvl w:ilvl="0">
      <w:start w:val="1"/>
      <w:numFmt w:val="decimal"/>
      <w:lvlText w:val="%1."/>
      <w:lvlJc w:val="left"/>
      <w:pPr>
        <w:tabs>
          <w:tab w:val="num" w:pos="0"/>
        </w:tabs>
        <w:ind w:left="360" w:hanging="360"/>
      </w:pPr>
      <w:rPr/>
    </w:lvl>
    <w:lvl w:ilvl="1">
      <w:start w:val="1"/>
      <w:numFmt w:val="decimal"/>
      <w:lvlText w:val="%1.%2."/>
      <w:lvlJc w:val="left"/>
      <w:pPr>
        <w:tabs>
          <w:tab w:val="num" w:pos="0"/>
        </w:tabs>
        <w:ind w:left="1440" w:hanging="360"/>
      </w:pPr>
      <w:rPr>
        <w:b/>
        <w:color w:val="000000"/>
      </w:rPr>
    </w:lvl>
    <w:lvl w:ilvl="2">
      <w:start w:val="1"/>
      <w:numFmt w:val="decimal"/>
      <w:lvlText w:val="%1.%2.%3."/>
      <w:lvlJc w:val="left"/>
      <w:pPr>
        <w:tabs>
          <w:tab w:val="num" w:pos="0"/>
        </w:tabs>
        <w:ind w:left="2880" w:hanging="720"/>
      </w:pPr>
      <w:rPr/>
    </w:lvl>
    <w:lvl w:ilvl="3">
      <w:start w:val="1"/>
      <w:numFmt w:val="decimal"/>
      <w:lvlText w:val="%1.%2.%3.%4."/>
      <w:lvlJc w:val="left"/>
      <w:pPr>
        <w:tabs>
          <w:tab w:val="num" w:pos="0"/>
        </w:tabs>
        <w:ind w:left="3960" w:hanging="720"/>
      </w:pPr>
      <w:rPr/>
    </w:lvl>
    <w:lvl w:ilvl="4">
      <w:start w:val="1"/>
      <w:numFmt w:val="decimal"/>
      <w:lvlText w:val="%1.%2.%3.%4.%5."/>
      <w:lvlJc w:val="left"/>
      <w:pPr>
        <w:tabs>
          <w:tab w:val="num" w:pos="0"/>
        </w:tabs>
        <w:ind w:left="5400" w:hanging="1080"/>
      </w:pPr>
      <w:rPr/>
    </w:lvl>
    <w:lvl w:ilvl="5">
      <w:start w:val="1"/>
      <w:numFmt w:val="decimal"/>
      <w:lvlText w:val="%1.%2.%3.%4.%5.%6."/>
      <w:lvlJc w:val="left"/>
      <w:pPr>
        <w:tabs>
          <w:tab w:val="num" w:pos="0"/>
        </w:tabs>
        <w:ind w:left="6480" w:hanging="1080"/>
      </w:pPr>
      <w:rPr/>
    </w:lvl>
    <w:lvl w:ilvl="6">
      <w:start w:val="1"/>
      <w:numFmt w:val="decimal"/>
      <w:lvlText w:val="%1.%2.%3.%4.%5.%6.%7."/>
      <w:lvlJc w:val="left"/>
      <w:pPr>
        <w:tabs>
          <w:tab w:val="num" w:pos="0"/>
        </w:tabs>
        <w:ind w:left="7560" w:hanging="1080"/>
      </w:pPr>
      <w:rPr/>
    </w:lvl>
    <w:lvl w:ilvl="7">
      <w:start w:val="1"/>
      <w:numFmt w:val="decimal"/>
      <w:lvlText w:val="%1.%2.%3.%4.%5.%6.%7.%8."/>
      <w:lvlJc w:val="left"/>
      <w:pPr>
        <w:tabs>
          <w:tab w:val="num" w:pos="0"/>
        </w:tabs>
        <w:ind w:left="9000" w:hanging="1440"/>
      </w:pPr>
      <w:rPr/>
    </w:lvl>
    <w:lvl w:ilvl="8">
      <w:start w:val="1"/>
      <w:numFmt w:val="decimal"/>
      <w:lvlText w:val="%1.%2.%3.%4.%5.%6.%7.%8.%9."/>
      <w:lvlJc w:val="left"/>
      <w:pPr>
        <w:tabs>
          <w:tab w:val="num" w:pos="0"/>
        </w:tabs>
        <w:ind w:left="10080" w:hanging="1440"/>
      </w:pPr>
      <w:rPr/>
    </w:lvl>
  </w:abstractNum>
  <w:abstractNum w:abstractNumId="5">
    <w:lvl w:ilvl="0">
      <w:start w:val="4"/>
      <w:numFmt w:val="decimal"/>
      <w:lvlText w:val="%1."/>
      <w:lvlJc w:val="left"/>
      <w:pPr>
        <w:tabs>
          <w:tab w:val="num" w:pos="0"/>
        </w:tabs>
        <w:ind w:left="360" w:hanging="360"/>
      </w:pPr>
      <w:rPr>
        <w:b/>
        <w:color w:val="auto"/>
      </w:rPr>
    </w:lvl>
    <w:lvl w:ilvl="1">
      <w:start w:val="1"/>
      <w:numFmt w:val="decimal"/>
      <w:lvlText w:val="%1.%2."/>
      <w:lvlJc w:val="left"/>
      <w:pPr>
        <w:tabs>
          <w:tab w:val="num" w:pos="0"/>
        </w:tabs>
        <w:ind w:left="738" w:hanging="360"/>
      </w:pPr>
      <w:rPr>
        <w:dstrike w:val="false"/>
        <w:strike w:val="false"/>
        <w:b/>
        <w:color w:val="auto"/>
      </w:rPr>
    </w:lvl>
    <w:lvl w:ilvl="2">
      <w:start w:val="1"/>
      <w:numFmt w:val="decimal"/>
      <w:lvlText w:val="%1.%2.%3."/>
      <w:lvlJc w:val="left"/>
      <w:pPr>
        <w:tabs>
          <w:tab w:val="num" w:pos="0"/>
        </w:tabs>
        <w:ind w:left="1476" w:hanging="720"/>
      </w:pPr>
      <w:rPr>
        <w:dstrike w:val="false"/>
        <w:strike w:val="false"/>
        <w:b/>
        <w:color w:val="auto"/>
      </w:rPr>
    </w:lvl>
    <w:lvl w:ilvl="3">
      <w:start w:val="1"/>
      <w:numFmt w:val="decimal"/>
      <w:lvlText w:val="%1.%2.%3.%4."/>
      <w:lvlJc w:val="left"/>
      <w:pPr>
        <w:tabs>
          <w:tab w:val="num" w:pos="0"/>
        </w:tabs>
        <w:ind w:left="1854" w:hanging="720"/>
      </w:pPr>
      <w:rPr>
        <w:b/>
        <w:color w:val="auto"/>
      </w:rPr>
    </w:lvl>
    <w:lvl w:ilvl="4">
      <w:start w:val="1"/>
      <w:numFmt w:val="decimal"/>
      <w:lvlText w:val="%1.%2.%3.%4.%5."/>
      <w:lvlJc w:val="left"/>
      <w:pPr>
        <w:tabs>
          <w:tab w:val="num" w:pos="0"/>
        </w:tabs>
        <w:ind w:left="2592" w:hanging="1080"/>
      </w:pPr>
      <w:rPr>
        <w:b/>
        <w:color w:val="auto"/>
      </w:rPr>
    </w:lvl>
    <w:lvl w:ilvl="5">
      <w:start w:val="1"/>
      <w:numFmt w:val="decimal"/>
      <w:lvlText w:val="%1.%2.%3.%4.%5.%6."/>
      <w:lvlJc w:val="left"/>
      <w:pPr>
        <w:tabs>
          <w:tab w:val="num" w:pos="0"/>
        </w:tabs>
        <w:ind w:left="2970" w:hanging="1080"/>
      </w:pPr>
      <w:rPr>
        <w:b/>
        <w:color w:val="auto"/>
      </w:rPr>
    </w:lvl>
    <w:lvl w:ilvl="6">
      <w:start w:val="1"/>
      <w:numFmt w:val="decimal"/>
      <w:lvlText w:val="%1.%2.%3.%4.%5.%6.%7."/>
      <w:lvlJc w:val="left"/>
      <w:pPr>
        <w:tabs>
          <w:tab w:val="num" w:pos="0"/>
        </w:tabs>
        <w:ind w:left="3348" w:hanging="1080"/>
      </w:pPr>
      <w:rPr>
        <w:b/>
        <w:color w:val="auto"/>
      </w:rPr>
    </w:lvl>
    <w:lvl w:ilvl="7">
      <w:start w:val="1"/>
      <w:numFmt w:val="decimal"/>
      <w:lvlText w:val="%1.%2.%3.%4.%5.%6.%7.%8."/>
      <w:lvlJc w:val="left"/>
      <w:pPr>
        <w:tabs>
          <w:tab w:val="num" w:pos="0"/>
        </w:tabs>
        <w:ind w:left="4086" w:hanging="1440"/>
      </w:pPr>
      <w:rPr>
        <w:b/>
        <w:color w:val="auto"/>
      </w:rPr>
    </w:lvl>
    <w:lvl w:ilvl="8">
      <w:start w:val="1"/>
      <w:numFmt w:val="decimal"/>
      <w:lvlText w:val="%1.%2.%3.%4.%5.%6.%7.%8.%9."/>
      <w:lvlJc w:val="left"/>
      <w:pPr>
        <w:tabs>
          <w:tab w:val="num" w:pos="0"/>
        </w:tabs>
        <w:ind w:left="4464" w:hanging="1440"/>
      </w:pPr>
      <w:rPr>
        <w:b/>
        <w:color w:val="auto"/>
      </w:rPr>
    </w:lvl>
  </w:abstractNum>
  <w:abstractNum w:abstractNumId="6">
    <w:lvl w:ilvl="0">
      <w:start w:val="1"/>
      <w:numFmt w:val="decimal"/>
      <w:lvlText w:val="%1."/>
      <w:lvlJc w:val="left"/>
      <w:pPr>
        <w:tabs>
          <w:tab w:val="num" w:pos="0"/>
        </w:tabs>
        <w:ind w:left="360" w:hanging="360"/>
      </w:pPr>
      <w:rPr/>
    </w:lvl>
    <w:lvl w:ilvl="1">
      <w:start w:val="1"/>
      <w:numFmt w:val="decimal"/>
      <w:lvlText w:val="%1.%2."/>
      <w:lvlJc w:val="left"/>
      <w:pPr>
        <w:tabs>
          <w:tab w:val="num" w:pos="0"/>
        </w:tabs>
        <w:ind w:left="574" w:hanging="432"/>
      </w:pPr>
      <w:rPr>
        <w:i w:val="false"/>
        <w:b w:val="false"/>
        <w:bCs w:val="false"/>
      </w:rPr>
    </w:lvl>
    <w:lvl w:ilvl="2">
      <w:start w:val="1"/>
      <w:numFmt w:val="decimal"/>
      <w:lvlText w:val="%1.%2.%3."/>
      <w:lvlJc w:val="left"/>
      <w:pPr>
        <w:tabs>
          <w:tab w:val="num" w:pos="0"/>
        </w:tabs>
        <w:ind w:left="1497"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6"/>
      <w:numFmt w:val="decimal"/>
      <w:lvlText w:val="%1."/>
      <w:lvlJc w:val="left"/>
      <w:pPr>
        <w:tabs>
          <w:tab w:val="num" w:pos="0"/>
        </w:tabs>
        <w:ind w:left="360" w:hanging="360"/>
      </w:pPr>
      <w:rPr>
        <w:sz w:val="20"/>
        <w:szCs w:val="20"/>
        <w:rFonts w:eastAsia="Libre Franklin" w:cs="Arial"/>
        <w:color w:val="auto"/>
      </w:rPr>
    </w:lvl>
    <w:lvl w:ilvl="1">
      <w:start w:val="1"/>
      <w:numFmt w:val="decimal"/>
      <w:lvlText w:val="%1.%2."/>
      <w:lvlJc w:val="left"/>
      <w:pPr>
        <w:tabs>
          <w:tab w:val="num" w:pos="0"/>
        </w:tabs>
        <w:ind w:left="360" w:hanging="360"/>
      </w:pPr>
      <w:rPr>
        <w:sz w:val="20"/>
        <w:szCs w:val="20"/>
        <w:rFonts w:eastAsia="Libre Franklin" w:cs="Arial"/>
        <w:color w:val="auto"/>
      </w:rPr>
    </w:lvl>
    <w:lvl w:ilvl="2">
      <w:start w:val="1"/>
      <w:numFmt w:val="decimal"/>
      <w:lvlText w:val="%1.%2.%3."/>
      <w:lvlJc w:val="left"/>
      <w:pPr>
        <w:tabs>
          <w:tab w:val="num" w:pos="0"/>
        </w:tabs>
        <w:ind w:left="720" w:hanging="720"/>
      </w:pPr>
      <w:rPr>
        <w:sz w:val="20"/>
        <w:b/>
        <w:szCs w:val="20"/>
        <w:rFonts w:ascii="Calibri" w:hAnsi="Calibri" w:eastAsia="Libre Franklin" w:cs="Arial"/>
        <w:color w:val="auto"/>
      </w:rPr>
    </w:lvl>
    <w:lvl w:ilvl="3">
      <w:start w:val="1"/>
      <w:numFmt w:val="upperRoman"/>
      <w:lvlText w:val="%4."/>
      <w:lvlJc w:val="left"/>
      <w:pPr>
        <w:tabs>
          <w:tab w:val="num" w:pos="0"/>
        </w:tabs>
        <w:ind w:left="720" w:hanging="720"/>
      </w:pPr>
      <w:rPr>
        <w:sz w:val="20"/>
        <w:szCs w:val="20"/>
        <w:rFonts w:ascii="Calibri" w:hAnsi="Calibri" w:eastAsia="Times New Roman" w:cs="Arial"/>
        <w:color w:val="auto"/>
      </w:rPr>
    </w:lvl>
    <w:lvl w:ilvl="4">
      <w:start w:val="1"/>
      <w:numFmt w:val="decimal"/>
      <w:lvlText w:val="%1.%2.%3.%4.%5."/>
      <w:lvlJc w:val="left"/>
      <w:pPr>
        <w:tabs>
          <w:tab w:val="num" w:pos="0"/>
        </w:tabs>
        <w:ind w:left="1080" w:hanging="1080"/>
      </w:pPr>
      <w:rPr>
        <w:sz w:val="20"/>
        <w:b/>
        <w:szCs w:val="20"/>
        <w:rFonts w:eastAsia="Libre Franklin" w:cs="Arial"/>
        <w:color w:val="auto"/>
      </w:rPr>
    </w:lvl>
    <w:lvl w:ilvl="5">
      <w:start w:val="1"/>
      <w:numFmt w:val="decimal"/>
      <w:lvlText w:val="%1.%2.%3.%4.%5.%6."/>
      <w:lvlJc w:val="left"/>
      <w:pPr>
        <w:tabs>
          <w:tab w:val="num" w:pos="0"/>
        </w:tabs>
        <w:ind w:left="1080" w:hanging="1080"/>
      </w:pPr>
      <w:rPr>
        <w:sz w:val="22"/>
        <w:rFonts w:eastAsia="Libre Franklin" w:cs="Arial"/>
        <w:color w:val="auto"/>
      </w:rPr>
    </w:lvl>
    <w:lvl w:ilvl="6">
      <w:start w:val="1"/>
      <w:numFmt w:val="decimal"/>
      <w:lvlText w:val="%1.%2.%3.%4.%5.%6.%7."/>
      <w:lvlJc w:val="left"/>
      <w:pPr>
        <w:tabs>
          <w:tab w:val="num" w:pos="0"/>
        </w:tabs>
        <w:ind w:left="1080" w:hanging="1080"/>
      </w:pPr>
      <w:rPr>
        <w:sz w:val="22"/>
        <w:rFonts w:eastAsia="Libre Franklin" w:cs="Arial"/>
        <w:color w:val="auto"/>
      </w:rPr>
    </w:lvl>
    <w:lvl w:ilvl="7">
      <w:start w:val="1"/>
      <w:numFmt w:val="decimal"/>
      <w:lvlText w:val="%1.%2.%3.%4.%5.%6.%7.%8."/>
      <w:lvlJc w:val="left"/>
      <w:pPr>
        <w:tabs>
          <w:tab w:val="num" w:pos="0"/>
        </w:tabs>
        <w:ind w:left="1440" w:hanging="1440"/>
      </w:pPr>
      <w:rPr>
        <w:sz w:val="22"/>
        <w:rFonts w:eastAsia="Libre Franklin" w:cs="Arial"/>
        <w:color w:val="auto"/>
      </w:rPr>
    </w:lvl>
    <w:lvl w:ilvl="8">
      <w:start w:val="1"/>
      <w:numFmt w:val="decimal"/>
      <w:lvlText w:val="%1.%2.%3.%4.%5.%6.%7.%8.%9."/>
      <w:lvlJc w:val="left"/>
      <w:pPr>
        <w:tabs>
          <w:tab w:val="num" w:pos="0"/>
        </w:tabs>
        <w:ind w:left="1440" w:hanging="1440"/>
      </w:pPr>
      <w:rPr>
        <w:sz w:val="22"/>
        <w:rFonts w:eastAsia="Libre Franklin" w:cs="Arial"/>
        <w:color w:val="auto"/>
      </w:rPr>
    </w:lvl>
  </w:abstractNum>
  <w:abstractNum w:abstractNumId="8">
    <w:lvl w:ilvl="0">
      <w:start w:val="2"/>
      <w:numFmt w:val="decimal"/>
      <w:lvlText w:val="%1"/>
      <w:lvlJc w:val="left"/>
      <w:pPr>
        <w:tabs>
          <w:tab w:val="num" w:pos="0"/>
        </w:tabs>
        <w:ind w:left="360" w:hanging="360"/>
      </w:pPr>
      <w:rPr>
        <w:b/>
      </w:rPr>
    </w:lvl>
    <w:lvl w:ilvl="1">
      <w:start w:val="3"/>
      <w:numFmt w:val="decimal"/>
      <w:lvlText w:val="%1.%2"/>
      <w:lvlJc w:val="left"/>
      <w:pPr>
        <w:tabs>
          <w:tab w:val="num" w:pos="0"/>
        </w:tabs>
        <w:ind w:left="1080" w:hanging="360"/>
      </w:pPr>
      <w:rPr>
        <w:b/>
      </w:rPr>
    </w:lvl>
    <w:lvl w:ilvl="2">
      <w:start w:val="1"/>
      <w:numFmt w:val="decimal"/>
      <w:lvlText w:val="%1.%2.%3"/>
      <w:lvlJc w:val="left"/>
      <w:pPr>
        <w:tabs>
          <w:tab w:val="num" w:pos="0"/>
        </w:tabs>
        <w:ind w:left="2160" w:hanging="720"/>
      </w:pPr>
      <w:rPr>
        <w:b/>
      </w:rPr>
    </w:lvl>
    <w:lvl w:ilvl="3">
      <w:start w:val="1"/>
      <w:numFmt w:val="decimal"/>
      <w:lvlText w:val="%1.%2.%3.%4"/>
      <w:lvlJc w:val="left"/>
      <w:pPr>
        <w:tabs>
          <w:tab w:val="num" w:pos="0"/>
        </w:tabs>
        <w:ind w:left="2880" w:hanging="720"/>
      </w:pPr>
      <w:rPr>
        <w:b/>
      </w:rPr>
    </w:lvl>
    <w:lvl w:ilvl="4">
      <w:start w:val="1"/>
      <w:numFmt w:val="decimal"/>
      <w:lvlText w:val="%1.%2.%3.%4.%5"/>
      <w:lvlJc w:val="left"/>
      <w:pPr>
        <w:tabs>
          <w:tab w:val="num" w:pos="0"/>
        </w:tabs>
        <w:ind w:left="3600" w:hanging="720"/>
      </w:pPr>
      <w:rPr>
        <w:b/>
      </w:rPr>
    </w:lvl>
    <w:lvl w:ilvl="5">
      <w:start w:val="1"/>
      <w:numFmt w:val="decimal"/>
      <w:lvlText w:val="%1.%2.%3.%4.%5.%6"/>
      <w:lvlJc w:val="left"/>
      <w:pPr>
        <w:tabs>
          <w:tab w:val="num" w:pos="0"/>
        </w:tabs>
        <w:ind w:left="4680" w:hanging="1080"/>
      </w:pPr>
      <w:rPr>
        <w:b/>
      </w:rPr>
    </w:lvl>
    <w:lvl w:ilvl="6">
      <w:start w:val="1"/>
      <w:numFmt w:val="decimal"/>
      <w:lvlText w:val="%1.%2.%3.%4.%5.%6.%7"/>
      <w:lvlJc w:val="left"/>
      <w:pPr>
        <w:tabs>
          <w:tab w:val="num" w:pos="0"/>
        </w:tabs>
        <w:ind w:left="5400" w:hanging="1080"/>
      </w:pPr>
      <w:rPr>
        <w:b/>
      </w:rPr>
    </w:lvl>
    <w:lvl w:ilvl="7">
      <w:start w:val="1"/>
      <w:numFmt w:val="decimal"/>
      <w:lvlText w:val="%1.%2.%3.%4.%5.%6.%7.%8"/>
      <w:lvlJc w:val="left"/>
      <w:pPr>
        <w:tabs>
          <w:tab w:val="num" w:pos="0"/>
        </w:tabs>
        <w:ind w:left="6480" w:hanging="1440"/>
      </w:pPr>
      <w:rPr>
        <w:b/>
      </w:rPr>
    </w:lvl>
    <w:lvl w:ilvl="8">
      <w:start w:val="1"/>
      <w:numFmt w:val="decimal"/>
      <w:lvlText w:val="%1.%2.%3.%4.%5.%6.%7.%8.%9"/>
      <w:lvlJc w:val="left"/>
      <w:pPr>
        <w:tabs>
          <w:tab w:val="num" w:pos="0"/>
        </w:tabs>
        <w:ind w:left="7200" w:hanging="1440"/>
      </w:pPr>
      <w:rPr>
        <w:b/>
      </w:rPr>
    </w:lvl>
  </w:abstractNum>
  <w:abstractNum w:abstractNumId="9">
    <w:lvl w:ilvl="0">
      <w:start w:val="5"/>
      <w:numFmt w:val="decimal"/>
      <w:lvlText w:val="%1"/>
      <w:lvlJc w:val="left"/>
      <w:pPr>
        <w:tabs>
          <w:tab w:val="num" w:pos="0"/>
        </w:tabs>
        <w:ind w:left="360" w:hanging="360"/>
      </w:pPr>
      <w:rPr>
        <w:b/>
        <w:color w:val="auto"/>
      </w:rPr>
    </w:lvl>
    <w:lvl w:ilvl="1">
      <w:start w:val="1"/>
      <w:numFmt w:val="decimal"/>
      <w:lvlText w:val="%1.%2"/>
      <w:lvlJc w:val="left"/>
      <w:pPr>
        <w:tabs>
          <w:tab w:val="num" w:pos="0"/>
        </w:tabs>
        <w:ind w:left="1069" w:hanging="360"/>
      </w:pPr>
      <w:rPr>
        <w:b/>
        <w:color w:val="auto"/>
      </w:rPr>
    </w:lvl>
    <w:lvl w:ilvl="2">
      <w:start w:val="1"/>
      <w:numFmt w:val="decimal"/>
      <w:lvlText w:val="%1.%2.%3"/>
      <w:lvlJc w:val="left"/>
      <w:pPr>
        <w:tabs>
          <w:tab w:val="num" w:pos="0"/>
        </w:tabs>
        <w:ind w:left="2138" w:hanging="720"/>
      </w:pPr>
      <w:rPr>
        <w:b/>
        <w:color w:val="auto"/>
      </w:rPr>
    </w:lvl>
    <w:lvl w:ilvl="3">
      <w:start w:val="1"/>
      <w:numFmt w:val="decimal"/>
      <w:lvlText w:val="%1.%2.%3.%4"/>
      <w:lvlJc w:val="left"/>
      <w:pPr>
        <w:tabs>
          <w:tab w:val="num" w:pos="0"/>
        </w:tabs>
        <w:ind w:left="2847" w:hanging="720"/>
      </w:pPr>
      <w:rPr>
        <w:b/>
        <w:color w:val="auto"/>
      </w:rPr>
    </w:lvl>
    <w:lvl w:ilvl="4">
      <w:start w:val="1"/>
      <w:numFmt w:val="decimal"/>
      <w:lvlText w:val="%1.%2.%3.%4.%5"/>
      <w:lvlJc w:val="left"/>
      <w:pPr>
        <w:tabs>
          <w:tab w:val="num" w:pos="0"/>
        </w:tabs>
        <w:ind w:left="3556" w:hanging="720"/>
      </w:pPr>
      <w:rPr>
        <w:b/>
        <w:color w:val="auto"/>
      </w:rPr>
    </w:lvl>
    <w:lvl w:ilvl="5">
      <w:start w:val="1"/>
      <w:numFmt w:val="decimal"/>
      <w:lvlText w:val="%1.%2.%3.%4.%5.%6"/>
      <w:lvlJc w:val="left"/>
      <w:pPr>
        <w:tabs>
          <w:tab w:val="num" w:pos="0"/>
        </w:tabs>
        <w:ind w:left="4625" w:hanging="1080"/>
      </w:pPr>
      <w:rPr>
        <w:b/>
        <w:color w:val="auto"/>
      </w:rPr>
    </w:lvl>
    <w:lvl w:ilvl="6">
      <w:start w:val="1"/>
      <w:numFmt w:val="decimal"/>
      <w:lvlText w:val="%1.%2.%3.%4.%5.%6.%7"/>
      <w:lvlJc w:val="left"/>
      <w:pPr>
        <w:tabs>
          <w:tab w:val="num" w:pos="0"/>
        </w:tabs>
        <w:ind w:left="5334" w:hanging="1080"/>
      </w:pPr>
      <w:rPr>
        <w:b/>
        <w:color w:val="auto"/>
      </w:rPr>
    </w:lvl>
    <w:lvl w:ilvl="7">
      <w:start w:val="1"/>
      <w:numFmt w:val="decimal"/>
      <w:lvlText w:val="%1.%2.%3.%4.%5.%6.%7.%8"/>
      <w:lvlJc w:val="left"/>
      <w:pPr>
        <w:tabs>
          <w:tab w:val="num" w:pos="0"/>
        </w:tabs>
        <w:ind w:left="6403" w:hanging="1440"/>
      </w:pPr>
      <w:rPr>
        <w:b/>
        <w:color w:val="auto"/>
      </w:rPr>
    </w:lvl>
    <w:lvl w:ilvl="8">
      <w:start w:val="1"/>
      <w:numFmt w:val="decimal"/>
      <w:lvlText w:val="%1.%2.%3.%4.%5.%6.%7.%8.%9"/>
      <w:lvlJc w:val="left"/>
      <w:pPr>
        <w:tabs>
          <w:tab w:val="num" w:pos="0"/>
        </w:tabs>
        <w:ind w:left="7112" w:hanging="1440"/>
      </w:pPr>
      <w:rPr>
        <w:b/>
        <w:color w:val="auto"/>
      </w:rPr>
    </w:lvl>
  </w:abstractNum>
  <w:abstractNum w:abstractNumId="10">
    <w:lvl w:ilvl="0">
      <w:start w:val="7"/>
      <w:numFmt w:val="decimal"/>
      <w:lvlText w:val="%1"/>
      <w:lvlJc w:val="left"/>
      <w:pPr>
        <w:tabs>
          <w:tab w:val="num" w:pos="0"/>
        </w:tabs>
        <w:ind w:left="360" w:hanging="360"/>
      </w:pPr>
      <w:rPr/>
    </w:lvl>
    <w:lvl w:ilvl="1">
      <w:start w:val="1"/>
      <w:numFmt w:val="decimal"/>
      <w:lvlText w:val="%1.%2"/>
      <w:lvlJc w:val="left"/>
      <w:pPr>
        <w:tabs>
          <w:tab w:val="num" w:pos="0"/>
        </w:tabs>
        <w:ind w:left="714" w:hanging="360"/>
      </w:pPr>
      <w:rPr>
        <w:b/>
        <w:color w:val="auto"/>
      </w:rPr>
    </w:lvl>
    <w:lvl w:ilvl="2">
      <w:start w:val="1"/>
      <w:numFmt w:val="decimal"/>
      <w:lvlText w:val="%1.%2.%3"/>
      <w:lvlJc w:val="left"/>
      <w:pPr>
        <w:tabs>
          <w:tab w:val="num" w:pos="0"/>
        </w:tabs>
        <w:ind w:left="1428" w:hanging="720"/>
      </w:pPr>
      <w:rPr>
        <w:b/>
        <w:color w:val="auto"/>
      </w:rPr>
    </w:lvl>
    <w:lvl w:ilvl="3">
      <w:start w:val="1"/>
      <w:numFmt w:val="decimal"/>
      <w:lvlText w:val="%1.%2.%3.%4"/>
      <w:lvlJc w:val="left"/>
      <w:pPr>
        <w:tabs>
          <w:tab w:val="num" w:pos="0"/>
        </w:tabs>
        <w:ind w:left="1782" w:hanging="720"/>
      </w:pPr>
      <w:rPr/>
    </w:lvl>
    <w:lvl w:ilvl="4">
      <w:start w:val="1"/>
      <w:numFmt w:val="decimal"/>
      <w:lvlText w:val="%1.%2.%3.%4.%5"/>
      <w:lvlJc w:val="left"/>
      <w:pPr>
        <w:tabs>
          <w:tab w:val="num" w:pos="0"/>
        </w:tabs>
        <w:ind w:left="2136" w:hanging="720"/>
      </w:pPr>
      <w:rPr/>
    </w:lvl>
    <w:lvl w:ilvl="5">
      <w:start w:val="1"/>
      <w:numFmt w:val="decimal"/>
      <w:lvlText w:val="%1.%2.%3.%4.%5.%6"/>
      <w:lvlJc w:val="left"/>
      <w:pPr>
        <w:tabs>
          <w:tab w:val="num" w:pos="0"/>
        </w:tabs>
        <w:ind w:left="2850" w:hanging="1080"/>
      </w:pPr>
      <w:rPr/>
    </w:lvl>
    <w:lvl w:ilvl="6">
      <w:start w:val="1"/>
      <w:numFmt w:val="decimal"/>
      <w:lvlText w:val="%1.%2.%3.%4.%5.%6.%7"/>
      <w:lvlJc w:val="left"/>
      <w:pPr>
        <w:tabs>
          <w:tab w:val="num" w:pos="0"/>
        </w:tabs>
        <w:ind w:left="3204" w:hanging="1080"/>
      </w:pPr>
      <w:rPr/>
    </w:lvl>
    <w:lvl w:ilvl="7">
      <w:start w:val="1"/>
      <w:numFmt w:val="decimal"/>
      <w:lvlText w:val="%1.%2.%3.%4.%5.%6.%7.%8"/>
      <w:lvlJc w:val="left"/>
      <w:pPr>
        <w:tabs>
          <w:tab w:val="num" w:pos="0"/>
        </w:tabs>
        <w:ind w:left="3918" w:hanging="1440"/>
      </w:pPr>
      <w:rPr/>
    </w:lvl>
    <w:lvl w:ilvl="8">
      <w:start w:val="1"/>
      <w:numFmt w:val="decimal"/>
      <w:lvlText w:val="%1.%2.%3.%4.%5.%6.%7.%8.%9"/>
      <w:lvlJc w:val="left"/>
      <w:pPr>
        <w:tabs>
          <w:tab w:val="num" w:pos="0"/>
        </w:tabs>
        <w:ind w:left="4272" w:hanging="1440"/>
      </w:pPr>
      <w:r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re Franklin" w:hAnsi="Libre Franklin" w:eastAsia="Libre Franklin" w:cs="Libre Frankli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uiPriority="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semiHidden="0" w:unhideWhenUsed="0" w:qFormat="1"/>
    <w:lsdException w:name="Quote" w:uiPriority="0"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178b3"/>
    <w:pPr>
      <w:widowControl/>
      <w:suppressAutoHyphens w:val="tru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Heading1">
    <w:name w:val="Heading 1"/>
    <w:basedOn w:val="Normal"/>
    <w:next w:val="Normal"/>
    <w:qFormat/>
    <w:rsid w:val="007757cb"/>
    <w:pPr>
      <w:keepNext w:val="true"/>
      <w:suppressAutoHyphens w:val="true"/>
      <w:spacing w:lineRule="auto" w:line="276" w:before="240" w:after="60"/>
      <w:ind w:hanging="1" w:left="-1"/>
      <w:textAlignment w:val="top"/>
      <w:outlineLvl w:val="0"/>
    </w:pPr>
    <w:rPr>
      <w:rFonts w:ascii="Calibri" w:hAnsi="Calibri"/>
      <w:b/>
      <w:bCs/>
      <w:color w:val="004060"/>
      <w:kern w:val="2"/>
      <w:position w:val="-1"/>
      <w:szCs w:val="32"/>
    </w:rPr>
  </w:style>
  <w:style w:type="paragraph" w:styleId="Heading2">
    <w:name w:val="Heading 2"/>
    <w:basedOn w:val="Normal"/>
    <w:next w:val="Normal"/>
    <w:qFormat/>
    <w:rsid w:val="007757cb"/>
    <w:pPr>
      <w:suppressAutoHyphens w:val="true"/>
      <w:ind w:hanging="1" w:left="-1"/>
      <w:textAlignment w:val="top"/>
      <w:outlineLvl w:val="1"/>
    </w:pPr>
    <w:rPr>
      <w:rFonts w:ascii="Arial" w:hAnsi="Arial"/>
      <w:position w:val="-1"/>
      <w:sz w:val="20"/>
    </w:rPr>
  </w:style>
  <w:style w:type="paragraph" w:styleId="Heading3">
    <w:name w:val="Heading 3"/>
    <w:basedOn w:val="Normal1"/>
    <w:next w:val="Normal1"/>
    <w:qFormat/>
    <w:rsid w:val="007757cb"/>
    <w:pPr>
      <w:keepNext w:val="true"/>
      <w:keepLines/>
      <w:spacing w:before="280" w:after="80"/>
      <w:outlineLvl w:val="2"/>
    </w:pPr>
    <w:rPr>
      <w:b/>
      <w:sz w:val="28"/>
      <w:szCs w:val="28"/>
    </w:rPr>
  </w:style>
  <w:style w:type="paragraph" w:styleId="Heading4">
    <w:name w:val="Heading 4"/>
    <w:basedOn w:val="Normal"/>
    <w:next w:val="Normal"/>
    <w:qFormat/>
    <w:rsid w:val="007757cb"/>
    <w:pPr>
      <w:keepNext w:val="true"/>
      <w:keepLines/>
      <w:suppressAutoHyphens w:val="true"/>
      <w:spacing w:lineRule="auto" w:line="276" w:before="40" w:after="0"/>
      <w:ind w:hanging="1" w:left="-1"/>
      <w:textAlignment w:val="top"/>
      <w:outlineLvl w:val="3"/>
    </w:pPr>
    <w:rPr>
      <w:rFonts w:ascii="Cambria" w:hAnsi="Cambria"/>
      <w:i/>
      <w:iCs/>
      <w:color w:val="365F91"/>
      <w:position w:val="-1"/>
      <w:sz w:val="20"/>
      <w:szCs w:val="20"/>
    </w:rPr>
  </w:style>
  <w:style w:type="paragraph" w:styleId="Heading5">
    <w:name w:val="Heading 5"/>
    <w:basedOn w:val="Normal1"/>
    <w:next w:val="Normal1"/>
    <w:qFormat/>
    <w:rsid w:val="007757cb"/>
    <w:pPr>
      <w:keepNext w:val="true"/>
      <w:keepLines/>
      <w:spacing w:before="220" w:after="40"/>
      <w:outlineLvl w:val="4"/>
    </w:pPr>
    <w:rPr>
      <w:b/>
    </w:rPr>
  </w:style>
  <w:style w:type="paragraph" w:styleId="Heading6">
    <w:name w:val="Heading 6"/>
    <w:basedOn w:val="Normal"/>
    <w:next w:val="Normal"/>
    <w:qFormat/>
    <w:rsid w:val="007757cb"/>
    <w:pPr>
      <w:keepNext w:val="true"/>
      <w:keepLines/>
      <w:suppressAutoHyphens w:val="true"/>
      <w:spacing w:lineRule="auto" w:line="276" w:before="40" w:after="0"/>
      <w:ind w:hanging="1" w:left="-1"/>
      <w:textAlignment w:val="top"/>
      <w:outlineLvl w:val="5"/>
    </w:pPr>
    <w:rPr>
      <w:rFonts w:ascii="Cambria" w:hAnsi="Cambria"/>
      <w:color w:val="243F60"/>
      <w:position w:val="-1"/>
      <w:sz w:val="20"/>
      <w:szCs w:val="20"/>
    </w:rPr>
  </w:style>
  <w:style w:type="paragraph" w:styleId="Heading9">
    <w:name w:val="Heading 9"/>
    <w:basedOn w:val="Normal"/>
    <w:next w:val="Normal"/>
    <w:qFormat/>
    <w:rsid w:val="007757cb"/>
    <w:pPr>
      <w:keepNext w:val="true"/>
      <w:keepLines/>
      <w:suppressAutoHyphens w:val="true"/>
      <w:spacing w:lineRule="auto" w:line="276" w:before="200" w:after="0"/>
      <w:ind w:hanging="1" w:left="-1"/>
      <w:textAlignment w:val="top"/>
      <w:outlineLvl w:val="8"/>
    </w:pPr>
    <w:rPr>
      <w:rFonts w:ascii="Cambria" w:hAnsi="Cambria"/>
      <w:i/>
      <w:iCs/>
      <w:color w:val="404040"/>
      <w:position w:val="-1"/>
      <w:sz w:val="20"/>
      <w:szCs w:val="20"/>
    </w:rPr>
  </w:style>
  <w:style w:type="character" w:styleId="DefaultParagraphFont" w:default="1">
    <w:name w:val="Default Paragraph Font"/>
    <w:uiPriority w:val="1"/>
    <w:semiHidden/>
    <w:unhideWhenUsed/>
    <w:qFormat/>
    <w:rPr/>
  </w:style>
  <w:style w:type="character" w:styleId="Ttulo1Char" w:customStyle="1">
    <w:name w:val="Título 1 Char"/>
    <w:uiPriority w:val="9"/>
    <w:qFormat/>
    <w:rsid w:val="007757cb"/>
    <w:rPr>
      <w:rFonts w:ascii="Calibri" w:hAnsi="Calibri" w:eastAsia="Times New Roman" w:cs="Times New Roman"/>
      <w:b/>
      <w:bCs/>
      <w:color w:val="004060"/>
      <w:w w:val="100"/>
      <w:kern w:val="2"/>
      <w:position w:val="0"/>
      <w:sz w:val="24"/>
      <w:sz w:val="24"/>
      <w:szCs w:val="32"/>
      <w:effect w:val="none"/>
      <w:vertAlign w:val="baseline"/>
      <w:em w:val="none"/>
    </w:rPr>
  </w:style>
  <w:style w:type="character" w:styleId="Ttulo2Char" w:customStyle="1">
    <w:name w:val="Título 2 Char"/>
    <w:qFormat/>
    <w:rsid w:val="007757cb"/>
    <w:rPr>
      <w:rFonts w:ascii="Arial" w:hAnsi="Arial" w:eastAsia="Times New Roman" w:cs="Times New Roman"/>
      <w:w w:val="100"/>
      <w:position w:val="0"/>
      <w:sz w:val="20"/>
      <w:sz w:val="20"/>
      <w:szCs w:val="24"/>
      <w:effect w:val="none"/>
      <w:vertAlign w:val="baseline"/>
      <w:em w:val="none"/>
      <w:lang w:eastAsia="pt-BR"/>
    </w:rPr>
  </w:style>
  <w:style w:type="character" w:styleId="Ttulo4Char" w:customStyle="1">
    <w:name w:val="Título 4 Char"/>
    <w:qFormat/>
    <w:rsid w:val="007757cb"/>
    <w:rPr>
      <w:rFonts w:ascii="Cambria" w:hAnsi="Cambria" w:eastAsia="Times New Roman" w:cs="Times New Roman"/>
      <w:i/>
      <w:iCs/>
      <w:color w:val="365F91"/>
      <w:w w:val="100"/>
      <w:position w:val="0"/>
      <w:sz w:val="20"/>
      <w:sz w:val="20"/>
      <w:effect w:val="none"/>
      <w:vertAlign w:val="baseline"/>
      <w:em w:val="none"/>
    </w:rPr>
  </w:style>
  <w:style w:type="character" w:styleId="Ttulo6Char" w:customStyle="1">
    <w:name w:val="Título 6 Char"/>
    <w:qFormat/>
    <w:rsid w:val="007757cb"/>
    <w:rPr>
      <w:rFonts w:ascii="Cambria" w:hAnsi="Cambria" w:eastAsia="Times New Roman" w:cs="Times New Roman"/>
      <w:color w:val="243F60"/>
      <w:w w:val="100"/>
      <w:position w:val="0"/>
      <w:sz w:val="20"/>
      <w:sz w:val="20"/>
      <w:effect w:val="none"/>
      <w:vertAlign w:val="baseline"/>
      <w:em w:val="none"/>
    </w:rPr>
  </w:style>
  <w:style w:type="character" w:styleId="Ttulo9Char" w:customStyle="1">
    <w:name w:val="Título 9 Char"/>
    <w:qFormat/>
    <w:rsid w:val="007757cb"/>
    <w:rPr>
      <w:rFonts w:ascii="Cambria" w:hAnsi="Cambria" w:eastAsia="Times New Roman" w:cs="Times New Roman"/>
      <w:i/>
      <w:iCs/>
      <w:color w:val="404040"/>
      <w:w w:val="100"/>
      <w:position w:val="0"/>
      <w:sz w:val="20"/>
      <w:sz w:val="20"/>
      <w:szCs w:val="20"/>
      <w:effect w:val="none"/>
      <w:vertAlign w:val="baseline"/>
      <w:em w:val="none"/>
    </w:rPr>
  </w:style>
  <w:style w:type="character" w:styleId="SemEspaamentoChar" w:customStyle="1">
    <w:name w:val="Sem Espaçamento Char"/>
    <w:qFormat/>
    <w:rsid w:val="007757cb"/>
    <w:rPr>
      <w:rFonts w:ascii="Times New Roman" w:hAnsi="Times New Roman" w:eastAsia="Times New Roman"/>
      <w:w w:val="100"/>
      <w:position w:val="0"/>
      <w:sz w:val="22"/>
      <w:sz w:val="22"/>
      <w:szCs w:val="22"/>
      <w:effect w:val="none"/>
      <w:vertAlign w:val="baseline"/>
      <w:em w:val="none"/>
      <w:lang w:val="pt-PT" w:eastAsia="en-US" w:bidi="ar-SA"/>
    </w:rPr>
  </w:style>
  <w:style w:type="character" w:styleId="PargrafodaListaCharSegundoCharListaItensCharListParagraphCharNormal-MarcadoresCharPargrafodaLista11CharPargrafodaLista1Charlp1Char" w:customStyle="1">
    <w:name w:val="Parágrafo da Lista Char;Segundo Char;Lista Itens Char;List Paragraph Char;Normal - Marcadores Char;Parágrafo da Lista11 Char;Parágrafo da Lista1 Char;lp1 Char"/>
    <w:qFormat/>
    <w:rsid w:val="007757cb"/>
    <w:rPr>
      <w:rFonts w:ascii="Franklin Gothic Book" w:hAnsi="Franklin Gothic Book" w:eastAsia="Franklin Gothic Book"/>
      <w:w w:val="100"/>
      <w:position w:val="0"/>
      <w:sz w:val="20"/>
      <w:sz w:val="20"/>
      <w:effect w:val="none"/>
      <w:vertAlign w:val="baseline"/>
      <w:em w:val="none"/>
    </w:rPr>
  </w:style>
  <w:style w:type="character" w:styleId="TextodebaloChar" w:customStyle="1">
    <w:name w:val="Texto de balão Char"/>
    <w:qFormat/>
    <w:rsid w:val="007757cb"/>
    <w:rPr>
      <w:rFonts w:ascii="Tahoma" w:hAnsi="Tahoma" w:eastAsia="Franklin Gothic Book" w:cs="Tahoma"/>
      <w:w w:val="100"/>
      <w:position w:val="0"/>
      <w:sz w:val="16"/>
      <w:sz w:val="16"/>
      <w:szCs w:val="16"/>
      <w:effect w:val="none"/>
      <w:vertAlign w:val="baseline"/>
      <w:em w:val="none"/>
    </w:rPr>
  </w:style>
  <w:style w:type="character" w:styleId="CabealhoChar" w:customStyle="1">
    <w:name w:val="Cabeçalho Char"/>
    <w:qFormat/>
    <w:rsid w:val="007757cb"/>
    <w:rPr>
      <w:rFonts w:ascii="Franklin Gothic Book" w:hAnsi="Franklin Gothic Book" w:eastAsia="Franklin Gothic Book" w:cs="Times New Roman"/>
      <w:w w:val="100"/>
      <w:position w:val="0"/>
      <w:sz w:val="20"/>
      <w:sz w:val="20"/>
      <w:effect w:val="none"/>
      <w:vertAlign w:val="baseline"/>
      <w:em w:val="none"/>
    </w:rPr>
  </w:style>
  <w:style w:type="character" w:styleId="RodapChar" w:customStyle="1">
    <w:name w:val="Rodapé Char"/>
    <w:qFormat/>
    <w:rsid w:val="007757cb"/>
    <w:rPr>
      <w:rFonts w:ascii="Franklin Gothic Book" w:hAnsi="Franklin Gothic Book" w:eastAsia="Franklin Gothic Book" w:cs="Times New Roman"/>
      <w:w w:val="100"/>
      <w:position w:val="0"/>
      <w:sz w:val="20"/>
      <w:sz w:val="20"/>
      <w:effect w:val="none"/>
      <w:vertAlign w:val="baseline"/>
      <w:em w:val="none"/>
    </w:rPr>
  </w:style>
  <w:style w:type="character" w:styleId="WW8Num1z5" w:customStyle="1">
    <w:name w:val="WW8Num1z5"/>
    <w:qFormat/>
    <w:rsid w:val="007757cb"/>
    <w:rPr>
      <w:w w:val="100"/>
      <w:position w:val="0"/>
      <w:sz w:val="20"/>
      <w:sz w:val="20"/>
      <w:effect w:val="none"/>
      <w:vertAlign w:val="baseline"/>
      <w:em w:val="none"/>
    </w:rPr>
  </w:style>
  <w:style w:type="character" w:styleId="Fontepargpadro1" w:customStyle="1">
    <w:name w:val="Fonte parág. padrão1"/>
    <w:qFormat/>
    <w:rsid w:val="007757cb"/>
    <w:rPr>
      <w:w w:val="100"/>
      <w:position w:val="0"/>
      <w:sz w:val="20"/>
      <w:sz w:val="20"/>
      <w:effect w:val="none"/>
      <w:vertAlign w:val="baseline"/>
      <w:em w:val="none"/>
    </w:rPr>
  </w:style>
  <w:style w:type="character" w:styleId="CorpodetextoChar" w:customStyle="1">
    <w:name w:val="Corpo de texto Char"/>
    <w:qFormat/>
    <w:rsid w:val="007757cb"/>
    <w:rPr>
      <w:rFonts w:ascii="Liberation Serif" w:hAnsi="Liberation Serif" w:eastAsia="SimSun" w:cs="Lucida Sans"/>
      <w:color w:val="00000A"/>
      <w:w w:val="100"/>
      <w:position w:val="0"/>
      <w:sz w:val="24"/>
      <w:sz w:val="24"/>
      <w:szCs w:val="24"/>
      <w:effect w:val="none"/>
      <w:vertAlign w:val="baseline"/>
      <w:em w:val="none"/>
      <w:lang w:eastAsia="zh-CN" w:bidi="hi-IN"/>
    </w:rPr>
  </w:style>
  <w:style w:type="character" w:styleId="Annotationreference">
    <w:name w:val="annotation reference"/>
    <w:uiPriority w:val="99"/>
    <w:qFormat/>
    <w:rsid w:val="007757cb"/>
    <w:rPr>
      <w:w w:val="100"/>
      <w:position w:val="0"/>
      <w:sz w:val="16"/>
      <w:sz w:val="16"/>
      <w:szCs w:val="16"/>
      <w:effect w:val="none"/>
      <w:vertAlign w:val="baseline"/>
      <w:em w:val="none"/>
    </w:rPr>
  </w:style>
  <w:style w:type="character" w:styleId="TextodecomentrioChar" w:customStyle="1">
    <w:name w:val="Texto de comentário Char"/>
    <w:uiPriority w:val="99"/>
    <w:qFormat/>
    <w:rsid w:val="007757cb"/>
    <w:rPr>
      <w:rFonts w:ascii="Franklin Gothic Book" w:hAnsi="Franklin Gothic Book" w:eastAsia="Franklin Gothic Book" w:cs="Times New Roman"/>
      <w:w w:val="100"/>
      <w:position w:val="0"/>
      <w:sz w:val="20"/>
      <w:sz w:val="20"/>
      <w:szCs w:val="20"/>
      <w:effect w:val="none"/>
      <w:vertAlign w:val="baseline"/>
      <w:em w:val="none"/>
    </w:rPr>
  </w:style>
  <w:style w:type="character" w:styleId="AssuntodocomentrioChar" w:customStyle="1">
    <w:name w:val="Assunto do comentário Char"/>
    <w:qFormat/>
    <w:rsid w:val="007757cb"/>
    <w:rPr>
      <w:rFonts w:ascii="Franklin Gothic Book" w:hAnsi="Franklin Gothic Book" w:eastAsia="Franklin Gothic Book" w:cs="Times New Roman"/>
      <w:b/>
      <w:bCs/>
      <w:w w:val="100"/>
      <w:position w:val="0"/>
      <w:sz w:val="20"/>
      <w:sz w:val="20"/>
      <w:szCs w:val="20"/>
      <w:effect w:val="none"/>
      <w:vertAlign w:val="baseline"/>
      <w:em w:val="none"/>
    </w:rPr>
  </w:style>
  <w:style w:type="character" w:styleId="Apple-tab-span" w:customStyle="1">
    <w:name w:val="apple-tab-span"/>
    <w:qFormat/>
    <w:rsid w:val="007757cb"/>
    <w:rPr>
      <w:w w:val="100"/>
      <w:position w:val="0"/>
      <w:sz w:val="20"/>
      <w:sz w:val="20"/>
      <w:effect w:val="none"/>
      <w:vertAlign w:val="baseline"/>
      <w:em w:val="none"/>
    </w:rPr>
  </w:style>
  <w:style w:type="character" w:styleId="Hyperlink">
    <w:name w:val="Hyperlink"/>
    <w:qFormat/>
    <w:rsid w:val="007757cb"/>
    <w:rPr>
      <w:color w:val="0000FF"/>
      <w:w w:val="100"/>
      <w:position w:val="0"/>
      <w:sz w:val="20"/>
      <w:sz w:val="20"/>
      <w:u w:val="single"/>
      <w:effect w:val="none"/>
      <w:vertAlign w:val="baseline"/>
      <w:em w:val="none"/>
    </w:rPr>
  </w:style>
  <w:style w:type="character" w:styleId="Strong">
    <w:name w:val="Strong"/>
    <w:uiPriority w:val="22"/>
    <w:qFormat/>
    <w:rsid w:val="007757cb"/>
    <w:rPr>
      <w:b/>
      <w:bCs/>
      <w:w w:val="100"/>
      <w:position w:val="0"/>
      <w:sz w:val="20"/>
      <w:sz w:val="20"/>
      <w:effect w:val="none"/>
      <w:vertAlign w:val="baseline"/>
      <w:em w:val="none"/>
    </w:rPr>
  </w:style>
  <w:style w:type="character" w:styleId="Emphasis">
    <w:name w:val="Emphasis"/>
    <w:qFormat/>
    <w:rsid w:val="007757cb"/>
    <w:rPr>
      <w:i/>
      <w:iCs/>
      <w:w w:val="100"/>
      <w:position w:val="0"/>
      <w:sz w:val="20"/>
      <w:sz w:val="20"/>
      <w:effect w:val="none"/>
      <w:vertAlign w:val="baseline"/>
      <w:em w:val="none"/>
    </w:rPr>
  </w:style>
  <w:style w:type="character" w:styleId="TextodenotaderodapChar" w:customStyle="1">
    <w:name w:val="Texto de nota de rodapé Char"/>
    <w:qFormat/>
    <w:rsid w:val="007757cb"/>
    <w:rPr>
      <w:rFonts w:ascii="Franklin Gothic Book" w:hAnsi="Franklin Gothic Book" w:eastAsia="Franklin Gothic Book" w:cs="Times New Roman"/>
      <w:w w:val="100"/>
      <w:position w:val="0"/>
      <w:sz w:val="20"/>
      <w:sz w:val="20"/>
      <w:szCs w:val="20"/>
      <w:effect w:val="none"/>
      <w:vertAlign w:val="baseline"/>
      <w:em w:val="none"/>
    </w:rPr>
  </w:style>
  <w:style w:type="character" w:styleId="Caracteresdenotaderodap">
    <w:name w:val="Caracteres de nota de rodapé"/>
    <w:qFormat/>
    <w:rsid w:val="007757cb"/>
    <w:rPr>
      <w:w w:val="100"/>
      <w:effect w:val="none"/>
      <w:vertAlign w:val="superscript"/>
      <w:em w:val="none"/>
    </w:rPr>
  </w:style>
  <w:style w:type="character" w:styleId="FootnoteReference">
    <w:name w:val="Footnote Reference"/>
    <w:rPr>
      <w:w w:val="100"/>
      <w:effect w:val="none"/>
      <w:vertAlign w:val="superscript"/>
      <w:em w:val="none"/>
    </w:rPr>
  </w:style>
  <w:style w:type="character" w:styleId="Apple-converted-space" w:customStyle="1">
    <w:name w:val="apple-converted-space"/>
    <w:qFormat/>
    <w:rsid w:val="007757cb"/>
    <w:rPr>
      <w:w w:val="100"/>
      <w:position w:val="0"/>
      <w:sz w:val="20"/>
      <w:sz w:val="20"/>
      <w:effect w:val="none"/>
      <w:vertAlign w:val="baseline"/>
      <w:em w:val="none"/>
    </w:rPr>
  </w:style>
  <w:style w:type="character" w:styleId="TtuloChar" w:customStyle="1">
    <w:name w:val="Título Char"/>
    <w:qFormat/>
    <w:rsid w:val="007757cb"/>
    <w:rPr>
      <w:b/>
      <w:w w:val="100"/>
      <w:position w:val="0"/>
      <w:sz w:val="22"/>
      <w:sz w:val="22"/>
      <w:szCs w:val="22"/>
      <w:effect w:val="none"/>
      <w:vertAlign w:val="baseline"/>
      <w:em w:val="none"/>
    </w:rPr>
  </w:style>
  <w:style w:type="character" w:styleId="CitaoChar" w:customStyle="1">
    <w:name w:val="Citação Char"/>
    <w:qFormat/>
    <w:rsid w:val="007757cb"/>
    <w:rPr>
      <w:rFonts w:ascii="Arial" w:hAnsi="Arial" w:cs="Tahoma"/>
      <w:i/>
      <w:iCs/>
      <w:color w:val="000000"/>
      <w:w w:val="100"/>
      <w:position w:val="0"/>
      <w:sz w:val="20"/>
      <w:sz w:val="20"/>
      <w:szCs w:val="24"/>
      <w:effect w:val="none"/>
      <w:shd w:fill="FFFFCC" w:val="clear"/>
      <w:vertAlign w:val="baseline"/>
      <w:em w:val="none"/>
      <w:lang w:eastAsia="en-US"/>
    </w:rPr>
  </w:style>
  <w:style w:type="character" w:styleId="PargrafodaListaChar" w:customStyle="1">
    <w:name w:val="Parágrafo da Lista Char"/>
    <w:link w:val="ListParagraph"/>
    <w:uiPriority w:val="99"/>
    <w:qFormat/>
    <w:locked/>
    <w:rsid w:val="00dc2116"/>
    <w:rPr>
      <w:rFonts w:ascii="Franklin Gothic Book" w:hAnsi="Franklin Gothic Book" w:eastAsia="Franklin Gothic Book"/>
      <w:sz w:val="22"/>
      <w:szCs w:val="22"/>
      <w:vertAlign w:val="subscript"/>
      <w:lang w:eastAsia="en-US"/>
    </w:rPr>
  </w:style>
  <w:style w:type="character" w:styleId="MenoPendente" w:customStyle="1">
    <w:name w:val="Menção Pendente"/>
    <w:uiPriority w:val="99"/>
    <w:semiHidden/>
    <w:unhideWhenUsed/>
    <w:qFormat/>
    <w:rsid w:val="00f578ae"/>
    <w:rPr>
      <w:color w:val="605E5C"/>
      <w:shd w:fill="E1DFDD" w:val="clear"/>
    </w:rPr>
  </w:style>
  <w:style w:type="character" w:styleId="WW8Num1z0" w:customStyle="1">
    <w:name w:val="WW8Num1z0"/>
    <w:qFormat/>
    <w:rsid w:val="00d5441b"/>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rsid w:val="007757cb"/>
    <w:pPr>
      <w:spacing w:lineRule="auto" w:line="288" w:before="0" w:after="140"/>
      <w:ind w:hanging="1" w:left="-1"/>
      <w:textAlignment w:val="baseline"/>
      <w:outlineLvl w:val="0"/>
    </w:pPr>
    <w:rPr>
      <w:rFonts w:ascii="Liberation Serif" w:hAnsi="Liberation Serif" w:eastAsia="SimSun" w:cs="Lucida Sans"/>
      <w:color w:val="00000A"/>
      <w:vertAlign w:val="subscript"/>
      <w:lang w:eastAsia="zh-CN" w:bidi="hi-IN"/>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1" w:customStyle="1">
    <w:name w:val="normal1"/>
    <w:qFormat/>
    <w:rsid w:val="007757cb"/>
    <w:pPr>
      <w:widowControl/>
      <w:suppressAutoHyphens w:val="true"/>
      <w:bidi w:val="0"/>
      <w:spacing w:lineRule="auto" w:line="276" w:before="0" w:after="200"/>
      <w:jc w:val="left"/>
    </w:pPr>
    <w:rPr>
      <w:rFonts w:ascii="Libre Franklin" w:hAnsi="Libre Franklin" w:eastAsia="Libre Franklin" w:cs="Libre Franklin"/>
      <w:color w:val="auto"/>
      <w:kern w:val="0"/>
      <w:sz w:val="22"/>
      <w:szCs w:val="22"/>
      <w:lang w:val="pt-BR" w:eastAsia="pt-BR" w:bidi="ar-SA"/>
    </w:rPr>
  </w:style>
  <w:style w:type="paragraph" w:styleId="Title">
    <w:name w:val="Title"/>
    <w:basedOn w:val="Normal"/>
    <w:qFormat/>
    <w:rsid w:val="007757cb"/>
    <w:pPr>
      <w:numPr>
        <w:ilvl w:val="0"/>
        <w:numId w:val="3"/>
      </w:numPr>
      <w:ind w:hanging="1" w:left="-1"/>
      <w:jc w:val="both"/>
    </w:pPr>
    <w:rPr>
      <w:rFonts w:ascii="Calibri" w:hAnsi="Calibri"/>
      <w:b/>
      <w:position w:val="-1"/>
      <w:sz w:val="22"/>
      <w:szCs w:val="22"/>
    </w:rPr>
  </w:style>
  <w:style w:type="paragraph" w:styleId="NoSpacing">
    <w:name w:val="No Spacing"/>
    <w:qFormat/>
    <w:rsid w:val="007757cb"/>
    <w:pPr>
      <w:widowControl/>
      <w:suppressAutoHyphens w:val="true"/>
      <w:bidi w:val="0"/>
      <w:spacing w:lineRule="atLeast" w:line="1" w:before="0" w:after="200"/>
      <w:ind w:hanging="1" w:left="-1"/>
      <w:jc w:val="left"/>
      <w:textAlignment w:val="top"/>
      <w:outlineLvl w:val="0"/>
    </w:pPr>
    <w:rPr>
      <w:rFonts w:ascii="Times New Roman" w:hAnsi="Times New Roman" w:eastAsia="Times New Roman" w:cs="Libre Franklin"/>
      <w:color w:val="auto"/>
      <w:kern w:val="0"/>
      <w:position w:val="-1"/>
      <w:sz w:val="22"/>
      <w:szCs w:val="22"/>
      <w:lang w:val="pt-PT" w:eastAsia="en-US" w:bidi="ar-SA"/>
    </w:rPr>
  </w:style>
  <w:style w:type="paragraph" w:styleId="PargrafodaListaSegundoListaItensListParagraphNormal-MarcadoresPargrafodaLista11PargrafodaLista1lp1" w:customStyle="1">
    <w:name w:val="Parágrafo da Lista;Segundo;Lista Itens;List Paragraph;Normal - Marcadores;Parágrafo da Lista11;Parágrafo da Lista1;lp1"/>
    <w:basedOn w:val="Normal"/>
    <w:qFormat/>
    <w:rsid w:val="007757cb"/>
    <w:pPr>
      <w:suppressAutoHyphens w:val="true"/>
      <w:spacing w:lineRule="auto" w:line="276" w:before="0" w:after="200"/>
      <w:ind w:hanging="1" w:left="720"/>
      <w:contextualSpacing/>
      <w:textAlignment w:val="top"/>
      <w:outlineLvl w:val="0"/>
    </w:pPr>
    <w:rPr>
      <w:rFonts w:ascii="Franklin Gothic Book" w:hAnsi="Franklin Gothic Book" w:eastAsia="Franklin Gothic Book"/>
      <w:position w:val="-1"/>
      <w:sz w:val="20"/>
      <w:szCs w:val="20"/>
    </w:rPr>
  </w:style>
  <w:style w:type="paragraph" w:styleId="BalloonText">
    <w:name w:val="Balloon Text"/>
    <w:basedOn w:val="Normal"/>
    <w:qFormat/>
    <w:rsid w:val="007757cb"/>
    <w:pPr>
      <w:suppressAutoHyphens w:val="true"/>
      <w:ind w:hanging="1" w:left="-1"/>
      <w:textAlignment w:val="top"/>
      <w:outlineLvl w:val="0"/>
    </w:pPr>
    <w:rPr>
      <w:rFonts w:ascii="Tahoma" w:hAnsi="Tahoma" w:eastAsia="Franklin Gothic Book"/>
      <w:position w:val="-1"/>
      <w:sz w:val="16"/>
      <w:szCs w:val="16"/>
    </w:rPr>
  </w:style>
  <w:style w:type="paragraph" w:styleId="CabealhoeRodap">
    <w:name w:val="Cabeçalho e Rodapé"/>
    <w:basedOn w:val="Normal"/>
    <w:qFormat/>
    <w:pPr/>
    <w:rPr/>
  </w:style>
  <w:style w:type="paragraph" w:styleId="Header">
    <w:name w:val="Header"/>
    <w:basedOn w:val="Normal"/>
    <w:qFormat/>
    <w:rsid w:val="007757cb"/>
    <w:pPr>
      <w:suppressAutoHyphens w:val="true"/>
      <w:ind w:hanging="1" w:left="-1"/>
      <w:textAlignment w:val="top"/>
      <w:outlineLvl w:val="0"/>
    </w:pPr>
    <w:rPr>
      <w:rFonts w:ascii="Franklin Gothic Book" w:hAnsi="Franklin Gothic Book" w:eastAsia="Franklin Gothic Book"/>
      <w:position w:val="-1"/>
      <w:sz w:val="20"/>
      <w:szCs w:val="20"/>
    </w:rPr>
  </w:style>
  <w:style w:type="paragraph" w:styleId="Footer">
    <w:name w:val="Footer"/>
    <w:basedOn w:val="Normal"/>
    <w:qFormat/>
    <w:rsid w:val="007757cb"/>
    <w:pPr>
      <w:suppressAutoHyphens w:val="true"/>
      <w:ind w:hanging="1" w:left="-1"/>
      <w:textAlignment w:val="top"/>
      <w:outlineLvl w:val="0"/>
    </w:pPr>
    <w:rPr>
      <w:rFonts w:ascii="Franklin Gothic Book" w:hAnsi="Franklin Gothic Book" w:eastAsia="Franklin Gothic Book"/>
      <w:position w:val="-1"/>
      <w:sz w:val="20"/>
      <w:szCs w:val="20"/>
    </w:rPr>
  </w:style>
  <w:style w:type="paragraph" w:styleId="Standard" w:customStyle="1">
    <w:name w:val="Standard"/>
    <w:qFormat/>
    <w:rsid w:val="007757cb"/>
    <w:pPr>
      <w:widowControl/>
      <w:suppressAutoHyphens w:val="true"/>
      <w:bidi w:val="0"/>
      <w:spacing w:lineRule="atLeast" w:line="1" w:before="0" w:after="200"/>
      <w:ind w:hanging="1" w:left="-1"/>
      <w:jc w:val="left"/>
      <w:textAlignment w:val="baseline"/>
      <w:outlineLvl w:val="0"/>
    </w:pPr>
    <w:rPr>
      <w:rFonts w:ascii="Times New Roman" w:hAnsi="Times New Roman" w:eastAsia="Times New Roman" w:cs="Libre Franklin"/>
      <w:color w:val="auto"/>
      <w:kern w:val="2"/>
      <w:position w:val="-1"/>
      <w:sz w:val="22"/>
      <w:szCs w:val="22"/>
      <w:lang w:val="pt-BR" w:eastAsia="zh-CN" w:bidi="ar-SA"/>
    </w:rPr>
  </w:style>
  <w:style w:type="paragraph" w:styleId="Textbody" w:customStyle="1">
    <w:name w:val="Text body"/>
    <w:basedOn w:val="Standard"/>
    <w:qFormat/>
    <w:rsid w:val="007757cb"/>
    <w:pPr>
      <w:spacing w:lineRule="auto" w:line="288" w:before="0" w:after="140"/>
    </w:pPr>
    <w:rPr/>
  </w:style>
  <w:style w:type="paragraph" w:styleId="Style41" w:customStyle="1">
    <w:name w:val="_Style 4"/>
    <w:basedOn w:val="Standard"/>
    <w:qFormat/>
    <w:rsid w:val="007757cb"/>
    <w:pPr>
      <w:spacing w:lineRule="auto" w:line="276"/>
      <w:ind w:left="720"/>
    </w:pPr>
    <w:rPr>
      <w:rFonts w:ascii="Franklin Gothic Book" w:hAnsi="Franklin Gothic Book" w:eastAsia="Franklin Gothic Book" w:cs="Franklin Gothic Book"/>
    </w:rPr>
  </w:style>
  <w:style w:type="paragraph" w:styleId="TableParagraph" w:customStyle="1">
    <w:name w:val="Table Paragraph"/>
    <w:basedOn w:val="Normal"/>
    <w:qFormat/>
    <w:rsid w:val="007757cb"/>
    <w:pPr>
      <w:widowControl w:val="false"/>
      <w:suppressAutoHyphens w:val="true"/>
      <w:ind w:hanging="1" w:left="-1"/>
      <w:textAlignment w:val="top"/>
      <w:outlineLvl w:val="0"/>
    </w:pPr>
    <w:rPr>
      <w:rFonts w:ascii="Calibri" w:hAnsi="Calibri" w:eastAsia="Calibri" w:cs="Calibri"/>
      <w:position w:val="-1"/>
      <w:sz w:val="22"/>
      <w:szCs w:val="22"/>
      <w:lang w:val="pt-PT" w:eastAsia="pt-PT" w:bidi="pt-PT"/>
    </w:rPr>
  </w:style>
  <w:style w:type="paragraph" w:styleId="NormalWeb">
    <w:name w:val="Normal (Web)"/>
    <w:basedOn w:val="Normal"/>
    <w:uiPriority w:val="99"/>
    <w:qFormat/>
    <w:rsid w:val="007757cb"/>
    <w:pPr>
      <w:suppressAutoHyphens w:val="true"/>
      <w:spacing w:beforeAutospacing="1" w:afterAutospacing="1"/>
      <w:ind w:hanging="1" w:left="-1"/>
      <w:textAlignment w:val="top"/>
      <w:outlineLvl w:val="0"/>
    </w:pPr>
    <w:rPr>
      <w:position w:val="-1"/>
    </w:rPr>
  </w:style>
  <w:style w:type="paragraph" w:styleId="Annotationtext">
    <w:name w:val="annotation text"/>
    <w:basedOn w:val="Normal"/>
    <w:uiPriority w:val="99"/>
    <w:qFormat/>
    <w:rsid w:val="007757cb"/>
    <w:pPr>
      <w:suppressAutoHyphens w:val="true"/>
      <w:spacing w:before="0" w:after="200"/>
      <w:ind w:hanging="1" w:left="-1"/>
      <w:textAlignment w:val="top"/>
      <w:outlineLvl w:val="0"/>
    </w:pPr>
    <w:rPr>
      <w:rFonts w:ascii="Franklin Gothic Book" w:hAnsi="Franklin Gothic Book" w:eastAsia="Franklin Gothic Book"/>
      <w:position w:val="-1"/>
      <w:sz w:val="20"/>
      <w:szCs w:val="20"/>
    </w:rPr>
  </w:style>
  <w:style w:type="paragraph" w:styleId="Annotationsubject">
    <w:name w:val="annotation subject"/>
    <w:basedOn w:val="Annotationtext"/>
    <w:next w:val="Annotationtext"/>
    <w:qFormat/>
    <w:rsid w:val="007757cb"/>
    <w:pPr/>
    <w:rPr>
      <w:b/>
      <w:bCs/>
    </w:rPr>
  </w:style>
  <w:style w:type="paragraph" w:styleId="Msonormal" w:customStyle="1">
    <w:name w:val="msonormal"/>
    <w:basedOn w:val="Normal"/>
    <w:qFormat/>
    <w:rsid w:val="007757cb"/>
    <w:pPr>
      <w:suppressAutoHyphens w:val="true"/>
      <w:spacing w:beforeAutospacing="1" w:afterAutospacing="1"/>
      <w:ind w:hanging="1" w:left="-1"/>
      <w:textAlignment w:val="top"/>
      <w:outlineLvl w:val="0"/>
    </w:pPr>
    <w:rPr>
      <w:position w:val="-1"/>
    </w:rPr>
  </w:style>
  <w:style w:type="paragraph" w:styleId="Cabealho1" w:customStyle="1">
    <w:name w:val="Cabeçalho1"/>
    <w:basedOn w:val="Normal"/>
    <w:qFormat/>
    <w:rsid w:val="007757cb"/>
    <w:pPr>
      <w:ind w:hanging="1" w:left="-1"/>
      <w:jc w:val="both"/>
      <w:textAlignment w:val="top"/>
      <w:outlineLvl w:val="0"/>
    </w:pPr>
    <w:rPr>
      <w:color w:val="00000A"/>
      <w:position w:val="-1"/>
      <w:szCs w:val="20"/>
      <w:lang w:eastAsia="zh-CN"/>
    </w:rPr>
  </w:style>
  <w:style w:type="paragraph" w:styleId="FootnoteText">
    <w:name w:val="Footnote Text"/>
    <w:basedOn w:val="Normal"/>
    <w:qFormat/>
    <w:rsid w:val="007757cb"/>
    <w:pPr>
      <w:suppressAutoHyphens w:val="true"/>
      <w:ind w:hanging="1" w:left="-1"/>
      <w:textAlignment w:val="top"/>
      <w:outlineLvl w:val="0"/>
    </w:pPr>
    <w:rPr>
      <w:rFonts w:ascii="Franklin Gothic Book" w:hAnsi="Franklin Gothic Book" w:eastAsia="Franklin Gothic Book"/>
      <w:position w:val="-1"/>
      <w:sz w:val="20"/>
      <w:szCs w:val="20"/>
    </w:rPr>
  </w:style>
  <w:style w:type="paragraph" w:styleId="Ttulo21" w:customStyle="1">
    <w:name w:val="Título 21"/>
    <w:basedOn w:val="Normal"/>
    <w:next w:val="Normal"/>
    <w:qFormat/>
    <w:rsid w:val="007757cb"/>
    <w:pPr>
      <w:keepNext w:val="true"/>
      <w:ind w:hanging="1" w:left="-1" w:right="-1"/>
      <w:jc w:val="center"/>
      <w:textAlignment w:val="top"/>
      <w:outlineLvl w:val="1"/>
    </w:pPr>
    <w:rPr>
      <w:rFonts w:ascii="Calibri" w:hAnsi="Calibri" w:eastAsia="Calibri"/>
      <w:b/>
      <w:color w:val="000000"/>
      <w:position w:val="-1"/>
      <w:szCs w:val="22"/>
      <w:lang w:eastAsia="en-US"/>
    </w:rPr>
  </w:style>
  <w:style w:type="paragraph" w:styleId="Font5" w:customStyle="1">
    <w:name w:val="font5"/>
    <w:basedOn w:val="Normal"/>
    <w:qFormat/>
    <w:rsid w:val="007757cb"/>
    <w:pPr>
      <w:widowControl w:val="false"/>
      <w:suppressAutoHyphens w:val="true"/>
      <w:spacing w:lineRule="atLeast" w:line="360" w:beforeAutospacing="1" w:afterAutospacing="1"/>
      <w:ind w:hanging="1" w:left="-1"/>
      <w:jc w:val="both"/>
      <w:textAlignment w:val="top"/>
      <w:outlineLvl w:val="0"/>
    </w:pPr>
    <w:rPr>
      <w:rFonts w:ascii="Arial" w:hAnsi="Arial" w:eastAsia="Arial Unicode MS" w:cs="Arial"/>
      <w:b/>
      <w:bCs/>
      <w:position w:val="-1"/>
      <w:sz w:val="20"/>
      <w:szCs w:val="20"/>
    </w:rPr>
  </w:style>
  <w:style w:type="paragraph" w:styleId="Quote">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val="true"/>
      <w:spacing w:before="120" w:after="0"/>
      <w:ind w:hanging="1" w:left="-1"/>
      <w:jc w:val="both"/>
      <w:textAlignment w:val="top"/>
      <w:outlineLvl w:val="0"/>
    </w:pPr>
    <w:rPr>
      <w:rFonts w:ascii="Arial" w:hAnsi="Arial" w:eastAsia="Calibri"/>
      <w:i/>
      <w:iCs/>
      <w:color w:val="000000"/>
      <w:position w:val="-1"/>
      <w:sz w:val="20"/>
      <w:lang w:eastAsia="en-US"/>
    </w:rPr>
  </w:style>
  <w:style w:type="paragraph" w:styleId="Subtitle">
    <w:name w:val="Subtitle"/>
    <w:basedOn w:val="Normal"/>
    <w:next w:val="Normal"/>
    <w:qFormat/>
    <w:rsid w:val="007757cb"/>
    <w:pPr>
      <w:keepNext w:val="true"/>
      <w:keepLines/>
      <w:spacing w:before="360" w:after="80"/>
    </w:pPr>
    <w:rPr>
      <w:rFonts w:ascii="Georgia" w:hAnsi="Georgia" w:eastAsia="Georgia" w:cs="Georgia"/>
      <w:i/>
      <w:color w:val="666666"/>
      <w:sz w:val="48"/>
      <w:szCs w:val="48"/>
    </w:rPr>
  </w:style>
  <w:style w:type="paragraph" w:styleId="ListParagraph">
    <w:name w:val="List Paragraph"/>
    <w:basedOn w:val="Normal"/>
    <w:link w:val="PargrafodaListaChar"/>
    <w:uiPriority w:val="99"/>
    <w:qFormat/>
    <w:rsid w:val="00de7faa"/>
    <w:pPr>
      <w:ind w:left="708"/>
    </w:pPr>
    <w:rPr>
      <w:rFonts w:ascii="Franklin Gothic Book" w:hAnsi="Franklin Gothic Book" w:eastAsia="Franklin Gothic Book"/>
      <w:position w:val="-1"/>
      <w:sz w:val="22"/>
      <w:szCs w:val="22"/>
      <w:lang w:eastAsia="en-US"/>
    </w:rPr>
  </w:style>
  <w:style w:type="paragraph" w:styleId="Normal11" w:customStyle="1">
    <w:name w:val="Normal11"/>
    <w:qFormat/>
    <w:rsid w:val="005700a8"/>
    <w:pPr>
      <w:widowControl/>
      <w:suppressAutoHyphens w:val="true"/>
      <w:bidi w:val="0"/>
      <w:spacing w:lineRule="auto" w:line="276" w:before="0" w:after="200"/>
      <w:jc w:val="left"/>
    </w:pPr>
    <w:rPr>
      <w:rFonts w:ascii="Libre Franklin" w:hAnsi="Libre Franklin" w:eastAsia="Libre Franklin" w:cs="Libre Franklin"/>
      <w:color w:val="auto"/>
      <w:kern w:val="0"/>
      <w:sz w:val="22"/>
      <w:szCs w:val="22"/>
      <w:lang w:val="pt-BR" w:eastAsia="pt-BR" w:bidi="ar-SA"/>
    </w:rPr>
  </w:style>
  <w:style w:type="paragraph" w:styleId="Default" w:customStyle="1">
    <w:name w:val="Default"/>
    <w:qFormat/>
    <w:rsid w:val="00ec2f91"/>
    <w:pPr>
      <w:widowControl/>
      <w:suppressAutoHyphens w:val="true"/>
      <w:bidi w:val="0"/>
      <w:spacing w:before="0" w:after="0"/>
      <w:jc w:val="left"/>
    </w:pPr>
    <w:rPr>
      <w:rFonts w:ascii="Arial" w:hAnsi="Arial" w:eastAsia="Times New Roman" w:cs="Arial"/>
      <w:color w:val="000000"/>
      <w:kern w:val="0"/>
      <w:sz w:val="24"/>
      <w:szCs w:val="24"/>
      <w:lang w:val="pt-BR" w:eastAsia="pt-BR" w:bidi="ar-SA"/>
    </w:rPr>
  </w:style>
  <w:style w:type="paragraph" w:styleId="Nivel1" w:customStyle="1">
    <w:name w:val="Nivel1"/>
    <w:basedOn w:val="Heading1"/>
    <w:qFormat/>
    <w:rsid w:val="00ee4d9f"/>
    <w:pPr>
      <w:keepLines/>
      <w:numPr>
        <w:ilvl w:val="0"/>
        <w:numId w:val="6"/>
      </w:numPr>
      <w:suppressAutoHyphens w:val="false"/>
      <w:spacing w:before="480" w:after="120"/>
      <w:ind w:hanging="0" w:left="720"/>
      <w:jc w:val="both"/>
      <w:textAlignment w:val="auto"/>
    </w:pPr>
    <w:rPr>
      <w:rFonts w:ascii="Arial" w:hAnsi="Arial" w:eastAsia="MS Gothic"/>
      <w:bCs w:val="false"/>
      <w:color w:val="000000"/>
      <w:kern w:val="0"/>
      <w:sz w:val="20"/>
      <w:szCs w:val="20"/>
    </w:rPr>
  </w:style>
  <w:style w:type="paragraph" w:styleId="Revision">
    <w:name w:val="Revision"/>
    <w:uiPriority w:val="99"/>
    <w:semiHidden/>
    <w:qFormat/>
    <w:rsid w:val="000c4aba"/>
    <w:pPr>
      <w:widowControl/>
      <w:suppressAutoHyphens w:val="tru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PADRO" w:customStyle="1">
    <w:name w:val="PADRÃO"/>
    <w:qFormat/>
    <w:rsid w:val="0065036f"/>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ntedodalista">
    <w:name w:val="Conteúdo da lista"/>
    <w:basedOn w:val="Normal"/>
    <w:qFormat/>
    <w:pPr>
      <w:ind w:left="567"/>
    </w:pPr>
    <w:rPr/>
  </w:style>
  <w:style w:type="paragraph" w:styleId="Ttulodalista">
    <w:name w:val="Título da lista"/>
    <w:basedOn w:val="Normal"/>
    <w:next w:val="Contedodalista"/>
    <w:qFormat/>
    <w:pPr>
      <w:ind w:left="0"/>
    </w:pPr>
    <w:rPr/>
  </w:style>
  <w:style w:type="paragraph" w:styleId="Normal12">
    <w:name w:val="normal12"/>
    <w:qFormat/>
    <w:pPr>
      <w:widowControl/>
      <w:suppressAutoHyphens w:val="true"/>
      <w:bidi w:val="0"/>
      <w:spacing w:lineRule="auto" w:line="276" w:before="0" w:after="200"/>
      <w:jc w:val="left"/>
    </w:pPr>
    <w:rPr>
      <w:rFonts w:ascii="Libre Franklin" w:hAnsi="Libre Franklin" w:eastAsia="Libre Franklin" w:cs="Libre Franklin"/>
      <w:color w:val="auto"/>
      <w:kern w:val="0"/>
      <w:sz w:val="22"/>
      <w:szCs w:val="22"/>
      <w:lang w:val="pt-BR" w:eastAsia="pt-BR" w:bidi="ar-SA"/>
    </w:rPr>
  </w:style>
  <w:style w:type="paragraph" w:styleId="PargrafodaLista1">
    <w:name w:val="Parágrafo da Lista1"/>
    <w:basedOn w:val="Normal"/>
    <w:qFormat/>
    <w:pPr>
      <w:spacing w:before="0" w:after="200"/>
      <w:ind w:left="720"/>
      <w:contextualSpacing/>
    </w:pPr>
    <w:rPr>
      <w:sz w:val="20"/>
      <w:szCs w:val="20"/>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table" w:styleId="Tabelacomgrade">
    <w:name w:val="Table Grid"/>
    <w:basedOn w:val="Tabelanormal"/>
    <w:rsid w:val="007757c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marcio.andre@noronha.pe.gov.br"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Props1.xml><?xml version="1.0" encoding="utf-8"?>
<ds:datastoreItem xmlns:ds="http://schemas.openxmlformats.org/officeDocument/2006/customXml" ds:itemID="{9FAF9600-829D-4CA9-BD5B-CB6872818F4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310</TotalTime>
  <Application>LibreOffice/7.6.1.2$Windows_X86_64 LibreOffice_project/f5defcebd022c5bc36bbb79be232cb6926d8f674</Application>
  <AppVersion>15.0000</AppVersion>
  <Pages>8</Pages>
  <Words>3034</Words>
  <Characters>17174</Characters>
  <CharactersWithSpaces>20117</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2022-10-03T17:27:00Z</dcterms:created>
  <dc:creator>Gustavo Thomaz</dc:creator>
  <dc:description/>
  <dc:language>pt-BR</dc:language>
  <cp:lastModifiedBy/>
  <cp:lastPrinted>2022-08-12T12:46:00Z</cp:lastPrinted>
  <dcterms:modified xsi:type="dcterms:W3CDTF">2024-06-27T11:24:59Z</dcterms:modified>
  <cp:revision>36</cp:revision>
  <dc:subject/>
  <dc:title/>
</cp:coreProperties>
</file>

<file path=docProps/custom.xml><?xml version="1.0" encoding="utf-8"?>
<Properties xmlns="http://schemas.openxmlformats.org/officeDocument/2006/custom-properties" xmlns:vt="http://schemas.openxmlformats.org/officeDocument/2006/docPropsVTypes"/>
</file>