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HAnsi" w:hAnsiTheme="minorHAnsi" w:cstheme="minorHAnsi"/>
          <w:sz w:val="20"/>
          <w:szCs w:val="20"/>
        </w:rPr>
      </w:pPr>
      <w:r>
        <w:rPr>
          <w:rFonts w:asciiTheme="minorHAnsi" w:hAnsiTheme="minorHAnsi" w:cstheme="minorHAnsi"/>
          <w:sz w:val="20"/>
          <w:szCs w:val="20"/>
        </w:rPr>
        <w:t>TERMO DE REFERÊNCIA</w:t>
      </w:r>
    </w:p>
    <w:p>
      <w:pPr>
        <w:jc w:val="center"/>
        <w:rPr>
          <w:rFonts w:asciiTheme="minorHAnsi" w:hAnsiTheme="minorHAnsi" w:cstheme="minorHAnsi"/>
          <w:sz w:val="20"/>
          <w:szCs w:val="20"/>
        </w:rPr>
      </w:pPr>
    </w:p>
    <w:p>
      <w:pPr>
        <w:jc w:val="center"/>
        <w:rPr>
          <w:rFonts w:asciiTheme="minorHAnsi" w:hAnsiTheme="minorHAnsi" w:cstheme="minorHAnsi"/>
          <w:b/>
          <w:bCs/>
          <w:sz w:val="20"/>
          <w:szCs w:val="20"/>
        </w:rPr>
      </w:pPr>
      <w:r>
        <w:rPr>
          <w:rFonts w:asciiTheme="minorHAnsi" w:hAnsiTheme="minorHAnsi" w:cstheme="minorHAnsi"/>
          <w:b/>
          <w:bCs/>
          <w:sz w:val="20"/>
          <w:szCs w:val="20"/>
        </w:rPr>
        <w:t>DOSÍMETROS</w:t>
      </w:r>
    </w:p>
    <w:p>
      <w:pPr>
        <w:jc w:val="both"/>
        <w:rPr>
          <w:rFonts w:asciiTheme="minorHAnsi" w:hAnsiTheme="minorHAnsi" w:cstheme="minorHAnsi"/>
          <w:sz w:val="17"/>
          <w:szCs w:val="17"/>
        </w:rPr>
      </w:pPr>
    </w:p>
    <w:p>
      <w:pPr>
        <w:jc w:val="both"/>
        <w:rPr>
          <w:rFonts w:asciiTheme="minorHAnsi" w:hAnsiTheme="minorHAnsi" w:cstheme="minorHAnsi"/>
          <w:sz w:val="17"/>
          <w:szCs w:val="17"/>
        </w:rPr>
      </w:pPr>
    </w:p>
    <w:p>
      <w:pPr>
        <w:pStyle w:val="17"/>
        <w:keepNext/>
        <w:keepLines/>
        <w:numPr>
          <w:ilvl w:val="0"/>
          <w:numId w:val="1"/>
        </w:numPr>
        <w:spacing w:before="0" w:after="0"/>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DO OBJETO</w:t>
      </w:r>
    </w:p>
    <w:p>
      <w:pPr>
        <w:pStyle w:val="17"/>
        <w:keepNext/>
        <w:keepLines/>
        <w:spacing w:before="0" w:after="0"/>
        <w:ind w:right="142"/>
        <w:jc w:val="both"/>
        <w:rPr>
          <w:rFonts w:eastAsia="SimSun" w:asciiTheme="minorHAnsi" w:hAnsiTheme="minorHAnsi" w:cstheme="minorHAnsi"/>
          <w:sz w:val="20"/>
          <w:szCs w:val="20"/>
        </w:rPr>
      </w:pPr>
    </w:p>
    <w:p>
      <w:pPr>
        <w:pStyle w:val="17"/>
        <w:keepNext/>
        <w:keepLines/>
        <w:spacing w:before="0" w:after="0"/>
        <w:ind w:right="142"/>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Contratação de </w:t>
      </w:r>
      <w:bookmarkStart w:id="0" w:name="_Hlk146630120"/>
      <w:r>
        <w:rPr>
          <w:rFonts w:eastAsia="SimSun" w:asciiTheme="minorHAnsi" w:hAnsiTheme="minorHAnsi" w:cstheme="minorHAnsi"/>
          <w:sz w:val="20"/>
          <w:szCs w:val="20"/>
        </w:rPr>
        <w:t>empresa especializada para prestação de serviço continuo, sem dedicação de mão de obra exclusiva, de dosimetria da radiação para monitoração individual externa, padrão de tórax, com fornecimento e troca mensal dos dosímetros, leitura e registro das doses de radiação recebidas por cada profissional monitorado e emissão de relatórios mensais e anuais</w:t>
      </w:r>
      <w:bookmarkEnd w:id="0"/>
      <w:r>
        <w:rPr>
          <w:rFonts w:eastAsia="SimSun" w:asciiTheme="minorHAnsi" w:hAnsiTheme="minorHAnsi" w:cstheme="minorHAnsi"/>
          <w:sz w:val="20"/>
          <w:szCs w:val="20"/>
        </w:rPr>
        <w:t>, por um período de 12 (doze) meses, podendo ser prorrogável por igual período, até 60 meses.</w:t>
      </w:r>
    </w:p>
    <w:p>
      <w:pPr>
        <w:pStyle w:val="17"/>
        <w:numPr>
          <w:ilvl w:val="1"/>
          <w:numId w:val="2"/>
        </w:numPr>
        <w:spacing w:before="240" w:after="240"/>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Dispensa de licitação com fundamento no</w:t>
      </w:r>
      <w:r>
        <w:rPr>
          <w:rFonts w:eastAsia="Calibri" w:asciiTheme="minorHAnsi" w:hAnsiTheme="minorHAnsi" w:cstheme="minorHAnsi"/>
          <w:color w:val="4472C4"/>
          <w:sz w:val="20"/>
          <w:szCs w:val="20"/>
        </w:rPr>
        <w:t xml:space="preserve"> </w:t>
      </w:r>
      <w:r>
        <w:rPr>
          <w:rFonts w:eastAsia="Calibri" w:asciiTheme="minorHAnsi" w:hAnsiTheme="minorHAnsi" w:cstheme="minorHAnsi"/>
          <w:color w:val="000000"/>
          <w:sz w:val="20"/>
          <w:szCs w:val="20"/>
        </w:rPr>
        <w:t>art. 75, inc. II da Lei nº 14.133/21, visando a contratação direta da prestação de serviço especializado de dosimetria da radiação, para atender as necessidades do(a) Hospital São Lucas e PSF Dois Irmãos, órgãos pertencentes a Autarquia Territorial Distrito Estadual de Fernando de Noronha/ATDEFN, conforme as condições, especificações, quantidades e exigências contidas neste Termo de Referência. </w:t>
      </w:r>
    </w:p>
    <w:p>
      <w:pPr>
        <w:pStyle w:val="17"/>
        <w:numPr>
          <w:ilvl w:val="1"/>
          <w:numId w:val="3"/>
        </w:numPr>
        <w:tabs>
          <w:tab w:val="left" w:pos="0"/>
        </w:tabs>
        <w:spacing w:before="240" w:after="240"/>
        <w:ind w:left="426" w:right="142" w:hanging="426"/>
        <w:jc w:val="both"/>
        <w:rPr>
          <w:rFonts w:eastAsia="Calibri" w:asciiTheme="minorHAnsi" w:hAnsiTheme="minorHAnsi" w:cstheme="minorHAnsi"/>
          <w:b/>
          <w:color w:val="FF0000"/>
          <w:sz w:val="20"/>
          <w:szCs w:val="20"/>
        </w:rPr>
      </w:pPr>
      <w:r>
        <w:rPr>
          <w:rFonts w:eastAsia="Calibri" w:asciiTheme="minorHAnsi" w:hAnsiTheme="minorHAnsi" w:cstheme="minorHAnsi"/>
          <w:color w:val="000000"/>
          <w:sz w:val="20"/>
          <w:szCs w:val="20"/>
        </w:rPr>
        <w:t>As especificações e os quantitativos do objeto desta dispensa estão descritos conforme quadro abaixo:</w:t>
      </w:r>
    </w:p>
    <w:tbl>
      <w:tblPr>
        <w:tblStyle w:val="3"/>
        <w:tblW w:w="9534" w:type="dxa"/>
        <w:tblInd w:w="0" w:type="dxa"/>
        <w:tblLayout w:type="fixed"/>
        <w:tblCellMar>
          <w:top w:w="0" w:type="dxa"/>
          <w:left w:w="108" w:type="dxa"/>
          <w:bottom w:w="0" w:type="dxa"/>
          <w:right w:w="108" w:type="dxa"/>
        </w:tblCellMar>
      </w:tblPr>
      <w:tblGrid>
        <w:gridCol w:w="729"/>
        <w:gridCol w:w="2939"/>
        <w:gridCol w:w="1185"/>
        <w:gridCol w:w="1051"/>
        <w:gridCol w:w="914"/>
        <w:gridCol w:w="1546"/>
        <w:gridCol w:w="1169"/>
      </w:tblGrid>
      <w:tr>
        <w:tblPrEx>
          <w:tblCellMar>
            <w:top w:w="0" w:type="dxa"/>
            <w:left w:w="108" w:type="dxa"/>
            <w:bottom w:w="0" w:type="dxa"/>
            <w:right w:w="108" w:type="dxa"/>
          </w:tblCellMar>
        </w:tblPrEx>
        <w:trPr>
          <w:trHeight w:val="619" w:hRule="atLeast"/>
        </w:trPr>
        <w:tc>
          <w:tcPr>
            <w:tcW w:w="72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color w:val="FF0000"/>
                <w:sz w:val="17"/>
                <w:szCs w:val="17"/>
                <w:lang w:eastAsia="en-US"/>
              </w:rPr>
            </w:pPr>
          </w:p>
        </w:tc>
        <w:tc>
          <w:tcPr>
            <w:tcW w:w="8804" w:type="dxa"/>
            <w:gridSpan w:val="6"/>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HOSPITAL SÃO LUCAS E PSF DOIS IRMÃOS</w:t>
            </w:r>
          </w:p>
        </w:tc>
      </w:tr>
      <w:tr>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ITEM</w:t>
            </w:r>
          </w:p>
        </w:tc>
        <w:tc>
          <w:tcPr>
            <w:tcW w:w="293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DESCRIÇÃO</w:t>
            </w:r>
          </w:p>
        </w:tc>
        <w:tc>
          <w:tcPr>
            <w:tcW w:w="1185"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CÓD ITEM</w:t>
            </w:r>
          </w:p>
        </w:tc>
        <w:tc>
          <w:tcPr>
            <w:tcW w:w="1051"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QTDE</w:t>
            </w:r>
          </w:p>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 xml:space="preserve"> MENSAL</w:t>
            </w:r>
          </w:p>
        </w:tc>
        <w:tc>
          <w:tcPr>
            <w:tcW w:w="914"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QTDE</w:t>
            </w:r>
          </w:p>
          <w:p>
            <w:pPr>
              <w:pStyle w:val="17"/>
              <w:spacing w:before="240" w:after="240"/>
              <w:ind w:right="142"/>
              <w:jc w:val="both"/>
              <w:rPr>
                <w:rFonts w:eastAsia="Calibri" w:asciiTheme="minorHAnsi" w:hAnsiTheme="minorHAnsi" w:cstheme="minorHAnsi"/>
                <w:bCs/>
                <w:sz w:val="17"/>
                <w:szCs w:val="17"/>
                <w:lang w:eastAsia="en-US"/>
              </w:rPr>
            </w:pPr>
            <w:r>
              <w:rPr>
                <w:rFonts w:eastAsia="Calibri" w:asciiTheme="minorHAnsi" w:hAnsiTheme="minorHAnsi" w:cstheme="minorHAnsi"/>
                <w:b/>
                <w:sz w:val="17"/>
                <w:szCs w:val="17"/>
                <w:lang w:eastAsia="en-US"/>
              </w:rPr>
              <w:t xml:space="preserve"> ANUAL</w:t>
            </w:r>
          </w:p>
        </w:tc>
        <w:tc>
          <w:tcPr>
            <w:tcW w:w="1546"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VALOR UNITÁRIO MÁXIMO ACEITÁVEL</w:t>
            </w:r>
          </w:p>
        </w:tc>
        <w:tc>
          <w:tcPr>
            <w:tcW w:w="116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VALOR MÁXIMO ACEITÁVEL 12 MESES</w:t>
            </w:r>
          </w:p>
        </w:tc>
      </w:tr>
      <w:tr>
        <w:tblPrEx>
          <w:tblCellMar>
            <w:top w:w="0" w:type="dxa"/>
            <w:left w:w="108" w:type="dxa"/>
            <w:bottom w:w="0" w:type="dxa"/>
            <w:right w:w="108" w:type="dxa"/>
          </w:tblCellMar>
        </w:tblPrEx>
        <w:tc>
          <w:tcPr>
            <w:tcW w:w="72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b/>
                <w:sz w:val="17"/>
                <w:szCs w:val="17"/>
                <w:lang w:eastAsia="en-US"/>
              </w:rPr>
              <w:t>01</w:t>
            </w:r>
          </w:p>
        </w:tc>
        <w:tc>
          <w:tcPr>
            <w:tcW w:w="293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
                <w:sz w:val="17"/>
                <w:szCs w:val="17"/>
                <w:lang w:eastAsia="en-US"/>
              </w:rPr>
            </w:pPr>
            <w:r>
              <w:rPr>
                <w:rFonts w:eastAsia="Calibri" w:asciiTheme="minorHAnsi" w:hAnsiTheme="minorHAnsi" w:cstheme="minorHAnsi"/>
                <w:color w:val="000000"/>
                <w:sz w:val="17"/>
                <w:szCs w:val="17"/>
                <w:lang w:eastAsia="en-US"/>
              </w:rPr>
              <w:t>SERVICO DE MANUTENCAO DE APARELHO/EQUIPAMENTOS DA AREA DE SAUDE - DO TIPO DOSIMETRO, COM MONITORAMENTO INDIVIDUAL E REPOSICAO MENSAL</w:t>
            </w:r>
          </w:p>
        </w:tc>
        <w:tc>
          <w:tcPr>
            <w:tcW w:w="1185"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Cs/>
                <w:sz w:val="17"/>
                <w:szCs w:val="17"/>
                <w:lang w:eastAsia="en-US"/>
              </w:rPr>
            </w:pPr>
            <w:r>
              <w:rPr>
                <w:rFonts w:eastAsia="Calibri" w:asciiTheme="minorHAnsi" w:hAnsiTheme="minorHAnsi" w:cstheme="minorHAnsi"/>
                <w:bCs/>
                <w:sz w:val="17"/>
                <w:szCs w:val="17"/>
                <w:lang w:eastAsia="en-US"/>
              </w:rPr>
              <w:t>226235-5</w:t>
            </w:r>
          </w:p>
        </w:tc>
        <w:tc>
          <w:tcPr>
            <w:tcW w:w="1051"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Cs/>
                <w:sz w:val="17"/>
                <w:szCs w:val="17"/>
                <w:lang w:eastAsia="en-US"/>
              </w:rPr>
            </w:pPr>
            <w:r>
              <w:rPr>
                <w:rFonts w:eastAsia="Calibri" w:asciiTheme="minorHAnsi" w:hAnsiTheme="minorHAnsi" w:cstheme="minorHAnsi"/>
                <w:bCs/>
                <w:sz w:val="17"/>
                <w:szCs w:val="17"/>
                <w:lang w:eastAsia="en-US"/>
              </w:rPr>
              <w:t>12</w:t>
            </w:r>
          </w:p>
        </w:tc>
        <w:tc>
          <w:tcPr>
            <w:tcW w:w="914"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hint="default" w:eastAsia="Calibri" w:asciiTheme="minorHAnsi" w:hAnsiTheme="minorHAnsi" w:cstheme="minorHAnsi"/>
                <w:b/>
                <w:color w:val="FF0000"/>
                <w:sz w:val="17"/>
                <w:szCs w:val="17"/>
                <w:lang w:val="pt-BR" w:eastAsia="en-US"/>
              </w:rPr>
            </w:pPr>
            <w:r>
              <w:rPr>
                <w:rFonts w:eastAsia="Calibri" w:asciiTheme="minorHAnsi" w:hAnsiTheme="minorHAnsi" w:cstheme="minorHAnsi"/>
                <w:bCs/>
                <w:sz w:val="17"/>
                <w:szCs w:val="17"/>
                <w:lang w:eastAsia="en-US"/>
              </w:rPr>
              <w:t>1</w:t>
            </w:r>
            <w:r>
              <w:rPr>
                <w:rFonts w:hint="default" w:eastAsia="Calibri" w:asciiTheme="minorHAnsi" w:hAnsiTheme="minorHAnsi" w:cstheme="minorHAnsi"/>
                <w:bCs/>
                <w:sz w:val="17"/>
                <w:szCs w:val="17"/>
                <w:lang w:val="pt-BR" w:eastAsia="en-US"/>
              </w:rPr>
              <w:t>32</w:t>
            </w:r>
            <w:r>
              <w:commentReference w:id="0"/>
            </w:r>
          </w:p>
        </w:tc>
        <w:tc>
          <w:tcPr>
            <w:tcW w:w="1546"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Cs/>
                <w:sz w:val="17"/>
                <w:szCs w:val="17"/>
                <w:lang w:eastAsia="en-US"/>
              </w:rPr>
            </w:pPr>
            <w:r>
              <w:rPr>
                <w:rFonts w:eastAsia="Calibri" w:asciiTheme="minorHAnsi" w:hAnsiTheme="minorHAnsi" w:cstheme="minorHAnsi"/>
                <w:bCs/>
                <w:sz w:val="17"/>
                <w:szCs w:val="17"/>
                <w:lang w:eastAsia="en-US"/>
              </w:rPr>
              <w:t xml:space="preserve">R$ </w:t>
            </w:r>
          </w:p>
        </w:tc>
        <w:tc>
          <w:tcPr>
            <w:tcW w:w="1169" w:type="dxa"/>
            <w:tcBorders>
              <w:top w:val="single" w:color="000000" w:sz="4" w:space="0"/>
              <w:left w:val="single" w:color="000000" w:sz="4" w:space="0"/>
              <w:bottom w:val="single" w:color="000000" w:sz="4" w:space="0"/>
              <w:right w:val="single" w:color="000000" w:sz="4" w:space="0"/>
            </w:tcBorders>
          </w:tcPr>
          <w:p>
            <w:pPr>
              <w:pStyle w:val="17"/>
              <w:spacing w:before="240" w:after="240"/>
              <w:ind w:right="142"/>
              <w:jc w:val="both"/>
              <w:rPr>
                <w:rFonts w:eastAsia="Calibri" w:asciiTheme="minorHAnsi" w:hAnsiTheme="minorHAnsi" w:cstheme="minorHAnsi"/>
                <w:bCs/>
                <w:sz w:val="17"/>
                <w:szCs w:val="17"/>
                <w:lang w:eastAsia="en-US"/>
              </w:rPr>
            </w:pPr>
            <w:r>
              <w:rPr>
                <w:rFonts w:eastAsia="Calibri" w:asciiTheme="minorHAnsi" w:hAnsiTheme="minorHAnsi" w:cstheme="minorHAnsi"/>
                <w:bCs/>
                <w:sz w:val="17"/>
                <w:szCs w:val="17"/>
                <w:lang w:eastAsia="en-US"/>
              </w:rPr>
              <w:t xml:space="preserve">R$ </w:t>
            </w:r>
          </w:p>
        </w:tc>
      </w:tr>
    </w:tbl>
    <w:p>
      <w:pPr>
        <w:pStyle w:val="17"/>
        <w:keepNext/>
        <w:keepLines/>
        <w:spacing w:before="0" w:after="0"/>
        <w:ind w:right="142"/>
        <w:jc w:val="both"/>
        <w:rPr>
          <w:rFonts w:eastAsia="Calibri" w:asciiTheme="minorHAnsi" w:hAnsiTheme="minorHAnsi" w:cstheme="minorHAnsi"/>
          <w:b/>
          <w:sz w:val="20"/>
          <w:szCs w:val="20"/>
        </w:rPr>
      </w:pPr>
    </w:p>
    <w:p>
      <w:pPr>
        <w:pStyle w:val="17"/>
        <w:keepNext/>
        <w:keepLines/>
        <w:numPr>
          <w:ilvl w:val="0"/>
          <w:numId w:val="4"/>
        </w:numPr>
        <w:spacing w:before="0" w:after="0"/>
        <w:ind w:left="360" w:right="142" w:hanging="360"/>
        <w:jc w:val="both"/>
        <w:rPr>
          <w:rFonts w:eastAsia="Calibri" w:asciiTheme="minorHAnsi" w:hAnsiTheme="minorHAnsi" w:cstheme="minorHAnsi"/>
          <w:color w:val="000000"/>
          <w:sz w:val="20"/>
          <w:szCs w:val="20"/>
        </w:rPr>
      </w:pPr>
      <w:r>
        <w:rPr>
          <w:rFonts w:eastAsia="Calibri" w:asciiTheme="minorHAnsi" w:hAnsiTheme="minorHAnsi" w:cstheme="minorHAnsi"/>
          <w:b/>
          <w:sz w:val="20"/>
          <w:szCs w:val="20"/>
        </w:rPr>
        <w:t>DAS JUSTIFICATIVAS</w:t>
      </w:r>
    </w:p>
    <w:p>
      <w:pPr>
        <w:pStyle w:val="17"/>
        <w:spacing w:before="0" w:after="0"/>
        <w:ind w:left="360" w:right="142"/>
        <w:jc w:val="both"/>
        <w:rPr>
          <w:rFonts w:eastAsia="Calibri" w:asciiTheme="minorHAnsi" w:hAnsiTheme="minorHAnsi" w:cstheme="minorHAnsi"/>
          <w:b/>
          <w:color w:val="000000"/>
          <w:sz w:val="20"/>
          <w:szCs w:val="20"/>
          <w:highlight w:val="green"/>
        </w:rPr>
      </w:pPr>
    </w:p>
    <w:p>
      <w:pPr>
        <w:pStyle w:val="17"/>
        <w:numPr>
          <w:ilvl w:val="1"/>
          <w:numId w:val="4"/>
        </w:numPr>
        <w:spacing w:before="0" w:after="0"/>
        <w:ind w:left="426" w:right="142" w:hanging="426"/>
        <w:jc w:val="both"/>
        <w:rPr>
          <w:rFonts w:eastAsia="Calibri" w:asciiTheme="minorHAnsi" w:hAnsiTheme="minorHAnsi" w:cstheme="minorHAnsi"/>
          <w:b/>
          <w:color w:val="000000"/>
          <w:sz w:val="20"/>
          <w:szCs w:val="20"/>
        </w:rPr>
      </w:pPr>
      <w:r>
        <w:rPr>
          <w:rFonts w:eastAsia="Calibri" w:asciiTheme="minorHAnsi" w:hAnsiTheme="minorHAnsi" w:cstheme="minorHAnsi"/>
          <w:b/>
          <w:color w:val="000000"/>
          <w:sz w:val="20"/>
          <w:szCs w:val="20"/>
        </w:rPr>
        <w:t>DA CONTRATAÇÃO POR DISPENSA DE LICITAÇÃO</w:t>
      </w:r>
    </w:p>
    <w:p>
      <w:pPr>
        <w:pStyle w:val="17"/>
        <w:spacing w:before="0" w:after="0"/>
        <w:ind w:right="142"/>
        <w:jc w:val="both"/>
        <w:rPr>
          <w:rFonts w:eastAsia="Calibri" w:asciiTheme="minorHAnsi" w:hAnsiTheme="minorHAnsi" w:cstheme="minorHAnsi"/>
          <w:color w:val="000000"/>
          <w:sz w:val="20"/>
          <w:szCs w:val="20"/>
        </w:rPr>
      </w:pPr>
    </w:p>
    <w:p>
      <w:pPr>
        <w:pStyle w:val="17"/>
        <w:spacing w:before="0" w:after="0"/>
        <w:ind w:left="426" w:right="142"/>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pPr>
        <w:pStyle w:val="17"/>
        <w:spacing w:before="0" w:after="0"/>
        <w:ind w:left="426" w:right="142"/>
        <w:jc w:val="both"/>
        <w:rPr>
          <w:rFonts w:eastAsia="Calibri" w:asciiTheme="minorHAnsi" w:hAnsiTheme="minorHAnsi" w:cstheme="minorHAnsi"/>
          <w:color w:val="000000"/>
          <w:sz w:val="20"/>
          <w:szCs w:val="20"/>
        </w:rPr>
      </w:pPr>
    </w:p>
    <w:p>
      <w:pPr>
        <w:pStyle w:val="17"/>
        <w:spacing w:before="0" w:after="0"/>
        <w:ind w:left="426" w:right="142"/>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ultrapasse o limite estabelecido pelo art. 75, II da Lei Federal nº 14.133/21, destaca-se o pleno atendimento dos requisitos legais.</w:t>
      </w:r>
    </w:p>
    <w:p>
      <w:pPr>
        <w:pStyle w:val="17"/>
        <w:spacing w:before="0" w:after="0"/>
        <w:ind w:left="426" w:right="142"/>
        <w:jc w:val="both"/>
        <w:rPr>
          <w:rFonts w:eastAsia="Calibri" w:asciiTheme="minorHAnsi" w:hAnsiTheme="minorHAnsi" w:cstheme="minorHAnsi"/>
          <w:color w:val="000000"/>
          <w:sz w:val="20"/>
          <w:szCs w:val="20"/>
        </w:rPr>
      </w:pPr>
    </w:p>
    <w:p>
      <w:pPr>
        <w:pStyle w:val="17"/>
        <w:numPr>
          <w:ilvl w:val="1"/>
          <w:numId w:val="4"/>
        </w:numPr>
        <w:spacing w:before="240" w:after="240"/>
        <w:ind w:left="360" w:right="142" w:hanging="360"/>
        <w:jc w:val="both"/>
        <w:rPr>
          <w:rFonts w:eastAsia="Calibri" w:asciiTheme="minorHAnsi" w:hAnsiTheme="minorHAnsi" w:cstheme="minorHAnsi"/>
          <w:sz w:val="20"/>
          <w:szCs w:val="20"/>
        </w:rPr>
      </w:pPr>
      <w:r>
        <w:rPr>
          <w:rFonts w:eastAsia="Calibri" w:asciiTheme="minorHAnsi" w:hAnsiTheme="minorHAnsi" w:cstheme="minorHAnsi"/>
          <w:b/>
          <w:color w:val="000000"/>
          <w:sz w:val="20"/>
          <w:szCs w:val="20"/>
        </w:rPr>
        <w:t xml:space="preserve">DA NECESSIDADE DA CONTRATAÇÃO </w:t>
      </w:r>
      <w:r>
        <w:rPr>
          <w:rFonts w:eastAsia="Calibri" w:asciiTheme="minorHAnsi" w:hAnsiTheme="minorHAnsi" w:cstheme="minorHAnsi"/>
          <w:sz w:val="20"/>
          <w:szCs w:val="20"/>
        </w:rPr>
        <w:t xml:space="preserve"> </w:t>
      </w:r>
    </w:p>
    <w:p>
      <w:pPr>
        <w:pStyle w:val="17"/>
        <w:spacing w:before="0" w:after="0"/>
        <w:ind w:right="142"/>
        <w:jc w:val="both"/>
        <w:rPr>
          <w:rFonts w:eastAsia="SimSun" w:asciiTheme="minorHAnsi" w:hAnsiTheme="minorHAnsi" w:cstheme="minorHAnsi"/>
          <w:color w:val="000000"/>
          <w:sz w:val="20"/>
          <w:szCs w:val="20"/>
        </w:rPr>
      </w:pPr>
      <w:r>
        <w:rPr>
          <w:rFonts w:eastAsia="Calibri" w:asciiTheme="minorHAnsi" w:hAnsiTheme="minorHAnsi" w:cstheme="minorHAnsi"/>
          <w:sz w:val="20"/>
          <w:szCs w:val="20"/>
        </w:rPr>
        <w:t xml:space="preserve">A presente contratação se dará em função da necessidade do serviço </w:t>
      </w:r>
      <w:r>
        <w:rPr>
          <w:rFonts w:eastAsia="SimSun" w:asciiTheme="minorHAnsi" w:hAnsiTheme="minorHAnsi" w:cstheme="minorHAnsi"/>
          <w:sz w:val="20"/>
          <w:szCs w:val="20"/>
        </w:rPr>
        <w:t>especializado de dosimetria da radiação para monitoração individual externa, padrão de tórax, com fornecimento e troca mensal dos dosímetros, leitura e registro das doses de radiação recebidas por cada profissional monitorado e emissão de relatórios mensais e anuais, identificando os dosímetros padrão, a fim de atender</w:t>
      </w:r>
      <w:r>
        <w:rPr>
          <w:rFonts w:eastAsia="SimSun" w:asciiTheme="minorHAnsi" w:hAnsiTheme="minorHAnsi" w:cstheme="minorHAnsi"/>
          <w:color w:val="000000"/>
          <w:sz w:val="20"/>
          <w:szCs w:val="20"/>
        </w:rPr>
        <w:t xml:space="preserve"> exigências da CNEN (Comissão Nacional de Energia Nuclear).</w:t>
      </w:r>
    </w:p>
    <w:p>
      <w:pPr>
        <w:pStyle w:val="17"/>
        <w:spacing w:before="0" w:after="0"/>
        <w:ind w:right="142"/>
        <w:jc w:val="both"/>
        <w:rPr>
          <w:rFonts w:eastAsia="SimSun" w:asciiTheme="minorHAnsi" w:hAnsiTheme="minorHAnsi" w:cstheme="minorHAnsi"/>
          <w:sz w:val="20"/>
          <w:szCs w:val="20"/>
        </w:rPr>
      </w:pPr>
      <w:r>
        <w:rPr>
          <w:rFonts w:eastAsia="SimSun" w:asciiTheme="minorHAnsi" w:hAnsiTheme="minorHAnsi" w:cstheme="minorHAnsi"/>
          <w:color w:val="000000"/>
          <w:sz w:val="20"/>
          <w:szCs w:val="20"/>
        </w:rPr>
        <w:t xml:space="preserve"> O serviço é enquadrado como </w:t>
      </w:r>
      <w:r>
        <w:rPr>
          <w:rFonts w:eastAsia="SimSun" w:asciiTheme="minorHAnsi" w:hAnsiTheme="minorHAnsi" w:cstheme="minorHAnsi"/>
          <w:sz w:val="20"/>
          <w:szCs w:val="20"/>
        </w:rPr>
        <w:t xml:space="preserve">contínuo e obrigatório, conforme normas e regulamentações da Comissão Nacional de Energia Nuclear (CNEN), Agência Nacional de Vigilância Sanitária (ANVISA) e Ministério do Trabalho dispondo que, serviço contínuo é aquele imprescindível para o funcionamento das atividades finalísticas e administrativas do ente público, bem como a necessidade de manter sob controle as doses de radiação ionizante a que os profissionais estão expostos. </w:t>
      </w:r>
    </w:p>
    <w:p>
      <w:pPr>
        <w:pStyle w:val="17"/>
        <w:spacing w:before="0" w:after="0"/>
        <w:ind w:right="142"/>
        <w:jc w:val="both"/>
        <w:rPr>
          <w:rFonts w:eastAsia="SimSun" w:asciiTheme="minorHAnsi" w:hAnsiTheme="minorHAnsi" w:cstheme="minorHAnsi"/>
          <w:color w:val="000000"/>
          <w:sz w:val="20"/>
          <w:szCs w:val="20"/>
        </w:rPr>
      </w:pPr>
      <w:r>
        <w:rPr>
          <w:rFonts w:eastAsia="Calibri" w:asciiTheme="minorHAnsi" w:hAnsiTheme="minorHAnsi" w:cstheme="minorHAnsi"/>
          <w:b/>
          <w:color w:val="000000"/>
          <w:sz w:val="20"/>
          <w:szCs w:val="20"/>
        </w:rPr>
        <w:t>T</w:t>
      </w:r>
      <w:r>
        <w:rPr>
          <w:rFonts w:eastAsia="SimSun" w:asciiTheme="minorHAnsi" w:hAnsiTheme="minorHAnsi" w:cstheme="minorHAnsi"/>
          <w:color w:val="000000"/>
          <w:sz w:val="20"/>
          <w:szCs w:val="20"/>
        </w:rPr>
        <w:t>endo em vista a liberação da licença governamental de funcionamento do Serviço de Imagem da unidade do Hospital São Lucas e Unidade de Saúde Dois Irmãos, se trata de serviço cuja interrupção pode comprometer a continuidade das atividades nas unidades de saúde e cuja necessidade de contratação deva estender-se por mais de um exercício financeiro e continuamente, uma vez que proteção radiológica por monitoração, deve ser analisada periodicamente, mês a mês, para monitoramento individual de exposição à radiação ionizante.</w:t>
      </w:r>
    </w:p>
    <w:p>
      <w:pPr>
        <w:pStyle w:val="17"/>
        <w:spacing w:before="0" w:after="0"/>
        <w:ind w:right="142"/>
        <w:jc w:val="both"/>
        <w:rPr>
          <w:rFonts w:eastAsia="Calibri" w:asciiTheme="minorHAnsi" w:hAnsiTheme="minorHAnsi" w:cstheme="minorHAnsi"/>
          <w:b/>
          <w:color w:val="000000"/>
          <w:sz w:val="20"/>
          <w:szCs w:val="20"/>
        </w:rPr>
      </w:pPr>
    </w:p>
    <w:p>
      <w:pPr>
        <w:pStyle w:val="17"/>
        <w:spacing w:before="0" w:after="0"/>
        <w:ind w:right="142"/>
        <w:jc w:val="both"/>
        <w:rPr>
          <w:rFonts w:eastAsia="Calibri" w:asciiTheme="minorHAnsi" w:hAnsiTheme="minorHAnsi" w:cstheme="minorHAnsi"/>
          <w:sz w:val="20"/>
          <w:szCs w:val="20"/>
        </w:rPr>
      </w:pPr>
      <w:r>
        <w:rPr>
          <w:rFonts w:eastAsia="Calibri" w:asciiTheme="minorHAnsi" w:hAnsiTheme="minorHAnsi" w:cstheme="minorHAnsi"/>
          <w:sz w:val="20"/>
          <w:szCs w:val="20"/>
        </w:rPr>
        <w:t>Informe-se, por oportuno, que tal objeto atenderá o dever legal exposto abaixo:</w:t>
      </w:r>
    </w:p>
    <w:p>
      <w:pPr>
        <w:pStyle w:val="17"/>
        <w:spacing w:before="0" w:after="0"/>
        <w:ind w:right="142"/>
        <w:jc w:val="both"/>
        <w:rPr>
          <w:rFonts w:eastAsia="Calibri" w:asciiTheme="minorHAnsi" w:hAnsiTheme="minorHAnsi" w:cstheme="minorHAnsi"/>
          <w:sz w:val="20"/>
          <w:szCs w:val="20"/>
        </w:rPr>
      </w:pPr>
    </w:p>
    <w:p>
      <w:pPr>
        <w:pStyle w:val="17"/>
        <w:numPr>
          <w:ilvl w:val="2"/>
          <w:numId w:val="4"/>
        </w:numPr>
        <w:spacing w:before="0" w:after="0"/>
        <w:ind w:left="720" w:right="142" w:hanging="720"/>
        <w:jc w:val="both"/>
        <w:rPr>
          <w:rFonts w:eastAsia="Calibri" w:asciiTheme="minorHAnsi" w:hAnsiTheme="minorHAnsi" w:cstheme="minorHAnsi"/>
          <w:sz w:val="20"/>
          <w:szCs w:val="20"/>
        </w:rPr>
      </w:pPr>
      <w:r>
        <w:rPr>
          <w:rFonts w:eastAsia="Calibri" w:asciiTheme="minorHAnsi" w:hAnsiTheme="minorHAnsi" w:cstheme="minorHAnsi"/>
          <w:sz w:val="20"/>
          <w:szCs w:val="20"/>
        </w:rPr>
        <w:t xml:space="preserve">Norma 3.01 da CNEN </w:t>
      </w:r>
      <w:r>
        <w:rPr>
          <w:rFonts w:eastAsia="SimSun" w:asciiTheme="minorHAnsi" w:hAnsiTheme="minorHAnsi" w:cstheme="minorHAnsi"/>
          <w:sz w:val="20"/>
          <w:szCs w:val="20"/>
        </w:rPr>
        <w:t>Resolução 164/14- Diretrizes Básicas de Proteção Radiológica</w:t>
      </w:r>
      <w:r>
        <w:rPr>
          <w:rFonts w:eastAsia="Calibri" w:asciiTheme="minorHAnsi" w:hAnsiTheme="minorHAnsi" w:cstheme="minorHAnsi"/>
          <w:sz w:val="20"/>
          <w:szCs w:val="20"/>
        </w:rPr>
        <w:t xml:space="preserve"> que dispõe sobre os princípios gerais e requisitos básicos de radioproteção e segurança radiológica das pessoas em relação à exposição à radiação ionizante e de segurança de fontes de radiação ionizante. </w:t>
      </w:r>
    </w:p>
    <w:p>
      <w:pPr>
        <w:pStyle w:val="17"/>
        <w:spacing w:before="0" w:after="0"/>
        <w:ind w:left="720" w:right="142"/>
        <w:jc w:val="both"/>
        <w:rPr>
          <w:rFonts w:eastAsia="SimSun" w:asciiTheme="minorHAnsi" w:hAnsiTheme="minorHAnsi" w:cstheme="minorHAnsi"/>
          <w:sz w:val="20"/>
          <w:szCs w:val="20"/>
        </w:rPr>
      </w:pPr>
    </w:p>
    <w:p>
      <w:pPr>
        <w:pStyle w:val="17"/>
        <w:numPr>
          <w:ilvl w:val="2"/>
          <w:numId w:val="4"/>
        </w:numPr>
        <w:spacing w:before="0" w:after="0"/>
        <w:ind w:left="720" w:right="142" w:hanging="720"/>
        <w:jc w:val="both"/>
        <w:rPr>
          <w:rFonts w:eastAsia="Helvetica" w:asciiTheme="minorHAnsi" w:hAnsiTheme="minorHAnsi" w:cstheme="minorHAnsi"/>
          <w:color w:val="000000"/>
          <w:sz w:val="20"/>
          <w:szCs w:val="20"/>
          <w:shd w:val="clear" w:fill="FFFFFF"/>
        </w:rPr>
      </w:pPr>
      <w:r>
        <w:rPr>
          <w:rFonts w:eastAsia="Helvetica" w:asciiTheme="minorHAnsi" w:hAnsiTheme="minorHAnsi" w:cstheme="minorHAnsi"/>
          <w:color w:val="000000"/>
          <w:sz w:val="20"/>
          <w:szCs w:val="20"/>
          <w:shd w:val="clear" w:fill="FFFFFF"/>
        </w:rPr>
        <w:t>RDC Nº 611 de 09/03/2022 – resolução da ANVISA que estabelece os requisitos sanitários para radiologia diagnóstica ou intervencionista e regulamenta o controle das exposições médicas, ocupacionais e do público decorrentes do uso de tecnologias radiológicas diagnósticas ou intervencionistas. </w:t>
      </w:r>
    </w:p>
    <w:p>
      <w:pPr>
        <w:pStyle w:val="16"/>
        <w:jc w:val="both"/>
        <w:rPr>
          <w:rFonts w:eastAsia="SimSun" w:asciiTheme="minorHAnsi" w:hAnsiTheme="minorHAnsi" w:cstheme="minorHAnsi"/>
          <w:sz w:val="20"/>
          <w:szCs w:val="20"/>
        </w:rPr>
      </w:pPr>
    </w:p>
    <w:p>
      <w:pPr>
        <w:pStyle w:val="17"/>
        <w:spacing w:before="0" w:after="0"/>
        <w:ind w:left="720" w:right="142"/>
        <w:jc w:val="both"/>
        <w:rPr>
          <w:rFonts w:eastAsia="SimSun" w:asciiTheme="minorHAnsi" w:hAnsiTheme="minorHAnsi" w:cstheme="minorHAnsi"/>
          <w:sz w:val="20"/>
          <w:szCs w:val="20"/>
        </w:rPr>
      </w:pPr>
    </w:p>
    <w:p>
      <w:pPr>
        <w:pStyle w:val="17"/>
        <w:numPr>
          <w:ilvl w:val="2"/>
          <w:numId w:val="4"/>
        </w:numPr>
        <w:spacing w:before="0" w:after="0"/>
        <w:ind w:left="720"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NR 32- Esta Norma Regulamentadora - NR tem por finalidade estabelecer as diretrizes básicas para a implementação de medidas de proteção à segurança e à saúde dos trabalhadores dos serviços de saúde, bem como daqueles que exercem atividades de promoção e assistência à saúde em geral.</w:t>
      </w:r>
    </w:p>
    <w:p>
      <w:pPr>
        <w:pStyle w:val="17"/>
        <w:spacing w:before="0" w:after="0"/>
        <w:ind w:left="720" w:right="142"/>
        <w:jc w:val="both"/>
        <w:rPr>
          <w:rFonts w:eastAsia="SimSun" w:asciiTheme="minorHAnsi" w:hAnsiTheme="minorHAnsi" w:cstheme="minorHAnsi"/>
          <w:sz w:val="20"/>
          <w:szCs w:val="20"/>
        </w:rPr>
      </w:pPr>
    </w:p>
    <w:p>
      <w:pPr>
        <w:pStyle w:val="17"/>
        <w:numPr>
          <w:ilvl w:val="2"/>
          <w:numId w:val="4"/>
        </w:numPr>
        <w:spacing w:before="0" w:after="0"/>
        <w:ind w:left="720" w:right="142" w:hanging="720"/>
        <w:jc w:val="both"/>
        <w:rPr>
          <w:rFonts w:eastAsia="SimSun" w:asciiTheme="minorHAnsi" w:hAnsiTheme="minorHAnsi" w:cstheme="minorHAnsi"/>
          <w:sz w:val="20"/>
          <w:szCs w:val="20"/>
        </w:rPr>
      </w:pPr>
      <w:r>
        <w:rPr>
          <w:rFonts w:eastAsia="Helvetica" w:asciiTheme="minorHAnsi" w:hAnsiTheme="minorHAnsi" w:cstheme="minorHAnsi"/>
          <w:color w:val="000000"/>
          <w:sz w:val="20"/>
          <w:szCs w:val="20"/>
          <w:shd w:val="clear" w:fill="FFFFFF"/>
        </w:rPr>
        <w:t xml:space="preserve">RDC 330 de 20/12/2019 do Ministério da Saúde- substitui a Portaria 453 de 01/07/1998, </w:t>
      </w:r>
      <w:r>
        <w:rPr>
          <w:rFonts w:eastAsia="Arial" w:asciiTheme="minorHAnsi" w:hAnsiTheme="minorHAnsi" w:cstheme="minorHAnsi"/>
          <w:sz w:val="20"/>
          <w:szCs w:val="20"/>
          <w:shd w:val="clear" w:fill="FFFFFF"/>
        </w:rPr>
        <w:t>traz as normas sobre o uso de raio x para diagnóstico em todo o território nacional e as diretrizes básicas de proteção radiológica no âmbito da medicina e da odontologia.</w:t>
      </w:r>
    </w:p>
    <w:p>
      <w:pPr>
        <w:pStyle w:val="16"/>
        <w:jc w:val="both"/>
        <w:rPr>
          <w:rFonts w:eastAsia="SimSun" w:asciiTheme="minorHAnsi" w:hAnsiTheme="minorHAnsi" w:cstheme="minorHAnsi"/>
          <w:sz w:val="20"/>
          <w:szCs w:val="20"/>
        </w:rPr>
      </w:pPr>
    </w:p>
    <w:p>
      <w:pPr>
        <w:pStyle w:val="17"/>
        <w:spacing w:before="0" w:after="0"/>
        <w:ind w:right="142"/>
        <w:jc w:val="both"/>
        <w:rPr>
          <w:rFonts w:eastAsia="SimSun" w:asciiTheme="minorHAnsi" w:hAnsiTheme="minorHAnsi" w:cstheme="minorHAnsi"/>
          <w:sz w:val="20"/>
          <w:szCs w:val="20"/>
        </w:rPr>
      </w:pPr>
      <w:r>
        <w:rPr>
          <w:rFonts w:eastAsia="SimSun" w:asciiTheme="minorHAnsi" w:hAnsiTheme="minorHAnsi" w:cstheme="minorHAnsi"/>
          <w:color w:val="000000"/>
          <w:sz w:val="20"/>
          <w:szCs w:val="20"/>
        </w:rPr>
        <w:t>As doses de radiação ionizante devem ser monitoradas para obter uma estimativa da dose efetiva e/ou da dose equivalente no cristalino e extremidades, compatível com a atividade exercida, de modo a demonstrar conformidade com os requisitos administrativos e operacionais estabelecidos pelo serviço e com as exigências estabelecidas pela RDC N 330, de 20 de dezembro de 2019, sendo importante também para o controle e melhoria da operação da instalação e em caso de exposição acidental envolvendo altas doses.</w:t>
      </w:r>
      <w:r>
        <w:rPr>
          <w:rFonts w:eastAsia="SimSun" w:asciiTheme="minorHAnsi" w:hAnsiTheme="minorHAnsi" w:cstheme="minorHAnsi"/>
          <w:sz w:val="20"/>
          <w:szCs w:val="20"/>
        </w:rPr>
        <w:t xml:space="preserve"> Nesse sentido, a medição individual de dosimetria é de suma relevância, pois além de resguardar a saúde dos trabalhadores, fundamenta-se pela necessidade de atendimento à legislação vigente, que trata controle dosimétrico para profissionais expostos à radiação ionizante, além de permitir visualizar a condição técnica de cada equipamento utilizado nas atividades que requerem a utilização de radiação , uma vez que altas doses de radiação indicam, possivelmente, instalações com falha nas blindagens, equipamentos defeituosos ou , ainda, uso incorreto do equipamento, o que pode comprometer a saúde dos usuários.</w:t>
      </w:r>
    </w:p>
    <w:p>
      <w:pPr>
        <w:pStyle w:val="17"/>
        <w:spacing w:before="0" w:after="0"/>
        <w:ind w:right="142"/>
        <w:jc w:val="both"/>
        <w:rPr>
          <w:rFonts w:eastAsia="SimSun" w:asciiTheme="minorHAnsi" w:hAnsiTheme="minorHAnsi" w:cstheme="minorHAnsi"/>
          <w:sz w:val="20"/>
          <w:szCs w:val="20"/>
        </w:rPr>
      </w:pPr>
    </w:p>
    <w:p>
      <w:pPr>
        <w:pStyle w:val="17"/>
        <w:numPr>
          <w:ilvl w:val="1"/>
          <w:numId w:val="4"/>
        </w:numPr>
        <w:spacing w:before="0" w:after="0" w:line="240" w:lineRule="auto"/>
        <w:ind w:left="360" w:right="142" w:hanging="360"/>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DO QUANTITATIVO ESTIMADO</w:t>
      </w:r>
    </w:p>
    <w:p>
      <w:pPr>
        <w:pStyle w:val="17"/>
        <w:spacing w:before="0" w:after="0"/>
        <w:jc w:val="both"/>
        <w:rPr>
          <w:rFonts w:eastAsia="Calibri" w:asciiTheme="minorHAnsi" w:hAnsiTheme="minorHAnsi" w:cstheme="minorHAnsi"/>
          <w:sz w:val="20"/>
          <w:szCs w:val="20"/>
        </w:rPr>
      </w:pPr>
    </w:p>
    <w:p>
      <w:pPr>
        <w:pStyle w:val="17"/>
        <w:spacing w:before="0" w:after="0"/>
        <w:jc w:val="both"/>
        <w:rPr>
          <w:rFonts w:eastAsia="SimSun" w:asciiTheme="minorHAnsi" w:hAnsiTheme="minorHAnsi" w:cstheme="minorHAnsi"/>
          <w:color w:val="000000"/>
          <w:sz w:val="20"/>
          <w:szCs w:val="20"/>
        </w:rPr>
      </w:pPr>
      <w:r>
        <w:rPr>
          <w:rFonts w:eastAsia="Calibri" w:asciiTheme="minorHAnsi" w:hAnsiTheme="minorHAnsi" w:cstheme="minorHAnsi"/>
          <w:color w:val="000000"/>
          <w:sz w:val="20"/>
          <w:szCs w:val="20"/>
        </w:rPr>
        <w:t xml:space="preserve">Os quantitativos previstos no presente Termo de Referência foram definidos fundamentado no quantitativo atual de profissionais das duas unidades de saúde que trabalham com radiação ionizante, dispostos nos documentos </w:t>
      </w:r>
      <w:commentRangeStart w:id="1"/>
      <w:r>
        <w:rPr>
          <w:rFonts w:eastAsia="Calibri" w:asciiTheme="minorHAnsi" w:hAnsiTheme="minorHAnsi" w:cstheme="minorHAnsi"/>
          <w:color w:val="0070C0"/>
          <w:sz w:val="20"/>
          <w:szCs w:val="20"/>
        </w:rPr>
        <w:t>45970815 e 46164046</w:t>
      </w:r>
      <w:r>
        <w:rPr>
          <w:rFonts w:eastAsia="SimSun" w:asciiTheme="minorHAnsi" w:hAnsiTheme="minorHAnsi" w:cstheme="minorHAnsi"/>
          <w:color w:val="000000"/>
          <w:sz w:val="20"/>
          <w:szCs w:val="20"/>
        </w:rPr>
        <w:t>,</w:t>
      </w:r>
      <w:commentRangeEnd w:id="1"/>
      <w:r>
        <w:commentReference w:id="1"/>
      </w:r>
      <w:r>
        <w:rPr>
          <w:rFonts w:eastAsia="SimSun" w:asciiTheme="minorHAnsi" w:hAnsiTheme="minorHAnsi" w:cstheme="minorHAnsi"/>
          <w:color w:val="000000"/>
          <w:sz w:val="20"/>
          <w:szCs w:val="20"/>
        </w:rPr>
        <w:t xml:space="preserve"> conforme os cálculos de servidores apresentados abaixo: </w:t>
      </w:r>
    </w:p>
    <w:p>
      <w:pPr>
        <w:pStyle w:val="17"/>
        <w:numPr>
          <w:ilvl w:val="0"/>
          <w:numId w:val="5"/>
        </w:numPr>
        <w:spacing w:before="0" w:after="0"/>
        <w:jc w:val="both"/>
        <w:rPr>
          <w:rFonts w:eastAsia="SimSun" w:asciiTheme="minorHAnsi" w:hAnsiTheme="minorHAnsi" w:cstheme="minorHAnsi"/>
          <w:color w:val="000000"/>
          <w:sz w:val="20"/>
          <w:szCs w:val="20"/>
        </w:rPr>
      </w:pPr>
      <w:r>
        <w:rPr>
          <w:rFonts w:eastAsia="SimSun" w:asciiTheme="minorHAnsi" w:hAnsiTheme="minorHAnsi" w:cstheme="minorHAnsi"/>
          <w:color w:val="000000"/>
          <w:sz w:val="20"/>
          <w:szCs w:val="20"/>
        </w:rPr>
        <w:t>Quatro) técnicos de radiologia integrando o serviço de radiologia;</w:t>
      </w:r>
    </w:p>
    <w:p>
      <w:pPr>
        <w:pStyle w:val="17"/>
        <w:spacing w:before="0" w:after="0"/>
        <w:ind w:left="426"/>
        <w:jc w:val="both"/>
        <w:rPr>
          <w:rFonts w:eastAsia="SimSun" w:asciiTheme="minorHAnsi" w:hAnsiTheme="minorHAnsi" w:cstheme="minorHAnsi"/>
          <w:color w:val="000000"/>
          <w:sz w:val="20"/>
          <w:szCs w:val="20"/>
        </w:rPr>
      </w:pPr>
      <w:r>
        <w:rPr>
          <w:rFonts w:eastAsia="SimSun" w:asciiTheme="minorHAnsi" w:hAnsiTheme="minorHAnsi" w:cstheme="minorHAnsi"/>
          <w:color w:val="000000"/>
          <w:sz w:val="20"/>
          <w:szCs w:val="20"/>
        </w:rPr>
        <w:t>02 (Dois) profissionais da odontologia especializada do Hospital São Lucas (01 Cirurgiã dentista e 01 Auxiliar de saúde bucal)</w:t>
      </w:r>
    </w:p>
    <w:p>
      <w:pPr>
        <w:pStyle w:val="17"/>
        <w:spacing w:before="0" w:after="0"/>
        <w:ind w:left="426"/>
        <w:jc w:val="both"/>
        <w:rPr>
          <w:rFonts w:eastAsia="SimSun" w:asciiTheme="minorHAnsi" w:hAnsiTheme="minorHAnsi" w:cstheme="minorHAnsi"/>
          <w:color w:val="000000"/>
          <w:sz w:val="20"/>
          <w:szCs w:val="20"/>
        </w:rPr>
      </w:pPr>
      <w:r>
        <w:rPr>
          <w:rFonts w:eastAsia="SimSun" w:asciiTheme="minorHAnsi" w:hAnsiTheme="minorHAnsi" w:cstheme="minorHAnsi"/>
          <w:color w:val="000000"/>
          <w:sz w:val="20"/>
          <w:szCs w:val="20"/>
        </w:rPr>
        <w:t>01(Um) Dosímetro controle para a unidade do Hospital São Lucas</w:t>
      </w:r>
    </w:p>
    <w:p>
      <w:pPr>
        <w:pStyle w:val="17"/>
        <w:spacing w:before="0" w:after="0"/>
        <w:ind w:left="426"/>
        <w:jc w:val="both"/>
        <w:rPr>
          <w:rFonts w:eastAsia="SimSun" w:asciiTheme="minorHAnsi" w:hAnsiTheme="minorHAnsi" w:cstheme="minorHAnsi"/>
          <w:color w:val="000000"/>
          <w:sz w:val="20"/>
          <w:szCs w:val="20"/>
        </w:rPr>
      </w:pPr>
      <w:r>
        <w:rPr>
          <w:rFonts w:eastAsia="SimSun" w:asciiTheme="minorHAnsi" w:hAnsiTheme="minorHAnsi" w:cstheme="minorHAnsi"/>
          <w:color w:val="000000"/>
          <w:sz w:val="20"/>
          <w:szCs w:val="20"/>
        </w:rPr>
        <w:t>04 (Quatro) profissionais da odontologia da Unidade de Saúde Dois Irmãos (02 Cirurgiões dentistas e 02 Auxiliares de saúde bucal).</w:t>
      </w:r>
    </w:p>
    <w:p>
      <w:pPr>
        <w:pStyle w:val="17"/>
        <w:spacing w:before="0" w:after="0"/>
        <w:jc w:val="both"/>
        <w:rPr>
          <w:rFonts w:eastAsia="SimSun" w:asciiTheme="minorHAnsi" w:hAnsiTheme="minorHAnsi" w:cstheme="minorHAnsi"/>
          <w:color w:val="000000"/>
          <w:sz w:val="20"/>
          <w:szCs w:val="20"/>
        </w:rPr>
      </w:pPr>
      <w:r>
        <w:rPr>
          <w:rFonts w:eastAsia="SimSun" w:asciiTheme="minorHAnsi" w:hAnsiTheme="minorHAnsi" w:cstheme="minorHAnsi"/>
          <w:color w:val="000000"/>
          <w:sz w:val="20"/>
          <w:szCs w:val="20"/>
        </w:rPr>
        <w:t xml:space="preserve">          01(Um) Dosímetro controle para a Unidade de Saúde Dois Irmãos.</w:t>
      </w:r>
    </w:p>
    <w:p>
      <w:pPr>
        <w:pStyle w:val="17"/>
        <w:spacing w:before="0" w:after="0"/>
        <w:jc w:val="both"/>
        <w:rPr>
          <w:rFonts w:eastAsia="SimSun" w:asciiTheme="minorHAnsi" w:hAnsiTheme="minorHAnsi" w:cstheme="minorHAnsi"/>
          <w:color w:val="000000"/>
          <w:sz w:val="20"/>
          <w:szCs w:val="20"/>
        </w:rPr>
      </w:pPr>
    </w:p>
    <w:p>
      <w:pPr>
        <w:pStyle w:val="17"/>
        <w:numPr>
          <w:ilvl w:val="0"/>
          <w:numId w:val="4"/>
        </w:numPr>
        <w:spacing w:before="240" w:after="0"/>
        <w:ind w:left="360" w:right="142" w:hanging="360"/>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DAS ESPECIFICAÇÕES DO OBJETO</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Dosímetro é um dispositivo composto de cristais com propriedades termo luminescentes (quando aquecido emite luz), utilizado para medir doses de radiações ionizantes, como as geradas por aparelhos de Raio X ou fontes Radioativas. Quando esses cristais são aquecidos durante um curto período de tempo à uma temperatura, eles emitem luz ultravioleta cuja intensidade é proporcional à dose da radiação incidente.</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A Dosimetria Pessoal tem como finalidade determinar o nível de doses de radiação recebida pelo usuário como decorrência do seu trabalho. É uma medida de grande responsabilidade, pois além de permitir a determinação da dose, permite ainda uma indicação das condições de funcionamento da aparelhagem utilizada. Dose elevada pode indicar maneira incorreta de trabalho, instalação com problema de blindagens ou aparelhagem defeituosa. É importante frisar, que o Dosímetro Pessoal seja usado de modo permanente pelo usuário durante todo o seu período de trabalho na sua instituição. Quando o usuário não estiver trabalhando, o seu dosímetro deverá ser guardado junto com os outros dosímetros de seus colegas e do Dosímetro Padrão, evitando assim a ocorrência de leituras errôneas em seu dosímetro.</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Dosímetro Padrão é um dosímetro igual aos outros, mas utilizado como referência no sistema de leitura, ou seja, as doses indicadas no Laudo de Doses Mensal são calculadas medindo-se a dose do dosímetro de cada usuário e subtraindo-se o valor da dose acumulada no dosímetro padrão. Dosímetro Padrão serve ainda para descontar eventual radiação recebida pelo conjunto dos dosímetros durante o transporte (correio), e jamais deve ser usado para monitorar pessoas ou ambientes com radiação.</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O serviço de monitoração Individual externa é um procedimento de proteção radiológica, obrigatório para pessoas ocupacionalmente expostas a radiações ionizantes, conforme normas e regulamentações contidas no item 2.2.desse termo de referência.</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Detalhamento do serviço: Contratação de prestação de serviço.</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Da execução dos serviços</w:t>
      </w:r>
      <w:r>
        <w:rPr>
          <w:rFonts w:eastAsia="SimSun" w:asciiTheme="minorHAnsi" w:hAnsiTheme="minorHAnsi" w:cstheme="minorHAnsi"/>
          <w:sz w:val="20"/>
          <w:szCs w:val="20"/>
        </w:rPr>
        <w:t>: A empresa que será contratada deverá proceder com a entrega dos dosímetros, dos relatórios e da nota fiscal mensalmente.</w:t>
      </w:r>
    </w:p>
    <w:p>
      <w:pPr>
        <w:pStyle w:val="17"/>
        <w:numPr>
          <w:ilvl w:val="1"/>
          <w:numId w:val="4"/>
        </w:numPr>
        <w:spacing w:before="240" w:after="0"/>
        <w:ind w:left="360" w:right="142" w:hanging="360"/>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 xml:space="preserve"> Os dosímetros individuais deverão ser separados em dois grupos a fim de facilitar o armazenamento em ambientes diferentes:</w:t>
      </w:r>
    </w:p>
    <w:p>
      <w:pPr>
        <w:pStyle w:val="17"/>
        <w:keepNext/>
        <w:keepLines/>
        <w:numPr>
          <w:ilvl w:val="2"/>
          <w:numId w:val="4"/>
        </w:numPr>
        <w:spacing w:before="0" w:after="0"/>
        <w:ind w:left="720"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Um grupo identificado como HOSPITAL SÃO LUCAS com 06 (seis) dosímetros individuais e 01 (Um) dosímetro padrão.</w:t>
      </w:r>
    </w:p>
    <w:p>
      <w:pPr>
        <w:pStyle w:val="17"/>
        <w:keepNext/>
        <w:keepLines/>
        <w:numPr>
          <w:ilvl w:val="2"/>
          <w:numId w:val="4"/>
        </w:numPr>
        <w:spacing w:before="0" w:after="0"/>
        <w:ind w:left="720"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Outro grupo identificado como UNIDADE DE SAÚDE DOIS IRMÃOS (PSF) com 04 (quatro) dosímetros individuais e 01 (Um) dosímetro padrão.</w:t>
      </w:r>
    </w:p>
    <w:p>
      <w:pPr>
        <w:pStyle w:val="17"/>
        <w:numPr>
          <w:ilvl w:val="1"/>
          <w:numId w:val="4"/>
        </w:numPr>
        <w:spacing w:before="240" w:after="240"/>
        <w:ind w:left="360" w:right="142" w:hanging="360"/>
        <w:jc w:val="both"/>
        <w:rPr>
          <w:rFonts w:eastAsia="SimSun" w:asciiTheme="minorHAnsi" w:hAnsiTheme="minorHAnsi" w:cstheme="minorHAnsi"/>
          <w:sz w:val="20"/>
          <w:szCs w:val="20"/>
        </w:rPr>
      </w:pPr>
      <w:r>
        <w:rPr>
          <w:rFonts w:eastAsia="SimSun" w:asciiTheme="minorHAnsi" w:hAnsiTheme="minorHAnsi" w:cstheme="minorHAnsi"/>
          <w:color w:val="000000"/>
          <w:sz w:val="20"/>
          <w:szCs w:val="20"/>
        </w:rPr>
        <w:t>O prazo de vigência da contratação é de 12 (doze) meses, podendo ser prorrogado por interesse das partes até o limite de 60 (sessenta) meses contados da publicação do contrato,</w:t>
      </w:r>
      <w:r>
        <w:rPr>
          <w:rFonts w:eastAsia="SimSun" w:asciiTheme="minorHAnsi" w:hAnsiTheme="minorHAnsi" w:cstheme="minorHAnsi"/>
          <w:color w:val="FF0000"/>
          <w:sz w:val="20"/>
          <w:szCs w:val="20"/>
        </w:rPr>
        <w:t xml:space="preserve"> </w:t>
      </w:r>
      <w:r>
        <w:rPr>
          <w:rFonts w:eastAsia="SimSun" w:asciiTheme="minorHAnsi" w:hAnsiTheme="minorHAnsi" w:cstheme="minorHAnsi"/>
          <w:sz w:val="20"/>
          <w:szCs w:val="20"/>
        </w:rPr>
        <w:t xml:space="preserve">na forma do artigo 105 da Lei n° 14.133, de 2021. </w:t>
      </w:r>
    </w:p>
    <w:p>
      <w:pPr>
        <w:pStyle w:val="17"/>
        <w:numPr>
          <w:ilvl w:val="1"/>
          <w:numId w:val="4"/>
        </w:numPr>
        <w:spacing w:before="240" w:after="240"/>
        <w:ind w:left="360" w:right="142" w:hanging="360"/>
        <w:jc w:val="both"/>
        <w:rPr>
          <w:rFonts w:eastAsia="SimSun" w:asciiTheme="minorHAnsi" w:hAnsiTheme="minorHAnsi" w:cstheme="minorHAnsi"/>
          <w:color w:val="000000"/>
          <w:sz w:val="20"/>
          <w:szCs w:val="20"/>
        </w:rPr>
      </w:pPr>
      <w:r>
        <w:rPr>
          <w:rFonts w:eastAsia="SimSun" w:asciiTheme="minorHAnsi" w:hAnsiTheme="minorHAnsi" w:cstheme="minorHAnsi"/>
          <w:sz w:val="20"/>
          <w:szCs w:val="20"/>
        </w:rPr>
        <w:t>Leitura mensal das doses acumuladas, com o registro das doses individuais de exposição radiológica para cada um dos usuários dos dosímetros, além dos respectivos laudos.</w:t>
      </w:r>
    </w:p>
    <w:p>
      <w:pPr>
        <w:pStyle w:val="17"/>
        <w:numPr>
          <w:ilvl w:val="1"/>
          <w:numId w:val="4"/>
        </w:numPr>
        <w:spacing w:before="240" w:after="240"/>
        <w:ind w:left="360" w:right="142" w:hanging="36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A CONTRATADA deverá disponibilizar uma nova remessa de dosímetros dentro do prazo acordado para que a CONTRATANTE encaminhe os dosímetros utilizados para processamento e leitura.</w:t>
      </w:r>
    </w:p>
    <w:p>
      <w:pPr>
        <w:pStyle w:val="17"/>
        <w:numPr>
          <w:ilvl w:val="1"/>
          <w:numId w:val="4"/>
        </w:numPr>
        <w:spacing w:before="240" w:after="240"/>
        <w:ind w:left="360" w:right="142" w:hanging="36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A CONTRATADA deverá atender nova demanda sobre as alterações do número de usuários, de acordo com comunicação previa no prazo estipulado em contrato. </w:t>
      </w:r>
    </w:p>
    <w:p>
      <w:pPr>
        <w:pStyle w:val="17"/>
        <w:numPr>
          <w:ilvl w:val="1"/>
          <w:numId w:val="4"/>
        </w:numPr>
        <w:spacing w:before="240" w:after="240"/>
        <w:ind w:left="360" w:right="142" w:hanging="36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A proposta deverá discriminar o preço unitário do dosímetro incluindo o valor do envio e da devolução dos equipamentos. </w:t>
      </w:r>
    </w:p>
    <w:p>
      <w:pPr>
        <w:pStyle w:val="17"/>
        <w:numPr>
          <w:ilvl w:val="1"/>
          <w:numId w:val="4"/>
        </w:numPr>
        <w:spacing w:before="240" w:after="240"/>
        <w:ind w:left="360" w:right="142" w:hanging="36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A empresa Contratada deverá estar credenciada junto a Comissão Nacional de Energia Nuclear.</w:t>
      </w:r>
    </w:p>
    <w:p>
      <w:pPr>
        <w:pStyle w:val="17"/>
        <w:tabs>
          <w:tab w:val="left" w:pos="5775"/>
        </w:tabs>
        <w:spacing w:before="240" w:after="240"/>
        <w:ind w:right="142"/>
        <w:jc w:val="both"/>
        <w:rPr>
          <w:rFonts w:eastAsia="Calibri" w:asciiTheme="minorHAnsi" w:hAnsiTheme="minorHAnsi" w:cstheme="minorHAnsi"/>
          <w:color w:val="000000"/>
          <w:sz w:val="20"/>
          <w:szCs w:val="20"/>
        </w:rPr>
      </w:pPr>
      <w:r>
        <w:rPr>
          <w:rFonts w:eastAsia="SimSun" w:asciiTheme="minorHAnsi" w:hAnsiTheme="minorHAnsi" w:cstheme="minorHAnsi"/>
          <w:color w:val="000000"/>
          <w:sz w:val="20"/>
          <w:szCs w:val="20"/>
        </w:rPr>
        <w:tab/>
      </w:r>
    </w:p>
    <w:p>
      <w:pPr>
        <w:pStyle w:val="17"/>
        <w:numPr>
          <w:ilvl w:val="0"/>
          <w:numId w:val="6"/>
        </w:numPr>
        <w:spacing w:before="0" w:after="0" w:line="240" w:lineRule="auto"/>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DA</w:t>
      </w:r>
      <w:r>
        <w:rPr>
          <w:rFonts w:eastAsia="Calibri" w:asciiTheme="minorHAnsi" w:hAnsiTheme="minorHAnsi" w:cstheme="minorHAnsi"/>
          <w:b/>
          <w:i/>
          <w:color w:val="000000"/>
          <w:sz w:val="20"/>
          <w:szCs w:val="20"/>
        </w:rPr>
        <w:t xml:space="preserve"> </w:t>
      </w:r>
      <w:r>
        <w:rPr>
          <w:rFonts w:eastAsia="Calibri" w:asciiTheme="minorHAnsi" w:hAnsiTheme="minorHAnsi" w:cstheme="minorHAnsi"/>
          <w:b/>
          <w:color w:val="000000"/>
          <w:sz w:val="20"/>
          <w:szCs w:val="20"/>
        </w:rPr>
        <w:t xml:space="preserve">CLASSIFICAÇÃO ORÇAMENTÁRIA DA DESPESA E DO BENEFÍCIO PREVISTO NA LEI COMPLEMENTAR </w:t>
      </w:r>
      <w:r>
        <w:rPr>
          <w:rFonts w:eastAsia="Calibri" w:asciiTheme="minorHAnsi" w:hAnsiTheme="minorHAnsi" w:cstheme="minorHAnsi"/>
          <w:b/>
          <w:sz w:val="20"/>
          <w:szCs w:val="20"/>
        </w:rPr>
        <w:t xml:space="preserve">Nº </w:t>
      </w:r>
      <w:r>
        <w:rPr>
          <w:rFonts w:eastAsia="Calibri" w:asciiTheme="minorHAnsi" w:hAnsiTheme="minorHAnsi" w:cstheme="minorHAnsi"/>
          <w:b/>
          <w:color w:val="000000"/>
          <w:sz w:val="20"/>
          <w:szCs w:val="20"/>
        </w:rPr>
        <w:t>123/2006</w:t>
      </w:r>
    </w:p>
    <w:p>
      <w:pPr>
        <w:pStyle w:val="17"/>
        <w:keepNext/>
        <w:keepLines/>
        <w:spacing w:before="0" w:after="0"/>
        <w:ind w:right="142"/>
        <w:jc w:val="both"/>
        <w:rPr>
          <w:rFonts w:eastAsia="Calibri" w:asciiTheme="minorHAnsi" w:hAnsiTheme="minorHAnsi" w:cstheme="minorHAnsi"/>
          <w:color w:val="000000"/>
          <w:sz w:val="20"/>
          <w:szCs w:val="20"/>
        </w:rPr>
      </w:pPr>
    </w:p>
    <w:p>
      <w:pPr>
        <w:pStyle w:val="17"/>
        <w:keepNext/>
        <w:keepLines/>
        <w:spacing w:before="0" w:after="0"/>
        <w:ind w:right="142"/>
        <w:jc w:val="both"/>
        <w:rPr>
          <w:rFonts w:eastAsia="Calibri" w:asciiTheme="minorHAnsi" w:hAnsiTheme="minorHAnsi" w:cstheme="minorHAnsi"/>
          <w:color w:val="000000"/>
          <w:sz w:val="20"/>
          <w:szCs w:val="20"/>
        </w:rPr>
      </w:pPr>
    </w:p>
    <w:p>
      <w:pPr>
        <w:pStyle w:val="17"/>
        <w:numPr>
          <w:ilvl w:val="1"/>
          <w:numId w:val="6"/>
        </w:numPr>
        <w:spacing w:before="0" w:after="0" w:line="240" w:lineRule="auto"/>
        <w:ind w:left="426" w:right="-285"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CLASSIFICAÇÃO ORÇAMENTÁRIA DA DESPESA</w:t>
      </w:r>
    </w:p>
    <w:p>
      <w:pPr>
        <w:pStyle w:val="17"/>
        <w:numPr>
          <w:ilvl w:val="2"/>
          <w:numId w:val="6"/>
        </w:numPr>
        <w:spacing w:before="240" w:after="240"/>
        <w:ind w:left="709" w:right="142" w:hanging="709"/>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As despesas decorrentes desta contratação estão programadas em dotação orçamentária própria, prevista no orçamento do Estado de Pernambuco, para o exercício de 2024, na classificação abaixo:</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Unidade Gestora: 610600 / 610601</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Valor individual R$ 28,73</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Valor mensal R$ 344,76</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Valor Anual R$ 4.137,12</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Unidade Orçamentária: 00309</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Função: 10</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Subfunção: 302</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Programa: 0528</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Ação: 0216 - Desenvolvimento da Assistência Hospitalar e Ambulatorial no Distrito Estadual de Fernando de Noronha</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Subação: 0000 – Outras Medidas</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Fonte: 0753 / 0600</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Natureza de despesa: 3.3.90</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i w:val="0"/>
          <w:iCs w:val="0"/>
          <w:caps w:val="0"/>
          <w:color w:val="000000"/>
          <w:spacing w:val="0"/>
          <w:sz w:val="20"/>
          <w:szCs w:val="20"/>
        </w:rPr>
        <w:t>Célula Orçamentária: </w:t>
      </w:r>
      <w:r>
        <w:rPr>
          <w:rFonts w:hint="default" w:ascii="Calibri" w:hAnsi="Calibri" w:cs="Calibri"/>
          <w:b/>
          <w:bCs/>
          <w:i w:val="0"/>
          <w:iCs w:val="0"/>
          <w:caps w:val="0"/>
          <w:color w:val="000000"/>
          <w:spacing w:val="0"/>
          <w:sz w:val="20"/>
          <w:szCs w:val="20"/>
        </w:rPr>
        <w:t>1.00309.10.302.0528.0216.0000.0753000000.3.3.90.00.00.1</w:t>
      </w:r>
    </w:p>
    <w:p>
      <w:pPr>
        <w:pStyle w:val="8"/>
        <w:keepNext w:val="0"/>
        <w:keepLines w:val="0"/>
        <w:widowControl/>
        <w:suppressLineNumbers w:val="0"/>
        <w:ind w:left="0" w:right="0" w:firstLine="0"/>
        <w:rPr>
          <w:rFonts w:hint="default" w:ascii="Calibri" w:hAnsi="Calibri" w:cs="Calibri"/>
          <w:i w:val="0"/>
          <w:iCs w:val="0"/>
          <w:caps w:val="0"/>
          <w:color w:val="000000"/>
          <w:spacing w:val="0"/>
          <w:sz w:val="20"/>
          <w:szCs w:val="20"/>
        </w:rPr>
      </w:pPr>
      <w:r>
        <w:rPr>
          <w:rFonts w:hint="default" w:ascii="Calibri" w:hAnsi="Calibri" w:cs="Calibri"/>
          <w:b/>
          <w:bCs/>
          <w:i w:val="0"/>
          <w:iCs w:val="0"/>
          <w:caps w:val="0"/>
          <w:color w:val="000000"/>
          <w:spacing w:val="0"/>
          <w:sz w:val="20"/>
          <w:szCs w:val="20"/>
        </w:rPr>
        <w:t>                                    1.00309.10.302.0528.0216.0000.0600000000.3.3.90.00.00.1</w:t>
      </w:r>
    </w:p>
    <w:p>
      <w:pPr>
        <w:pStyle w:val="18"/>
        <w:spacing w:before="240" w:after="240"/>
        <w:ind w:left="708" w:hanging="2"/>
        <w:jc w:val="both"/>
        <w:rPr>
          <w:rFonts w:hint="default" w:ascii="Calibri" w:hAnsi="Calibri" w:cs="Calibri"/>
          <w:color w:val="0070C0"/>
          <w:sz w:val="20"/>
          <w:szCs w:val="20"/>
        </w:rPr>
      </w:pPr>
    </w:p>
    <w:p>
      <w:pPr>
        <w:pStyle w:val="17"/>
        <w:numPr>
          <w:ilvl w:val="2"/>
          <w:numId w:val="6"/>
        </w:numPr>
        <w:spacing w:before="240" w:after="240"/>
        <w:ind w:left="1476" w:right="142" w:hanging="720"/>
        <w:jc w:val="both"/>
        <w:rPr>
          <w:rFonts w:eastAsia="Calibri" w:asciiTheme="minorHAnsi" w:hAnsiTheme="minorHAnsi" w:cstheme="minorHAnsi"/>
          <w:sz w:val="20"/>
          <w:szCs w:val="20"/>
        </w:rPr>
      </w:pPr>
      <w:r>
        <w:rPr>
          <w:rFonts w:eastAsia="Calibri" w:asciiTheme="minorHAnsi" w:hAnsiTheme="minorHAnsi" w:cstheme="minorHAnsi"/>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pPr>
        <w:pStyle w:val="17"/>
        <w:spacing w:before="0" w:after="0" w:line="240" w:lineRule="auto"/>
        <w:ind w:right="-285"/>
        <w:jc w:val="both"/>
        <w:rPr>
          <w:rFonts w:eastAsia="Calibri" w:asciiTheme="minorHAnsi" w:hAnsiTheme="minorHAnsi" w:cstheme="minorHAnsi"/>
          <w:color w:val="0070C0"/>
          <w:sz w:val="20"/>
          <w:szCs w:val="20"/>
        </w:rPr>
      </w:pPr>
    </w:p>
    <w:p>
      <w:pPr>
        <w:pStyle w:val="17"/>
        <w:numPr>
          <w:ilvl w:val="1"/>
          <w:numId w:val="6"/>
        </w:numPr>
        <w:spacing w:before="0" w:after="0" w:line="240" w:lineRule="auto"/>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sz w:val="20"/>
          <w:szCs w:val="20"/>
        </w:rPr>
        <w:t xml:space="preserve"> </w:t>
      </w:r>
      <w:r>
        <w:rPr>
          <w:rFonts w:eastAsia="Calibri" w:asciiTheme="minorHAnsi" w:hAnsiTheme="minorHAnsi" w:cstheme="minorHAnsi"/>
          <w:b/>
          <w:color w:val="000000"/>
          <w:sz w:val="20"/>
          <w:szCs w:val="20"/>
        </w:rPr>
        <w:t xml:space="preserve">JUSTIFICATIVA PARA APLICAÇÃO OU NÃO DO BENEFÍCIO PREVISTO NA LEI COMPLEMENTAR Nº 123/2006 </w:t>
      </w:r>
    </w:p>
    <w:p>
      <w:pPr>
        <w:pStyle w:val="17"/>
        <w:spacing w:before="0" w:after="0" w:line="240" w:lineRule="auto"/>
        <w:ind w:right="142"/>
        <w:jc w:val="both"/>
        <w:rPr>
          <w:rFonts w:eastAsia="Calibri" w:asciiTheme="minorHAnsi" w:hAnsiTheme="minorHAnsi" w:cstheme="minorHAnsi"/>
          <w:color w:val="000000"/>
          <w:sz w:val="20"/>
          <w:szCs w:val="20"/>
        </w:rPr>
      </w:pPr>
    </w:p>
    <w:p>
      <w:pPr>
        <w:pStyle w:val="16"/>
        <w:spacing w:before="240" w:after="0"/>
        <w:ind w:left="-142"/>
        <w:contextualSpacing/>
        <w:jc w:val="both"/>
        <w:rPr>
          <w:rFonts w:hint="default" w:ascii="Calibri" w:hAnsi="Calibri" w:eastAsia="Times New Roman"/>
          <w:sz w:val="20"/>
          <w:szCs w:val="20"/>
          <w:lang w:eastAsia="pt-BR"/>
        </w:rPr>
      </w:pPr>
      <w:r>
        <w:rPr>
          <w:rFonts w:hint="default" w:ascii="Calibri" w:hAnsi="Calibri" w:eastAsia="Times New Roman"/>
          <w:sz w:val="20"/>
          <w:szCs w:val="20"/>
          <w:lang w:eastAsia="pt-BR"/>
        </w:rPr>
        <w:t>4.3.1. No caso de aquisições de bens, em regra, devem ser objeto de licitações exclusivas para Microempresas (ME) e Empresas de Pequeno Porte (EPP) quando os itens de contratação possuírem valor estimado de até 80 mil reais ou devem ser reservadas cotas de até 25% do quantitativo para essas empresas caso os valores estimados dos itens forem superiores a R$ 80.000,00 (oitenta mil) reais e a natureza dos bens a serem adquiridos seja divisível, nos termos do art. 48, I e III, da LC nº 123/2006.</w:t>
      </w:r>
    </w:p>
    <w:p>
      <w:pPr>
        <w:pStyle w:val="16"/>
        <w:spacing w:before="240" w:after="0"/>
        <w:ind w:left="-142"/>
        <w:contextualSpacing/>
        <w:jc w:val="both"/>
        <w:rPr>
          <w:rFonts w:hint="default" w:ascii="Calibri" w:hAnsi="Calibri" w:eastAsia="Times New Roman"/>
          <w:sz w:val="20"/>
          <w:szCs w:val="20"/>
          <w:lang w:eastAsia="pt-BR"/>
        </w:rPr>
      </w:pPr>
    </w:p>
    <w:p>
      <w:pPr>
        <w:pStyle w:val="16"/>
        <w:spacing w:before="240" w:after="0"/>
        <w:ind w:left="-142"/>
        <w:contextualSpacing/>
        <w:jc w:val="both"/>
        <w:rPr>
          <w:rFonts w:hint="default" w:ascii="Calibri" w:hAnsi="Calibri" w:eastAsia="Times New Roman"/>
          <w:sz w:val="20"/>
          <w:szCs w:val="20"/>
          <w:lang w:eastAsia="pt-BR"/>
        </w:rPr>
      </w:pPr>
      <w:r>
        <w:rPr>
          <w:rFonts w:hint="default" w:ascii="Calibri" w:hAnsi="Calibri" w:eastAsia="Times New Roman"/>
          <w:sz w:val="20"/>
          <w:szCs w:val="20"/>
          <w:lang w:eastAsia="pt-BR"/>
        </w:rPr>
        <w:t>4.3.2. Excepcionalmente, o tratamento privilegiado destinado às ME e EPP pode ser afastado, diante de particularidades do caso concreto que impeçam a aplicação dos referidos benefícios, nas hipóteses elencadas nos incisos do art. 49 da citada Lei Complementar nº 123/2006 e art. 9º do Decreto nº 45.140/2017.</w:t>
      </w:r>
    </w:p>
    <w:p>
      <w:pPr>
        <w:pStyle w:val="16"/>
        <w:spacing w:before="240" w:after="0"/>
        <w:ind w:left="-142"/>
        <w:contextualSpacing/>
        <w:jc w:val="both"/>
        <w:rPr>
          <w:rFonts w:hint="default" w:ascii="Calibri" w:hAnsi="Calibri" w:eastAsia="Times New Roman"/>
          <w:sz w:val="20"/>
          <w:szCs w:val="20"/>
          <w:lang w:eastAsia="pt-BR"/>
        </w:rPr>
      </w:pPr>
    </w:p>
    <w:p>
      <w:pPr>
        <w:pStyle w:val="16"/>
        <w:spacing w:before="240" w:after="0"/>
        <w:ind w:left="-142"/>
        <w:contextualSpacing/>
        <w:jc w:val="both"/>
        <w:rPr>
          <w:rFonts w:hint="default" w:ascii="Calibri" w:hAnsi="Calibri" w:eastAsia="Times New Roman"/>
          <w:sz w:val="20"/>
          <w:szCs w:val="20"/>
          <w:lang w:eastAsia="pt-BR"/>
        </w:rPr>
      </w:pPr>
      <w:r>
        <w:rPr>
          <w:rFonts w:hint="default" w:ascii="Calibri" w:hAnsi="Calibri" w:eastAsia="Times New Roman"/>
          <w:sz w:val="20"/>
          <w:szCs w:val="20"/>
          <w:lang w:eastAsia="pt-BR"/>
        </w:rPr>
        <w:t>4.3.3. Diante das exceções previstas no art. 49 da Lei nº 123/2006,</w:t>
      </w:r>
      <w:r>
        <w:rPr>
          <w:rFonts w:hint="default" w:ascii="Calibri" w:hAnsi="Calibri" w:eastAsia="Times New Roman"/>
          <w:sz w:val="20"/>
          <w:szCs w:val="20"/>
          <w:lang w:val="en-US" w:eastAsia="pt-BR"/>
        </w:rPr>
        <w:t xml:space="preserve"> </w:t>
      </w:r>
      <w:r>
        <w:rPr>
          <w:rFonts w:hint="default" w:ascii="Calibri" w:hAnsi="Calibri" w:eastAsia="Times New Roman"/>
          <w:sz w:val="20"/>
          <w:szCs w:val="20"/>
          <w:lang w:eastAsia="pt-BR"/>
        </w:rPr>
        <w:t>não se vislumbra alternativa vantajosa para a satisfação do interesse público, senão o afastamento pontual do benefício da licitação exclusiva no caso concreto, pelo que a presente licitação não adotará a previsão de itens exclusivos à participação de Microempresas (ME) e Empresas de Pequeno Porte.</w:t>
      </w:r>
    </w:p>
    <w:p>
      <w:pPr>
        <w:pStyle w:val="16"/>
        <w:spacing w:before="240" w:after="0"/>
        <w:ind w:left="-142"/>
        <w:contextualSpacing/>
        <w:jc w:val="both"/>
        <w:rPr>
          <w:rFonts w:hint="default" w:ascii="Calibri" w:hAnsi="Calibri" w:eastAsia="Times New Roman"/>
          <w:sz w:val="20"/>
          <w:szCs w:val="20"/>
          <w:lang w:eastAsia="pt-BR"/>
        </w:rPr>
      </w:pPr>
    </w:p>
    <w:p>
      <w:pPr>
        <w:pStyle w:val="16"/>
        <w:spacing w:before="240" w:after="0"/>
        <w:ind w:left="-142"/>
        <w:contextualSpacing/>
        <w:jc w:val="both"/>
        <w:rPr>
          <w:rFonts w:ascii="Calibri" w:hAnsi="Calibri" w:eastAsia="Times New Roman"/>
          <w:sz w:val="20"/>
          <w:szCs w:val="20"/>
          <w:lang w:eastAsia="pt-BR"/>
        </w:rPr>
      </w:pPr>
      <w:r>
        <w:rPr>
          <w:rFonts w:hint="default" w:ascii="Calibri" w:hAnsi="Calibri" w:eastAsia="Times New Roman"/>
          <w:sz w:val="20"/>
          <w:szCs w:val="20"/>
          <w:lang w:eastAsia="pt-BR"/>
        </w:rPr>
        <w:t xml:space="preserve">4.3.4. O presente processo se enquadra no(s) inciso(s) III do art. 49 da Lei Complementar nº 123/2006 e II do art. 9º do Decreto nº 45.140/2017 citados acima, uma vez que </w:t>
      </w:r>
      <w:r>
        <w:rPr>
          <w:rFonts w:hint="default" w:ascii="Calibri" w:hAnsi="Calibri" w:eastAsia="Times New Roman"/>
          <w:sz w:val="20"/>
          <w:szCs w:val="20"/>
          <w:lang w:val="en-US" w:eastAsia="pt-BR"/>
        </w:rPr>
        <w:t xml:space="preserve">ampliando a concorrência é possível alcançar um maior número de laboratórios com o certificado nessa prestação de serviço, </w:t>
      </w:r>
      <w:r>
        <w:rPr>
          <w:rFonts w:hint="default" w:ascii="Calibri" w:hAnsi="Calibri" w:eastAsia="Times New Roman"/>
          <w:sz w:val="20"/>
          <w:szCs w:val="20"/>
          <w:lang w:eastAsia="pt-BR"/>
        </w:rPr>
        <w:t xml:space="preserve">reduzindo a possibilidade de deserção e fracassos, minimizando o custo do processo e o preço dos produtos, ante a existência de concorrência entre fornecedores. Assegurando, assim, a eficiência das contratações públicas, sobretudo em se tratando da </w:t>
      </w:r>
      <w:r>
        <w:rPr>
          <w:rFonts w:hint="default" w:ascii="Calibri" w:hAnsi="Calibri" w:eastAsia="Times New Roman"/>
          <w:sz w:val="20"/>
          <w:szCs w:val="20"/>
          <w:lang w:val="en-US" w:eastAsia="pt-BR"/>
        </w:rPr>
        <w:t>serviço na área de saúde</w:t>
      </w:r>
      <w:r>
        <w:rPr>
          <w:rFonts w:hint="default" w:ascii="Calibri" w:hAnsi="Calibri" w:eastAsia="Times New Roman"/>
          <w:sz w:val="20"/>
          <w:szCs w:val="20"/>
          <w:lang w:eastAsia="pt-BR"/>
        </w:rPr>
        <w:t>, que exige uma resposta célere para a satisfação da necessidade dos usuários. Deixamos claro que não estamos vedando a participação de ME/EPP, mas ampliando para qualquer tipo de empresa, a fim de conseguir maior disputa e consequentemente um melhor preço, configurando-se, portanto, mais vantajoso para a administração.</w:t>
      </w:r>
    </w:p>
    <w:p>
      <w:pPr>
        <w:ind w:left="426"/>
        <w:jc w:val="both"/>
        <w:rPr>
          <w:rFonts w:eastAsia="Calibri" w:asciiTheme="minorHAnsi" w:hAnsiTheme="minorHAnsi" w:cstheme="minorHAnsi"/>
          <w:color w:val="000000"/>
          <w:sz w:val="20"/>
          <w:szCs w:val="20"/>
        </w:rPr>
      </w:pPr>
    </w:p>
    <w:p>
      <w:pPr>
        <w:pStyle w:val="17"/>
        <w:spacing w:before="0" w:after="0" w:line="240" w:lineRule="auto"/>
        <w:ind w:right="142"/>
        <w:jc w:val="both"/>
        <w:rPr>
          <w:rFonts w:eastAsia="Calibri" w:asciiTheme="minorHAnsi" w:hAnsiTheme="minorHAnsi" w:cstheme="minorHAnsi"/>
          <w:color w:val="FF0000"/>
          <w:sz w:val="20"/>
          <w:szCs w:val="20"/>
        </w:rPr>
      </w:pPr>
    </w:p>
    <w:p>
      <w:pPr>
        <w:pStyle w:val="17"/>
        <w:numPr>
          <w:ilvl w:val="0"/>
          <w:numId w:val="6"/>
        </w:numPr>
        <w:spacing w:before="0" w:after="0" w:line="240" w:lineRule="auto"/>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PROPOSTA</w:t>
      </w:r>
    </w:p>
    <w:p>
      <w:pPr>
        <w:pStyle w:val="17"/>
        <w:spacing w:before="0" w:after="0" w:line="240" w:lineRule="auto"/>
        <w:ind w:right="142"/>
        <w:jc w:val="both"/>
        <w:rPr>
          <w:rFonts w:eastAsia="Calibri" w:asciiTheme="minorHAnsi" w:hAnsiTheme="minorHAnsi" w:cstheme="minorHAnsi"/>
          <w:sz w:val="20"/>
          <w:szCs w:val="20"/>
        </w:rPr>
      </w:pPr>
    </w:p>
    <w:p>
      <w:pPr>
        <w:pStyle w:val="17"/>
        <w:numPr>
          <w:ilvl w:val="1"/>
          <w:numId w:val="7"/>
        </w:numPr>
        <w:spacing w:before="0" w:after="0" w:line="240" w:lineRule="auto"/>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PRAZO DE VALIDADE DA PROPOSTA</w:t>
      </w:r>
    </w:p>
    <w:p>
      <w:pPr>
        <w:pStyle w:val="17"/>
        <w:spacing w:before="0" w:after="0" w:line="240" w:lineRule="auto"/>
        <w:ind w:right="142"/>
        <w:jc w:val="both"/>
        <w:rPr>
          <w:rFonts w:eastAsia="Calibri" w:asciiTheme="minorHAnsi" w:hAnsiTheme="minorHAnsi" w:cstheme="minorHAnsi"/>
          <w:color w:val="000000"/>
          <w:sz w:val="20"/>
          <w:szCs w:val="20"/>
        </w:rPr>
      </w:pPr>
    </w:p>
    <w:p>
      <w:pPr>
        <w:pStyle w:val="17"/>
        <w:spacing w:before="0" w:after="0" w:line="240" w:lineRule="auto"/>
        <w:ind w:left="426" w:right="142"/>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 xml:space="preserve">As propostas deverão ter validade de, no mínimo, </w:t>
      </w:r>
      <w:r>
        <w:rPr>
          <w:rFonts w:eastAsia="Calibri" w:asciiTheme="minorHAnsi" w:hAnsiTheme="minorHAnsi" w:cstheme="minorHAnsi"/>
          <w:color w:val="0070C0"/>
          <w:sz w:val="20"/>
          <w:szCs w:val="20"/>
        </w:rPr>
        <w:t>60</w:t>
      </w:r>
      <w:r>
        <w:rPr>
          <w:rFonts w:eastAsia="Calibri" w:asciiTheme="minorHAnsi" w:hAnsiTheme="minorHAnsi" w:cstheme="minorHAnsi"/>
          <w:color w:val="000000"/>
          <w:sz w:val="20"/>
          <w:szCs w:val="20"/>
        </w:rPr>
        <w:t xml:space="preserve"> </w:t>
      </w:r>
      <w:r>
        <w:rPr>
          <w:rFonts w:eastAsia="Calibri" w:asciiTheme="minorHAnsi" w:hAnsiTheme="minorHAnsi" w:cstheme="minorHAnsi"/>
          <w:color w:val="0070C0"/>
          <w:sz w:val="20"/>
          <w:szCs w:val="20"/>
        </w:rPr>
        <w:t>(sessenta)</w:t>
      </w:r>
      <w:r>
        <w:rPr>
          <w:rFonts w:eastAsia="Calibri" w:asciiTheme="minorHAnsi" w:hAnsiTheme="minorHAnsi" w:cstheme="minorHAnsi"/>
          <w:color w:val="000000"/>
          <w:sz w:val="20"/>
          <w:szCs w:val="20"/>
        </w:rPr>
        <w:t xml:space="preserve"> dias, contados da data da sua apresentação, independente de declaração da empresa.</w:t>
      </w:r>
    </w:p>
    <w:p>
      <w:pPr>
        <w:pStyle w:val="17"/>
        <w:spacing w:before="0" w:after="0" w:line="240" w:lineRule="auto"/>
        <w:ind w:right="142"/>
        <w:jc w:val="both"/>
        <w:rPr>
          <w:rFonts w:eastAsia="Calibri" w:asciiTheme="minorHAnsi" w:hAnsiTheme="minorHAnsi" w:cstheme="minorHAnsi"/>
          <w:color w:val="000000"/>
          <w:sz w:val="20"/>
          <w:szCs w:val="20"/>
        </w:rPr>
      </w:pPr>
    </w:p>
    <w:p>
      <w:pPr>
        <w:ind w:left="-11" w:right="-285"/>
        <w:jc w:val="both"/>
        <w:rPr>
          <w:rFonts w:asciiTheme="minorHAnsi" w:hAnsiTheme="minorHAnsi" w:cstheme="minorHAnsi"/>
          <w:sz w:val="20"/>
          <w:szCs w:val="20"/>
          <w:u w:val="single"/>
        </w:rPr>
      </w:pPr>
    </w:p>
    <w:p>
      <w:pPr>
        <w:pStyle w:val="17"/>
        <w:numPr>
          <w:ilvl w:val="0"/>
          <w:numId w:val="6"/>
        </w:numPr>
        <w:spacing w:before="0" w:after="0"/>
        <w:ind w:left="360" w:right="142" w:hanging="360"/>
        <w:jc w:val="both"/>
        <w:rPr>
          <w:rFonts w:eastAsia="Calibri" w:asciiTheme="minorHAnsi" w:hAnsiTheme="minorHAnsi" w:cstheme="minorHAnsi"/>
          <w:b/>
          <w:sz w:val="20"/>
          <w:szCs w:val="20"/>
        </w:rPr>
      </w:pPr>
      <w:r>
        <w:rPr>
          <w:rFonts w:eastAsia="Calibri" w:asciiTheme="minorHAnsi" w:hAnsiTheme="minorHAnsi" w:cstheme="minorHAnsi"/>
          <w:b/>
          <w:sz w:val="20"/>
          <w:szCs w:val="20"/>
        </w:rPr>
        <w:t>DOS DOCUMENTOS DE HABILITAÇÃO</w:t>
      </w:r>
    </w:p>
    <w:p>
      <w:pPr>
        <w:pStyle w:val="17"/>
        <w:spacing w:before="0" w:after="0" w:line="240" w:lineRule="auto"/>
        <w:ind w:right="142"/>
        <w:jc w:val="both"/>
        <w:rPr>
          <w:rFonts w:eastAsia="Calibri" w:asciiTheme="minorHAnsi" w:hAnsiTheme="minorHAnsi" w:cstheme="minorHAnsi"/>
          <w:b/>
          <w:sz w:val="20"/>
          <w:szCs w:val="20"/>
          <w:u w:val="single"/>
        </w:rPr>
      </w:pPr>
    </w:p>
    <w:p>
      <w:pPr>
        <w:pStyle w:val="17"/>
        <w:numPr>
          <w:ilvl w:val="1"/>
          <w:numId w:val="6"/>
        </w:numPr>
        <w:spacing w:before="0" w:after="0" w:line="240" w:lineRule="auto"/>
        <w:ind w:left="927" w:right="142" w:hanging="360"/>
        <w:jc w:val="both"/>
        <w:rPr>
          <w:rFonts w:eastAsia="Calibri" w:asciiTheme="minorHAnsi" w:hAnsiTheme="minorHAnsi" w:cstheme="minorHAnsi"/>
          <w:b/>
          <w:sz w:val="20"/>
          <w:szCs w:val="20"/>
        </w:rPr>
      </w:pPr>
      <w:r>
        <w:rPr>
          <w:rFonts w:asciiTheme="minorHAnsi" w:hAnsiTheme="minorHAnsi" w:cstheme="minorHAnsi"/>
          <w:b/>
          <w:sz w:val="20"/>
          <w:szCs w:val="20"/>
        </w:rPr>
        <w:t xml:space="preserve"> HABILITAÇÃO JURÍDICA:</w:t>
      </w:r>
    </w:p>
    <w:p>
      <w:pPr>
        <w:tabs>
          <w:tab w:val="left" w:pos="851"/>
        </w:tabs>
        <w:ind w:left="600"/>
        <w:jc w:val="both"/>
        <w:rPr>
          <w:rFonts w:asciiTheme="minorHAnsi" w:hAnsiTheme="minorHAnsi" w:cstheme="minorHAnsi"/>
          <w:b/>
          <w:sz w:val="20"/>
          <w:szCs w:val="20"/>
        </w:rPr>
      </w:pP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pPr>
        <w:pStyle w:val="9"/>
        <w:numPr>
          <w:ilvl w:val="2"/>
          <w:numId w:val="6"/>
        </w:numPr>
        <w:tabs>
          <w:tab w:val="left" w:pos="567"/>
        </w:tabs>
        <w:suppressAutoHyphens w:val="0"/>
        <w:spacing w:line="276" w:lineRule="auto"/>
        <w:jc w:val="both"/>
        <w:outlineLvl w:val="9"/>
        <w:rPr>
          <w:rFonts w:asciiTheme="minorHAnsi" w:hAnsiTheme="minorHAnsi" w:cstheme="minorHAnsi"/>
        </w:rPr>
      </w:pPr>
      <w:r>
        <w:rPr>
          <w:rFonts w:asciiTheme="minorHAnsi" w:hAnsiTheme="minorHAnsi" w:cstheme="minorHAnsi"/>
        </w:rPr>
        <w:t>Decreto de autorização, em se tratando de empresa ou sociedade estrangeira em funcionamento no País, e ato de registro ou autorização para funcionamento expedido pelo órgão competente, quando a atividade assim o exigir.</w:t>
      </w:r>
    </w:p>
    <w:p>
      <w:pPr>
        <w:tabs>
          <w:tab w:val="left" w:pos="851"/>
        </w:tabs>
        <w:ind w:left="600"/>
        <w:jc w:val="both"/>
        <w:rPr>
          <w:rFonts w:asciiTheme="minorHAnsi" w:hAnsiTheme="minorHAnsi" w:cstheme="minorHAnsi"/>
          <w:b/>
          <w:sz w:val="20"/>
          <w:szCs w:val="20"/>
        </w:rPr>
      </w:pPr>
    </w:p>
    <w:p>
      <w:pPr>
        <w:tabs>
          <w:tab w:val="left" w:pos="851"/>
        </w:tabs>
        <w:ind w:left="600"/>
        <w:jc w:val="both"/>
        <w:rPr>
          <w:rFonts w:asciiTheme="minorHAnsi" w:hAnsiTheme="minorHAnsi" w:cstheme="minorHAnsi"/>
          <w:b/>
          <w:sz w:val="20"/>
          <w:szCs w:val="20"/>
        </w:rPr>
      </w:pPr>
    </w:p>
    <w:p>
      <w:pPr>
        <w:pStyle w:val="9"/>
        <w:numPr>
          <w:ilvl w:val="1"/>
          <w:numId w:val="6"/>
        </w:numPr>
        <w:tabs>
          <w:tab w:val="left" w:pos="426"/>
        </w:tabs>
        <w:suppressAutoHyphens w:val="0"/>
        <w:spacing w:line="276" w:lineRule="auto"/>
        <w:jc w:val="both"/>
        <w:outlineLvl w:val="9"/>
        <w:rPr>
          <w:rFonts w:asciiTheme="minorHAnsi" w:hAnsiTheme="minorHAnsi" w:cstheme="minorHAnsi"/>
          <w:b/>
        </w:rPr>
      </w:pPr>
      <w:r>
        <w:rPr>
          <w:rFonts w:asciiTheme="minorHAnsi" w:hAnsiTheme="minorHAnsi" w:cstheme="minorHAnsi"/>
          <w:b/>
        </w:rPr>
        <w:t>REGULARIDADE FISCAL, SOCIAL E TRABALHISTA:</w:t>
      </w:r>
    </w:p>
    <w:p>
      <w:pPr>
        <w:tabs>
          <w:tab w:val="left" w:pos="851"/>
          <w:tab w:val="left" w:pos="1276"/>
        </w:tabs>
        <w:ind w:left="600"/>
        <w:jc w:val="both"/>
        <w:rPr>
          <w:rFonts w:asciiTheme="minorHAnsi" w:hAnsiTheme="minorHAnsi" w:cstheme="minorHAnsi"/>
          <w:sz w:val="20"/>
          <w:szCs w:val="20"/>
        </w:rPr>
      </w:pP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Prova de regularidade relativa ao Fundo de Garantia por Tempo de Serviço – FGTS, comprovada através de apresentação de certidão fornecida pela Caixa Econômica Federal.</w:t>
      </w: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Prova de regularidade perante a Justiça do Trabalho, através de Certidão Negativa de Débitos Trabalhistas – CNDT ou Certidão Positiva com efeitos de Negativa, de acordo com a Lei nº 12.440/2011 e Resolução Administrativa nº 1.470/2011 do TST.</w:t>
      </w:r>
    </w:p>
    <w:p>
      <w:pPr>
        <w:pStyle w:val="9"/>
        <w:numPr>
          <w:ilvl w:val="2"/>
          <w:numId w:val="6"/>
        </w:numPr>
        <w:tabs>
          <w:tab w:val="left" w:pos="567"/>
        </w:tabs>
        <w:suppressAutoHyphens w:val="0"/>
        <w:spacing w:line="276" w:lineRule="auto"/>
        <w:ind w:left="567" w:hanging="567"/>
        <w:jc w:val="both"/>
        <w:outlineLvl w:val="9"/>
        <w:rPr>
          <w:rFonts w:asciiTheme="minorHAnsi" w:hAnsiTheme="minorHAnsi" w:cstheme="minorHAnsi"/>
        </w:rPr>
      </w:pPr>
      <w:r>
        <w:rPr>
          <w:rFonts w:asciiTheme="minorHAnsi" w:hAnsiTheme="minorHAnsi" w:cstheme="minorHAnsi"/>
        </w:rPr>
        <w:t xml:space="preserve">Declaração de comprovação do cumprimento do disposto no </w:t>
      </w:r>
      <w:r>
        <w:fldChar w:fldCharType="begin"/>
      </w:r>
      <w:r>
        <w:rPr>
          <w:rStyle w:val="4"/>
          <w:rFonts w:ascii="Calibri" w:hAnsi="Calibri" w:cs="Calibri"/>
          <w:position w:val="-1"/>
        </w:rPr>
        <w:instrText xml:space="preserve"> HYPERLINK "http://www.planalto.gov.br/ccivil_03/Constituicao/Constituicao.htm" \l "art7xxxiii"</w:instrText>
      </w:r>
      <w:r>
        <w:rPr>
          <w:rStyle w:val="4"/>
          <w:rFonts w:ascii="Calibri" w:hAnsi="Calibri" w:cs="Calibri"/>
          <w:position w:val="-1"/>
        </w:rPr>
        <w:fldChar w:fldCharType="separate"/>
      </w:r>
      <w:r>
        <w:rPr>
          <w:rStyle w:val="4"/>
          <w:rFonts w:asciiTheme="minorHAnsi" w:hAnsiTheme="minorHAnsi" w:cstheme="minorHAnsi"/>
          <w:position w:val="-1"/>
        </w:rPr>
        <w:t>inciso XXXIII do art. 7º da Constituição Federal.</w:t>
      </w:r>
      <w:r>
        <w:rPr>
          <w:rStyle w:val="4"/>
          <w:rFonts w:ascii="Calibri" w:hAnsi="Calibri" w:cs="Calibri"/>
          <w:position w:val="-1"/>
        </w:rPr>
        <w:fldChar w:fldCharType="end"/>
      </w:r>
    </w:p>
    <w:p>
      <w:pPr>
        <w:pStyle w:val="9"/>
        <w:tabs>
          <w:tab w:val="left" w:pos="851"/>
        </w:tabs>
        <w:suppressAutoHyphens w:val="0"/>
        <w:spacing w:line="276" w:lineRule="auto"/>
        <w:ind w:left="0" w:firstLine="0"/>
        <w:jc w:val="both"/>
        <w:outlineLvl w:val="9"/>
        <w:rPr>
          <w:rFonts w:asciiTheme="minorHAnsi" w:hAnsiTheme="minorHAnsi" w:cstheme="minorHAnsi"/>
        </w:rPr>
      </w:pPr>
    </w:p>
    <w:p>
      <w:pPr>
        <w:pStyle w:val="17"/>
        <w:keepNext/>
        <w:keepLines/>
        <w:spacing w:before="0" w:after="0"/>
        <w:ind w:left="720" w:right="142"/>
        <w:jc w:val="both"/>
        <w:rPr>
          <w:rFonts w:eastAsia="Calibri" w:asciiTheme="minorHAnsi" w:hAnsiTheme="minorHAnsi" w:cstheme="minorHAnsi"/>
          <w:sz w:val="20"/>
          <w:szCs w:val="20"/>
        </w:rPr>
      </w:pPr>
    </w:p>
    <w:p>
      <w:pPr>
        <w:pStyle w:val="9"/>
        <w:numPr>
          <w:ilvl w:val="1"/>
          <w:numId w:val="6"/>
        </w:numPr>
        <w:tabs>
          <w:tab w:val="left" w:pos="426"/>
        </w:tabs>
        <w:suppressAutoHyphens w:val="0"/>
        <w:spacing w:line="276" w:lineRule="auto"/>
        <w:jc w:val="both"/>
        <w:outlineLvl w:val="9"/>
        <w:rPr>
          <w:rFonts w:asciiTheme="minorHAnsi" w:hAnsiTheme="minorHAnsi" w:cstheme="minorHAnsi"/>
          <w:b/>
        </w:rPr>
      </w:pPr>
      <w:r>
        <w:rPr>
          <w:rFonts w:asciiTheme="minorHAnsi" w:hAnsiTheme="minorHAnsi" w:cstheme="minorHAnsi"/>
          <w:b/>
        </w:rPr>
        <w:t xml:space="preserve">REQUISITOS DE QUALIFICAÇÃO TÉCNICA </w:t>
      </w:r>
    </w:p>
    <w:p>
      <w:pPr>
        <w:pStyle w:val="17"/>
        <w:spacing w:before="0" w:after="0"/>
        <w:ind w:right="142"/>
        <w:jc w:val="both"/>
        <w:rPr>
          <w:rFonts w:eastAsia="Calibri" w:asciiTheme="minorHAnsi" w:hAnsiTheme="minorHAnsi" w:cstheme="minorHAnsi"/>
          <w:sz w:val="20"/>
          <w:szCs w:val="20"/>
        </w:rPr>
      </w:pPr>
    </w:p>
    <w:p>
      <w:pPr>
        <w:pStyle w:val="17"/>
        <w:numPr>
          <w:ilvl w:val="2"/>
          <w:numId w:val="6"/>
        </w:numPr>
        <w:ind w:left="567" w:right="142" w:hanging="567"/>
        <w:jc w:val="both"/>
        <w:rPr>
          <w:rFonts w:eastAsia="Calibri" w:asciiTheme="minorHAnsi" w:hAnsiTheme="minorHAnsi" w:cstheme="minorHAnsi"/>
          <w:sz w:val="20"/>
          <w:szCs w:val="20"/>
        </w:rPr>
      </w:pPr>
      <w:r>
        <w:rPr>
          <w:rFonts w:eastAsia="Calibri" w:asciiTheme="minorHAnsi" w:hAnsiTheme="minorHAnsi" w:cstheme="minorHAnsi"/>
          <w:sz w:val="20"/>
          <w:szCs w:val="20"/>
        </w:rPr>
        <w:t>Apresentação de um ou mais atestado (s) de capacidade técnica, expedido (s) por pessoa(s) jurídica(s) de direito público ou privado, em nome da proponente, que comprove(m):</w:t>
      </w:r>
    </w:p>
    <w:p>
      <w:pPr>
        <w:pStyle w:val="17"/>
        <w:tabs>
          <w:tab w:val="left" w:pos="567"/>
        </w:tabs>
        <w:spacing w:before="0" w:after="0"/>
        <w:ind w:right="142"/>
        <w:jc w:val="both"/>
        <w:rPr>
          <w:rFonts w:eastAsia="Calibri" w:asciiTheme="minorHAnsi" w:hAnsiTheme="minorHAnsi" w:cstheme="minorHAnsi"/>
          <w:sz w:val="20"/>
          <w:szCs w:val="20"/>
        </w:rPr>
      </w:pPr>
      <w:r>
        <w:rPr>
          <w:rFonts w:eastAsia="Calibri" w:asciiTheme="minorHAnsi" w:hAnsiTheme="minorHAnsi" w:cstheme="minorHAnsi"/>
          <w:sz w:val="20"/>
          <w:szCs w:val="20"/>
        </w:rPr>
        <w:t>11.3.2 Aptidão para desempenho de atividade pertinente e compatível em características, quantidade e prazo com o objeto da dispensa, demonstrando que a proponente presta serviço</w:t>
      </w:r>
      <w:r>
        <w:rPr>
          <w:rFonts w:eastAsia="SimSun" w:asciiTheme="minorHAnsi" w:hAnsiTheme="minorHAnsi" w:cstheme="minorHAnsi"/>
          <w:sz w:val="20"/>
          <w:szCs w:val="20"/>
        </w:rPr>
        <w:t xml:space="preserve"> continuo, sem dedicação de mão de obra exclusiva, de dosimetria da radiação para monitoração individual externa, padrão de tórax, com fornecimento e troca mensal dos dosímetros, leitura e registro das doses de radiação recebidas por cada profissional monitorado, e emissão de relatórios mensais e anuais.</w:t>
      </w:r>
    </w:p>
    <w:p>
      <w:pPr>
        <w:pStyle w:val="17"/>
        <w:tabs>
          <w:tab w:val="left" w:pos="709"/>
        </w:tabs>
        <w:spacing w:before="0" w:after="0"/>
        <w:ind w:right="142"/>
        <w:jc w:val="both"/>
        <w:rPr>
          <w:rFonts w:eastAsia="Calibri" w:asciiTheme="minorHAnsi" w:hAnsiTheme="minorHAnsi" w:cstheme="minorHAnsi"/>
          <w:sz w:val="20"/>
          <w:szCs w:val="20"/>
        </w:rPr>
      </w:pPr>
    </w:p>
    <w:p>
      <w:pPr>
        <w:pStyle w:val="17"/>
        <w:numPr>
          <w:ilvl w:val="3"/>
          <w:numId w:val="8"/>
        </w:numPr>
        <w:tabs>
          <w:tab w:val="left" w:pos="709"/>
        </w:tabs>
        <w:spacing w:before="0" w:after="0"/>
        <w:ind w:left="720" w:right="142" w:hanging="720"/>
        <w:jc w:val="both"/>
        <w:rPr>
          <w:rFonts w:eastAsia="Calibri" w:asciiTheme="minorHAnsi" w:hAnsiTheme="minorHAnsi" w:cstheme="minorHAnsi"/>
          <w:sz w:val="20"/>
          <w:szCs w:val="20"/>
        </w:rPr>
      </w:pPr>
      <w:r>
        <w:rPr>
          <w:rFonts w:eastAsia="Calibri" w:asciiTheme="minorHAnsi" w:hAnsiTheme="minorHAnsi" w:cstheme="minorHAnsi"/>
          <w:sz w:val="20"/>
          <w:szCs w:val="20"/>
        </w:rPr>
        <w:t>Será considerado compatível com a quantidade o(s) atestado(s) que apresentar (em), no mínimo, 40% (quarenta por cento)</w:t>
      </w:r>
      <w:r>
        <w:rPr>
          <w:rFonts w:eastAsia="Calibri" w:asciiTheme="minorHAnsi" w:hAnsiTheme="minorHAnsi" w:cstheme="minorHAnsi"/>
          <w:b/>
          <w:sz w:val="20"/>
          <w:szCs w:val="20"/>
        </w:rPr>
        <w:t xml:space="preserve"> </w:t>
      </w:r>
      <w:r>
        <w:rPr>
          <w:rFonts w:eastAsia="Calibri" w:asciiTheme="minorHAnsi" w:hAnsiTheme="minorHAnsi" w:cstheme="minorHAnsi"/>
          <w:sz w:val="20"/>
          <w:szCs w:val="20"/>
        </w:rPr>
        <w:t>das quantidades estimadas na dispensa.</w:t>
      </w:r>
    </w:p>
    <w:p>
      <w:pPr>
        <w:pStyle w:val="17"/>
        <w:tabs>
          <w:tab w:val="left" w:pos="1134"/>
        </w:tabs>
        <w:spacing w:before="0" w:after="0"/>
        <w:ind w:left="1080" w:right="142"/>
        <w:jc w:val="both"/>
        <w:rPr>
          <w:rFonts w:eastAsia="Calibri" w:asciiTheme="minorHAnsi" w:hAnsiTheme="minorHAnsi" w:cstheme="minorHAnsi"/>
          <w:sz w:val="20"/>
          <w:szCs w:val="20"/>
        </w:rPr>
      </w:pPr>
    </w:p>
    <w:p>
      <w:pPr>
        <w:ind w:left="426"/>
        <w:jc w:val="both"/>
        <w:rPr>
          <w:rFonts w:asciiTheme="minorHAnsi" w:hAnsiTheme="minorHAnsi" w:cstheme="minorHAnsi"/>
          <w:sz w:val="20"/>
          <w:szCs w:val="20"/>
        </w:rPr>
      </w:pPr>
      <w:r>
        <w:rPr>
          <w:rFonts w:asciiTheme="minorHAnsi" w:hAnsiTheme="minorHAnsi" w:cstheme="minorHAnsi"/>
          <w:sz w:val="20"/>
          <w:szCs w:val="20"/>
        </w:rPr>
        <w:t xml:space="preserve">Observar que: a) só é possível a exigência de atestado quanto às parcelas de maior relevância, entendidas essas como as que possuem valor individual igual ou superior a 4% do valor total estimado da contratação (art. 67, §1º da Lei </w:t>
      </w:r>
      <w:r>
        <w:rPr>
          <w:rFonts w:eastAsia="Calibri" w:asciiTheme="minorHAnsi" w:hAnsiTheme="minorHAnsi" w:cstheme="minorHAnsi"/>
          <w:bCs/>
          <w:sz w:val="20"/>
          <w:szCs w:val="20"/>
        </w:rPr>
        <w:t>nº 14.133/2021</w:t>
      </w:r>
      <w:r>
        <w:rPr>
          <w:rFonts w:asciiTheme="minorHAnsi" w:hAnsiTheme="minorHAnsi" w:cstheme="minorHAnsi"/>
          <w:sz w:val="20"/>
          <w:szCs w:val="20"/>
        </w:rPr>
        <w:t xml:space="preserve">); b) havendo a previsão de quantitativos mínimos como característica a compor os atestados, observar o limite máximo de 50% da quantidade que se pretende efetivamente contratar (art. 67, §2º da Lei </w:t>
      </w:r>
      <w:r>
        <w:rPr>
          <w:rFonts w:eastAsia="Calibri" w:asciiTheme="minorHAnsi" w:hAnsiTheme="minorHAnsi" w:cstheme="minorHAnsi"/>
          <w:bCs/>
          <w:sz w:val="20"/>
          <w:szCs w:val="20"/>
        </w:rPr>
        <w:t>nº 14.133/2021).</w:t>
      </w:r>
    </w:p>
    <w:p>
      <w:pPr>
        <w:pStyle w:val="17"/>
        <w:spacing w:before="0" w:after="0"/>
        <w:ind w:right="142"/>
        <w:jc w:val="both"/>
        <w:rPr>
          <w:rFonts w:eastAsia="Calibri" w:asciiTheme="minorHAnsi" w:hAnsiTheme="minorHAnsi" w:cstheme="minorHAnsi"/>
          <w:sz w:val="20"/>
          <w:szCs w:val="20"/>
        </w:rPr>
      </w:pPr>
    </w:p>
    <w:p>
      <w:pPr>
        <w:pStyle w:val="17"/>
        <w:keepNext/>
        <w:keepLines/>
        <w:spacing w:before="0" w:after="0"/>
        <w:ind w:left="720" w:right="142"/>
        <w:jc w:val="both"/>
        <w:rPr>
          <w:rFonts w:eastAsia="Calibri" w:asciiTheme="minorHAnsi" w:hAnsiTheme="minorHAnsi" w:cstheme="minorHAnsi"/>
          <w:sz w:val="20"/>
          <w:szCs w:val="20"/>
        </w:rPr>
      </w:pPr>
    </w:p>
    <w:p>
      <w:pPr>
        <w:pStyle w:val="9"/>
        <w:numPr>
          <w:ilvl w:val="1"/>
          <w:numId w:val="6"/>
        </w:numPr>
        <w:tabs>
          <w:tab w:val="left" w:pos="426"/>
        </w:tabs>
        <w:suppressAutoHyphens w:val="0"/>
        <w:spacing w:line="276" w:lineRule="auto"/>
        <w:jc w:val="both"/>
        <w:outlineLvl w:val="9"/>
        <w:rPr>
          <w:rFonts w:asciiTheme="minorHAnsi" w:hAnsiTheme="minorHAnsi" w:cstheme="minorHAnsi"/>
          <w:b/>
        </w:rPr>
      </w:pPr>
      <w:r>
        <w:rPr>
          <w:rFonts w:asciiTheme="minorHAnsi" w:hAnsiTheme="minorHAnsi" w:cstheme="minorHAnsi"/>
          <w:b/>
        </w:rPr>
        <w:t>QUALIFICAÇÃO ECONÔMICO FINANCEIRA (QUANDO FOR O CASO)</w:t>
      </w:r>
    </w:p>
    <w:p>
      <w:pPr>
        <w:pStyle w:val="17"/>
        <w:keepNext/>
        <w:keepLines/>
        <w:spacing w:before="0" w:after="0"/>
        <w:ind w:right="142"/>
        <w:jc w:val="both"/>
        <w:rPr>
          <w:rFonts w:eastAsia="Calibri" w:asciiTheme="minorHAnsi" w:hAnsiTheme="minorHAnsi" w:cstheme="minorHAnsi"/>
          <w:b/>
          <w:sz w:val="20"/>
          <w:szCs w:val="20"/>
        </w:rPr>
      </w:pPr>
    </w:p>
    <w:p>
      <w:pPr>
        <w:pStyle w:val="17"/>
        <w:spacing w:before="0" w:after="0" w:line="240" w:lineRule="auto"/>
        <w:ind w:left="426" w:right="142"/>
        <w:jc w:val="both"/>
        <w:rPr>
          <w:rFonts w:eastAsia="Calibri" w:asciiTheme="minorHAnsi" w:hAnsiTheme="minorHAnsi" w:cstheme="minorHAnsi"/>
          <w:bCs/>
          <w:sz w:val="20"/>
          <w:szCs w:val="20"/>
        </w:rPr>
      </w:pPr>
      <w:r>
        <w:rPr>
          <w:rFonts w:eastAsia="Calibri" w:asciiTheme="minorHAnsi" w:hAnsiTheme="minorHAnsi" w:cstheme="minorHAnsi"/>
          <w:bCs/>
          <w:sz w:val="20"/>
          <w:szCs w:val="20"/>
        </w:rPr>
        <w:t>Verificar a observação constante do “CHECK LIST - DISPENSA PELO ART. 75, INCISOS I e II, DA LEI Nº 14.133/2021 - Dispensa por valor,” da PGE/PE:</w:t>
      </w:r>
    </w:p>
    <w:p>
      <w:pPr>
        <w:pStyle w:val="17"/>
        <w:spacing w:before="0" w:after="0"/>
        <w:ind w:left="426" w:right="142"/>
        <w:jc w:val="both"/>
        <w:rPr>
          <w:rFonts w:eastAsia="Calibri" w:asciiTheme="minorHAnsi" w:hAnsiTheme="minorHAnsi" w:cstheme="minorHAnsi"/>
          <w:sz w:val="20"/>
          <w:szCs w:val="20"/>
        </w:rPr>
      </w:pPr>
    </w:p>
    <w:p>
      <w:pPr>
        <w:ind w:left="426"/>
        <w:jc w:val="both"/>
        <w:rPr>
          <w:rFonts w:asciiTheme="minorHAnsi" w:hAnsiTheme="minorHAnsi" w:cstheme="minorHAnsi"/>
          <w:sz w:val="20"/>
          <w:szCs w:val="20"/>
        </w:rPr>
      </w:pPr>
      <w:r>
        <w:rPr>
          <w:rFonts w:asciiTheme="minorHAnsi" w:hAnsiTheme="minorHAnsi" w:cstheme="minorHAnsi"/>
          <w:sz w:val="20"/>
          <w:szCs w:val="20"/>
        </w:rPr>
        <w:t>Obs: Em fornecimentos com entrega imediata, em regra, não devem ser exigidos outros requisitos de qualificação econômico-financeira, além da certidão negativa de falência ou recuperação judicial.</w:t>
      </w:r>
    </w:p>
    <w:p>
      <w:pPr>
        <w:pStyle w:val="17"/>
        <w:keepNext/>
        <w:keepLines/>
        <w:spacing w:before="0" w:after="0"/>
        <w:ind w:right="142"/>
        <w:jc w:val="both"/>
        <w:rPr>
          <w:rFonts w:eastAsia="Calibri" w:asciiTheme="minorHAnsi" w:hAnsiTheme="minorHAnsi" w:cstheme="minorHAnsi"/>
          <w:b/>
          <w:sz w:val="20"/>
          <w:szCs w:val="20"/>
        </w:rPr>
      </w:pPr>
    </w:p>
    <w:p>
      <w:pPr>
        <w:pStyle w:val="19"/>
        <w:numPr>
          <w:ilvl w:val="2"/>
          <w:numId w:val="6"/>
        </w:numPr>
        <w:tabs>
          <w:tab w:val="left" w:pos="426"/>
        </w:tabs>
        <w:suppressAutoHyphens/>
        <w:spacing w:line="276" w:lineRule="auto"/>
        <w:ind w:left="426" w:hanging="426"/>
        <w:outlineLvl w:val="9"/>
        <w:rPr>
          <w:rFonts w:asciiTheme="minorHAnsi" w:hAnsiTheme="minorHAnsi" w:cstheme="minorHAnsi"/>
          <w:color w:val="auto"/>
          <w:sz w:val="20"/>
        </w:rPr>
      </w:pPr>
      <w:r>
        <w:rPr>
          <w:rFonts w:asciiTheme="minorHAnsi" w:hAnsiTheme="minorHAnsi" w:cstheme="minorHAnsi"/>
          <w:color w:val="auto"/>
          <w:sz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pPr>
        <w:pStyle w:val="19"/>
        <w:tabs>
          <w:tab w:val="left" w:pos="426"/>
        </w:tabs>
        <w:spacing w:line="276" w:lineRule="auto"/>
        <w:ind w:left="0" w:hanging="2"/>
        <w:rPr>
          <w:rFonts w:asciiTheme="minorHAnsi" w:hAnsiTheme="minorHAnsi" w:cstheme="minorHAnsi"/>
          <w:color w:val="auto"/>
          <w:sz w:val="20"/>
        </w:rPr>
      </w:pPr>
    </w:p>
    <w:p>
      <w:pPr>
        <w:pStyle w:val="19"/>
        <w:numPr>
          <w:ilvl w:val="2"/>
          <w:numId w:val="6"/>
        </w:numPr>
        <w:tabs>
          <w:tab w:val="left" w:pos="426"/>
        </w:tabs>
        <w:suppressAutoHyphens/>
        <w:spacing w:line="276" w:lineRule="auto"/>
        <w:ind w:left="426" w:hanging="426"/>
        <w:outlineLvl w:val="9"/>
        <w:rPr>
          <w:rFonts w:asciiTheme="minorHAnsi" w:hAnsiTheme="minorHAnsi" w:cstheme="minorHAnsi"/>
          <w:color w:val="auto"/>
          <w:sz w:val="20"/>
        </w:rPr>
      </w:pPr>
      <w:r>
        <w:rPr>
          <w:rFonts w:asciiTheme="minorHAnsi" w:hAnsiTheme="minorHAnsi" w:cstheme="minorHAnsi"/>
          <w:color w:val="auto"/>
          <w:sz w:val="20"/>
        </w:rPr>
        <w:t>Certidão Negativa de Falência ou Recuperação Judicial referente aos processos distribuídos pelo PJe (</w:t>
      </w:r>
      <w:r>
        <w:rPr>
          <w:rFonts w:asciiTheme="minorHAnsi" w:hAnsiTheme="minorHAnsi" w:cstheme="minorHAnsi"/>
          <w:b/>
          <w:color w:val="auto"/>
          <w:sz w:val="20"/>
          <w:u w:val="single"/>
        </w:rPr>
        <w:t>processos judiciais eletrônicos</w:t>
      </w:r>
      <w:r>
        <w:rPr>
          <w:rFonts w:asciiTheme="minorHAnsi" w:hAnsiTheme="minorHAnsi" w:cstheme="minorHAnsi"/>
          <w:color w:val="auto"/>
          <w:sz w:val="20"/>
        </w:rPr>
        <w:t>) da sede da licitante OU, no caso de empresas em recuperação judicial, certidão emitida pela instância judicial competente que ateste que as empresas tenham tido o plano de recuperação concedido ou homologado em juízo.</w:t>
      </w:r>
    </w:p>
    <w:p>
      <w:pPr>
        <w:pStyle w:val="16"/>
        <w:tabs>
          <w:tab w:val="left" w:pos="426"/>
        </w:tabs>
        <w:ind w:left="426" w:hanging="426"/>
        <w:jc w:val="both"/>
        <w:rPr>
          <w:rFonts w:asciiTheme="minorHAnsi" w:hAnsiTheme="minorHAnsi" w:cstheme="minorHAnsi"/>
          <w:sz w:val="20"/>
          <w:szCs w:val="20"/>
        </w:rPr>
      </w:pPr>
    </w:p>
    <w:p>
      <w:pPr>
        <w:pStyle w:val="19"/>
        <w:numPr>
          <w:ilvl w:val="2"/>
          <w:numId w:val="6"/>
        </w:numPr>
        <w:tabs>
          <w:tab w:val="left" w:pos="426"/>
        </w:tabs>
        <w:suppressAutoHyphens/>
        <w:spacing w:line="276" w:lineRule="auto"/>
        <w:ind w:left="426" w:hanging="426"/>
        <w:outlineLvl w:val="9"/>
        <w:rPr>
          <w:rFonts w:asciiTheme="minorHAnsi" w:hAnsiTheme="minorHAnsi" w:cstheme="minorHAnsi"/>
          <w:color w:val="auto"/>
          <w:sz w:val="20"/>
        </w:rPr>
      </w:pPr>
      <w:r>
        <w:rPr>
          <w:rFonts w:asciiTheme="minorHAnsi" w:hAnsiTheme="minorHAnsi" w:cstheme="minorHAnsi"/>
          <w:color w:val="auto"/>
          <w:sz w:val="20"/>
        </w:rPr>
        <w:t xml:space="preserve">A certidão descrita no item 6.4.2 somente é exigível quando a certidão negativa de Falência ou Recuperação Judicial da sede ou do domicílio da licitante (item 6.4.1) contiver a </w:t>
      </w:r>
      <w:r>
        <w:rPr>
          <w:rFonts w:asciiTheme="minorHAnsi" w:hAnsiTheme="minorHAnsi" w:cstheme="minorHAnsi"/>
          <w:b/>
          <w:color w:val="auto"/>
          <w:sz w:val="20"/>
          <w:u w:val="single"/>
        </w:rPr>
        <w:t>ressalva expressa</w:t>
      </w:r>
      <w:r>
        <w:rPr>
          <w:rFonts w:asciiTheme="minorHAnsi" w:hAnsiTheme="minorHAnsi" w:cstheme="minorHAnsi"/>
          <w:color w:val="auto"/>
          <w:sz w:val="20"/>
        </w:rPr>
        <w:t xml:space="preserve"> de que não abrange os </w:t>
      </w:r>
      <w:r>
        <w:rPr>
          <w:rFonts w:asciiTheme="minorHAnsi" w:hAnsiTheme="minorHAnsi" w:cstheme="minorHAnsi"/>
          <w:color w:val="auto"/>
          <w:sz w:val="20"/>
          <w:u w:val="single"/>
        </w:rPr>
        <w:t>processos judiciais eletrônicos</w:t>
      </w:r>
      <w:r>
        <w:rPr>
          <w:rFonts w:asciiTheme="minorHAnsi" w:hAnsiTheme="minorHAnsi" w:cstheme="minorHAnsi"/>
          <w:color w:val="auto"/>
          <w:sz w:val="20"/>
        </w:rPr>
        <w:t>.</w:t>
      </w:r>
    </w:p>
    <w:p>
      <w:pPr>
        <w:pStyle w:val="17"/>
        <w:spacing w:before="0" w:after="0" w:line="240" w:lineRule="auto"/>
        <w:ind w:right="142"/>
        <w:jc w:val="both"/>
        <w:rPr>
          <w:rFonts w:eastAsia="Calibri" w:asciiTheme="minorHAnsi" w:hAnsiTheme="minorHAnsi" w:cstheme="minorHAnsi"/>
          <w:sz w:val="20"/>
          <w:szCs w:val="20"/>
          <w:highlight w:val="green"/>
        </w:rPr>
      </w:pPr>
    </w:p>
    <w:p>
      <w:pPr>
        <w:pStyle w:val="17"/>
        <w:spacing w:before="0" w:after="0" w:line="240" w:lineRule="auto"/>
        <w:ind w:right="-285"/>
        <w:jc w:val="both"/>
        <w:rPr>
          <w:rFonts w:eastAsia="Calibri" w:asciiTheme="minorHAnsi" w:hAnsiTheme="minorHAnsi" w:cstheme="minorHAnsi"/>
          <w:sz w:val="20"/>
          <w:szCs w:val="20"/>
          <w:u w:val="single"/>
        </w:rPr>
      </w:pPr>
    </w:p>
    <w:p>
      <w:pPr>
        <w:pStyle w:val="17"/>
        <w:numPr>
          <w:ilvl w:val="0"/>
          <w:numId w:val="6"/>
        </w:numPr>
        <w:spacing w:before="0" w:after="0"/>
        <w:ind w:left="360" w:right="142" w:hanging="426"/>
        <w:jc w:val="both"/>
        <w:rPr>
          <w:rFonts w:eastAsia="Calibri" w:asciiTheme="minorHAnsi" w:hAnsiTheme="minorHAnsi" w:cstheme="minorHAnsi"/>
          <w:b/>
          <w:color w:val="000000"/>
          <w:sz w:val="20"/>
          <w:szCs w:val="20"/>
        </w:rPr>
      </w:pPr>
      <w:r>
        <w:rPr>
          <w:rFonts w:eastAsia="Calibri" w:asciiTheme="minorHAnsi" w:hAnsiTheme="minorHAnsi" w:cstheme="minorHAnsi"/>
          <w:b/>
          <w:color w:val="000000"/>
          <w:sz w:val="20"/>
          <w:szCs w:val="20"/>
        </w:rPr>
        <w:t xml:space="preserve">DO CONTRATO </w:t>
      </w:r>
    </w:p>
    <w:p>
      <w:pPr>
        <w:pStyle w:val="17"/>
        <w:numPr>
          <w:ilvl w:val="1"/>
          <w:numId w:val="6"/>
        </w:numPr>
        <w:spacing w:before="0" w:after="0"/>
        <w:ind w:left="927" w:right="142" w:hanging="360"/>
        <w:jc w:val="both"/>
        <w:rPr>
          <w:rFonts w:eastAsia="Calibri" w:asciiTheme="minorHAnsi" w:hAnsiTheme="minorHAnsi" w:cstheme="minorHAnsi"/>
          <w:b/>
          <w:color w:val="000000"/>
          <w:sz w:val="20"/>
          <w:szCs w:val="20"/>
        </w:rPr>
      </w:pPr>
      <w:r>
        <w:rPr>
          <w:rFonts w:eastAsia="Calibri" w:asciiTheme="minorHAnsi" w:hAnsiTheme="minorHAnsi" w:cstheme="minorHAnsi"/>
          <w:b/>
          <w:color w:val="000000"/>
          <w:sz w:val="20"/>
          <w:szCs w:val="20"/>
        </w:rPr>
        <w:t xml:space="preserve">PRAZO DE VIGÊNCIA CONTRATUAL </w:t>
      </w:r>
    </w:p>
    <w:p>
      <w:pPr>
        <w:pStyle w:val="17"/>
        <w:spacing w:before="0" w:after="0"/>
        <w:ind w:left="738" w:right="142"/>
        <w:jc w:val="both"/>
        <w:rPr>
          <w:rFonts w:eastAsia="Calibri" w:asciiTheme="minorHAnsi" w:hAnsiTheme="minorHAnsi" w:cstheme="minorHAnsi"/>
          <w:b/>
          <w:color w:val="000000"/>
          <w:sz w:val="20"/>
          <w:szCs w:val="20"/>
        </w:rPr>
      </w:pPr>
    </w:p>
    <w:p>
      <w:pPr>
        <w:ind w:left="684" w:hanging="372"/>
        <w:jc w:val="both"/>
        <w:rPr>
          <w:rFonts w:eastAsia="Arial" w:asciiTheme="minorHAnsi" w:hAnsiTheme="minorHAnsi" w:cstheme="minorHAnsi"/>
          <w:sz w:val="20"/>
          <w:szCs w:val="20"/>
        </w:rPr>
      </w:pPr>
      <w:r>
        <w:rPr>
          <w:rFonts w:asciiTheme="minorHAnsi" w:hAnsiTheme="minorHAnsi" w:cstheme="minorHAnsi"/>
          <w:sz w:val="20"/>
          <w:szCs w:val="20"/>
        </w:rPr>
        <w:t xml:space="preserve">O Contrato terá a vigência de 12 (doze) meses, </w:t>
      </w:r>
      <w:r>
        <w:rPr>
          <w:rFonts w:eastAsia="Arial" w:asciiTheme="minorHAnsi" w:hAnsiTheme="minorHAnsi" w:cstheme="minorHAnsi"/>
          <w:sz w:val="20"/>
          <w:szCs w:val="20"/>
        </w:rPr>
        <w:t>a contar da data de sua assinatura podendo ser prorrogado, por interesse das partes, até o limite de 60</w:t>
      </w:r>
      <w:r>
        <w:rPr>
          <w:rFonts w:asciiTheme="minorHAnsi" w:hAnsiTheme="minorHAnsi" w:cstheme="minorHAnsi"/>
          <w:sz w:val="20"/>
          <w:szCs w:val="20"/>
        </w:rPr>
        <w:t xml:space="preserve"> (sessenta) meses</w:t>
      </w:r>
      <w:r>
        <w:rPr>
          <w:rFonts w:eastAsia="Arial" w:asciiTheme="minorHAnsi" w:hAnsiTheme="minorHAnsi" w:cstheme="minorHAnsi"/>
          <w:sz w:val="20"/>
          <w:szCs w:val="20"/>
        </w:rPr>
        <w:t xml:space="preserve">, nos termos do art. 107 da Lei nº 14.133/21, mediante atesto da </w:t>
      </w:r>
      <w:r>
        <w:rPr>
          <w:rFonts w:eastAsia="Calibri" w:asciiTheme="minorHAnsi" w:hAnsiTheme="minorHAnsi" w:cstheme="minorHAnsi"/>
          <w:sz w:val="20"/>
          <w:szCs w:val="20"/>
        </w:rPr>
        <w:t>autoridade competente que ratifique que as condições e os preços praticados permanecem vantajosos para a Administração</w:t>
      </w:r>
      <w:r>
        <w:rPr>
          <w:rFonts w:eastAsia="Arial" w:asciiTheme="minorHAnsi" w:hAnsiTheme="minorHAnsi" w:cstheme="minorHAnsi"/>
          <w:sz w:val="20"/>
          <w:szCs w:val="20"/>
        </w:rPr>
        <w:t>, permitida a negociação com o contratado ou a extinção contratual sem ônus para qualquer das partes.</w:t>
      </w:r>
    </w:p>
    <w:p>
      <w:pPr>
        <w:ind w:left="684" w:hanging="372"/>
        <w:jc w:val="both"/>
        <w:rPr>
          <w:rFonts w:eastAsia="Arial" w:asciiTheme="minorHAnsi" w:hAnsiTheme="minorHAnsi" w:cstheme="minorHAnsi"/>
          <w:sz w:val="20"/>
          <w:szCs w:val="20"/>
        </w:rPr>
      </w:pPr>
    </w:p>
    <w:p>
      <w:pPr>
        <w:pStyle w:val="16"/>
        <w:numPr>
          <w:ilvl w:val="1"/>
          <w:numId w:val="6"/>
        </w:numPr>
        <w:jc w:val="both"/>
        <w:rPr>
          <w:rFonts w:eastAsia="Arial" w:asciiTheme="minorHAnsi" w:hAnsiTheme="minorHAnsi" w:cstheme="minorHAnsi"/>
          <w:sz w:val="20"/>
          <w:szCs w:val="20"/>
        </w:rPr>
      </w:pPr>
      <w:r>
        <w:rPr>
          <w:rFonts w:eastAsia="Calibri" w:asciiTheme="minorHAnsi" w:hAnsiTheme="minorHAnsi" w:cstheme="minorHAnsi"/>
          <w:b/>
          <w:color w:val="000000"/>
          <w:sz w:val="20"/>
          <w:szCs w:val="20"/>
        </w:rPr>
        <w:t xml:space="preserve">PRAZO PARA ASSINATURA DO CONTRATO </w:t>
      </w:r>
    </w:p>
    <w:p>
      <w:pPr>
        <w:pStyle w:val="16"/>
        <w:ind w:left="738"/>
        <w:jc w:val="both"/>
        <w:rPr>
          <w:rFonts w:eastAsia="Arial" w:asciiTheme="minorHAnsi" w:hAnsiTheme="minorHAnsi" w:cstheme="minorHAnsi"/>
          <w:sz w:val="20"/>
          <w:szCs w:val="20"/>
        </w:rPr>
      </w:pPr>
    </w:p>
    <w:p>
      <w:pPr>
        <w:pStyle w:val="17"/>
        <w:spacing w:before="0" w:after="0" w:line="240" w:lineRule="auto"/>
        <w:ind w:left="426"/>
        <w:jc w:val="both"/>
        <w:rPr>
          <w:rFonts w:eastAsia="Calibri" w:asciiTheme="minorHAnsi" w:hAnsiTheme="minorHAnsi" w:cstheme="minorHAnsi"/>
          <w:sz w:val="20"/>
          <w:szCs w:val="20"/>
        </w:rPr>
      </w:pPr>
      <w:r>
        <w:rPr>
          <w:rFonts w:eastAsia="Calibri" w:asciiTheme="minorHAnsi" w:hAnsiTheme="minorHAnsi" w:cstheme="minorHAnsi"/>
          <w:sz w:val="20"/>
          <w:szCs w:val="20"/>
        </w:rPr>
        <w:t>O licitante terá o prazo de 05 (cinco) dias para assinatura do contrato/ ordem de fornecimento/       ordem de serviço, contados a partir da convocação pela CONTRATANTE.</w:t>
      </w:r>
    </w:p>
    <w:p>
      <w:pPr>
        <w:pStyle w:val="17"/>
        <w:spacing w:before="51" w:after="0"/>
        <w:ind w:left="426"/>
        <w:jc w:val="both"/>
        <w:rPr>
          <w:rFonts w:eastAsia="Calibri" w:asciiTheme="minorHAnsi" w:hAnsiTheme="minorHAnsi" w:cstheme="minorHAnsi"/>
          <w:sz w:val="20"/>
          <w:szCs w:val="20"/>
        </w:rPr>
      </w:pPr>
      <w:r>
        <w:rPr>
          <w:rFonts w:eastAsia="Calibri" w:asciiTheme="minorHAnsi" w:hAnsiTheme="minorHAnsi" w:cstheme="minorHAnsi"/>
          <w:sz w:val="20"/>
          <w:szCs w:val="20"/>
        </w:rPr>
        <w:t>Qualquer solicitação de prorrogação do prazo previsto para assinatura do contrato, somente será analisada, se apresentada antes do decurso do prazo para tal e devidamente fundamentada.</w:t>
      </w:r>
    </w:p>
    <w:p>
      <w:pPr>
        <w:pStyle w:val="17"/>
        <w:spacing w:before="51" w:after="0"/>
        <w:ind w:left="426"/>
        <w:jc w:val="both"/>
        <w:rPr>
          <w:rFonts w:eastAsia="Calibri" w:asciiTheme="minorHAnsi" w:hAnsiTheme="minorHAnsi" w:cstheme="minorHAnsi"/>
          <w:sz w:val="20"/>
          <w:szCs w:val="20"/>
        </w:rPr>
      </w:pPr>
    </w:p>
    <w:p>
      <w:pPr>
        <w:pStyle w:val="17"/>
        <w:numPr>
          <w:ilvl w:val="1"/>
          <w:numId w:val="6"/>
        </w:numPr>
        <w:spacing w:before="51" w:after="0"/>
        <w:jc w:val="both"/>
        <w:rPr>
          <w:rFonts w:eastAsia="Calibri" w:asciiTheme="minorHAnsi" w:hAnsiTheme="minorHAnsi" w:cstheme="minorHAnsi"/>
          <w:sz w:val="20"/>
          <w:szCs w:val="20"/>
        </w:rPr>
      </w:pPr>
      <w:r>
        <w:rPr>
          <w:rFonts w:eastAsia="Calibri" w:asciiTheme="minorHAnsi" w:hAnsiTheme="minorHAnsi" w:cstheme="minorHAnsi"/>
          <w:b/>
          <w:color w:val="000000"/>
          <w:sz w:val="20"/>
          <w:szCs w:val="20"/>
        </w:rPr>
        <w:t xml:space="preserve">OBRIGAÇÕES DA CONTRATANTE </w:t>
      </w:r>
    </w:p>
    <w:p>
      <w:pPr>
        <w:pStyle w:val="17"/>
        <w:spacing w:before="0" w:after="0" w:line="240" w:lineRule="auto"/>
        <w:ind w:right="142"/>
        <w:jc w:val="both"/>
        <w:rPr>
          <w:rFonts w:eastAsia="Calibri" w:asciiTheme="minorHAnsi" w:hAnsiTheme="minorHAnsi" w:cstheme="minorHAnsi"/>
          <w:b/>
          <w:color w:val="000000"/>
          <w:sz w:val="20"/>
          <w:szCs w:val="20"/>
        </w:rPr>
      </w:pPr>
    </w:p>
    <w:p>
      <w:pPr>
        <w:pStyle w:val="17"/>
        <w:numPr>
          <w:ilvl w:val="2"/>
          <w:numId w:val="6"/>
        </w:numPr>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Receber o objeto nas condições estabelecidas neste Termo de Referência; </w:t>
      </w:r>
    </w:p>
    <w:p>
      <w:pPr>
        <w:pStyle w:val="17"/>
        <w:spacing w:before="0" w:after="0" w:line="240" w:lineRule="auto"/>
        <w:ind w:right="142"/>
        <w:jc w:val="both"/>
        <w:rPr>
          <w:rFonts w:eastAsia="SimSun" w:asciiTheme="minorHAnsi" w:hAnsiTheme="minorHAnsi" w:cstheme="minorHAnsi"/>
          <w:sz w:val="20"/>
          <w:szCs w:val="20"/>
        </w:rPr>
      </w:pPr>
    </w:p>
    <w:p>
      <w:pPr>
        <w:pStyle w:val="17"/>
        <w:numPr>
          <w:ilvl w:val="2"/>
          <w:numId w:val="6"/>
        </w:numPr>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Seguir fielmente as instruções constantes das normas de utilização de monitores individuais;</w:t>
      </w:r>
    </w:p>
    <w:p>
      <w:pPr>
        <w:pStyle w:val="17"/>
        <w:spacing w:before="0" w:after="0" w:line="240" w:lineRule="auto"/>
        <w:ind w:right="142"/>
        <w:jc w:val="both"/>
        <w:rPr>
          <w:rFonts w:eastAsia="SimSun" w:asciiTheme="minorHAnsi" w:hAnsiTheme="minorHAnsi" w:cstheme="minorHAnsi"/>
          <w:sz w:val="20"/>
          <w:szCs w:val="20"/>
        </w:rPr>
      </w:pPr>
    </w:p>
    <w:p>
      <w:pPr>
        <w:pStyle w:val="17"/>
        <w:numPr>
          <w:ilvl w:val="2"/>
          <w:numId w:val="6"/>
        </w:numPr>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Com relação a remessa dos dosímetros, a CONTRATANTE será responsável pela troca mensal dos monitores individuais, entregando os monitores usados diretamente a CONTRATADA;</w:t>
      </w:r>
    </w:p>
    <w:p>
      <w:pPr>
        <w:pStyle w:val="17"/>
        <w:spacing w:before="0" w:after="0" w:line="240" w:lineRule="auto"/>
        <w:ind w:left="708" w:right="142"/>
        <w:jc w:val="both"/>
        <w:rPr>
          <w:rFonts w:eastAsia="SimSun" w:asciiTheme="minorHAnsi" w:hAnsiTheme="minorHAnsi" w:cstheme="minorHAnsi"/>
          <w:sz w:val="20"/>
          <w:szCs w:val="20"/>
        </w:rPr>
      </w:pP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A não devolução dos monitores individuais, sem justificativa formal aceita pela CONTRATADA, implicará na suspensão do serviço e na comunicação do fato aos órgãos competentes;</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Se a devolução dos monitores for feita 90 (noventa) dias depois de encerrado o período de utilização, os dosímetros receberão o código LIDA (Leitura impossível- dosímetro atrasado) no relatório da dose.</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Na eventualidade de acidente radiológico (ou suspeita), encaminhar o mais rápido possível a CONTRATADA o (s) monitor (es) do(s) usuário(s) envolvidos, solicitando, por escrito, avaliação urgente. No caso de irradiação intencional ou acidental do monitor, comunicar a ocorrência através de carta;</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Caso a dose do usuário informada no relatório de dose seja igual ou superior ao valor de 15 mSv a CONTRATADA pode solicitar uma releitura do monitor no prazo máximo de 30 (trinta) dias a partir da data de emissão do relatório de dose;</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Implementar as medidas de segurança sugeridas, quando necessário, pela CONTRATADA;</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Informar a cada usuário as doses mensais detectadas;</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Realizar a planilha de controle de dose anual dos usuários;</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Realizar e documentar a investigação das doses com nível de investigação.</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Comunicar à Contratada, por escrito, sobre imperfeições, falhas ou irregularidades verificadas na execução do objeto, para que seja reparado ou corrigido;</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Acompanhar e fiscalizar o cumprimento das obrigações da Contratada, através de comissão/profissional especialmente designado;</w:t>
      </w:r>
    </w:p>
    <w:p>
      <w:pPr>
        <w:pStyle w:val="17"/>
        <w:numPr>
          <w:ilvl w:val="3"/>
          <w:numId w:val="6"/>
        </w:numPr>
        <w:spacing w:before="0" w:after="0" w:line="240" w:lineRule="auto"/>
        <w:ind w:left="1854"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Efetuar o pagamento à Contratada no valor correspondente à execução dos serviços, no prazo e forma estabelecidos neste Termo de Referência e nas condições previstas no respectivo contrato celebrado com a Contratante.</w:t>
      </w:r>
    </w:p>
    <w:p>
      <w:pPr>
        <w:pStyle w:val="17"/>
        <w:spacing w:before="0" w:after="0" w:line="240" w:lineRule="auto"/>
        <w:ind w:right="142"/>
        <w:jc w:val="both"/>
        <w:rPr>
          <w:rFonts w:eastAsia="Calibri" w:asciiTheme="minorHAnsi" w:hAnsiTheme="minorHAnsi" w:cstheme="minorHAnsi"/>
          <w:b/>
          <w:color w:val="000000"/>
          <w:sz w:val="20"/>
          <w:szCs w:val="20"/>
        </w:rPr>
      </w:pPr>
    </w:p>
    <w:p>
      <w:pPr>
        <w:pStyle w:val="17"/>
        <w:spacing w:before="0" w:after="0" w:line="240" w:lineRule="auto"/>
        <w:ind w:left="567" w:right="142"/>
        <w:jc w:val="both"/>
        <w:rPr>
          <w:rFonts w:eastAsia="Calibri" w:asciiTheme="minorHAnsi" w:hAnsiTheme="minorHAnsi" w:cstheme="minorHAnsi"/>
          <w:color w:val="000000"/>
          <w:sz w:val="20"/>
          <w:szCs w:val="20"/>
        </w:rPr>
      </w:pPr>
    </w:p>
    <w:p>
      <w:pPr>
        <w:pStyle w:val="17"/>
        <w:numPr>
          <w:ilvl w:val="1"/>
          <w:numId w:val="6"/>
        </w:numPr>
        <w:tabs>
          <w:tab w:val="left" w:pos="426"/>
        </w:tabs>
        <w:spacing w:before="0" w:after="0" w:line="240" w:lineRule="auto"/>
        <w:ind w:left="927" w:right="142" w:hanging="360"/>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OBRIGAÇÕES DA CONTRATADA</w:t>
      </w:r>
    </w:p>
    <w:p>
      <w:pPr>
        <w:pStyle w:val="17"/>
        <w:tabs>
          <w:tab w:val="left" w:pos="426"/>
        </w:tabs>
        <w:spacing w:before="0" w:after="0" w:line="240" w:lineRule="auto"/>
        <w:ind w:right="142"/>
        <w:jc w:val="both"/>
        <w:rPr>
          <w:rFonts w:eastAsia="Calibri" w:asciiTheme="minorHAnsi" w:hAnsiTheme="minorHAnsi" w:cstheme="minorHAnsi"/>
          <w:color w:val="000000"/>
          <w:sz w:val="20"/>
          <w:szCs w:val="20"/>
        </w:rPr>
      </w:pP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Remeter mensalmente, o conjunto de monitores individuais, conforme necessidades da CONTRATANTE, no primeiro dia útil do mês e durante todo o período de vigência </w:t>
      </w:r>
    </w:p>
    <w:p>
      <w:pPr>
        <w:pStyle w:val="17"/>
        <w:tabs>
          <w:tab w:val="left" w:pos="426"/>
        </w:tabs>
        <w:spacing w:before="0" w:after="0" w:line="240" w:lineRule="auto"/>
        <w:ind w:left="1476" w:right="142"/>
        <w:jc w:val="both"/>
        <w:rPr>
          <w:rFonts w:eastAsia="SimSun" w:asciiTheme="minorHAnsi" w:hAnsiTheme="minorHAnsi" w:cstheme="minorHAnsi"/>
          <w:sz w:val="20"/>
          <w:szCs w:val="20"/>
        </w:rPr>
      </w:pPr>
      <w:r>
        <w:rPr>
          <w:rFonts w:eastAsia="SimSun" w:asciiTheme="minorHAnsi" w:hAnsiTheme="minorHAnsi" w:cstheme="minorHAnsi"/>
          <w:sz w:val="20"/>
          <w:szCs w:val="20"/>
        </w:rPr>
        <w:t>do contrato;</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A Contratada deve cumprir todas as obrigações constantes da sua proposta, assumindo de forma direta e exclusa seus os riscos e as despesas decorrentes da boa e perfeita execução do objeto e, ainda;</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Executar os serviços conforme especificações, prazo e local constantes neste Termo de Referência.</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Remeter mensalmente, o conjunto de monitores individuais, conforme necessidades da CONTRATANTE, no primeiro dia útil do mês e durante todo o período de vigência do contrato;</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Realização das leituras (avaliação da dose equivalente), de acordo com os dosímetros fornecidos;</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Quando o valor de dose equivalente de um usuário for igual ou superior a 1,0 mSv será colocado no campo de observação existente no relatório o código NI (Nível de Investigação), para nível de registro no relatório de doses se for acima de 0,1 mSv, a dose será registrada se for abaixo sairá a letra “M”, significando que estará dentro da média;</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Emissão e expedição mensal de relatórios de doses,de acordo com os dosímetros devolvidos pela CONTRATANTE;</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Incubir-se da gestão administrativa e financeira do contrato;</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Assumir diretamente e com exclusividade, as responsabilidades de natureza trabalhista e previdenciária, relativamente ao pessoal empregado da CONTRATADA para a realização dos serviços contratados;</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Providenciar o pagamento de todos os encargos sociais e trabalhistas, dos profissionais contratados para desenvolver os serviços, ora contratados;</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Efetuar o pagamento de todos os impostos, taxas e qualquer outro encargo fiscal vigente, de origem federal, estadual ou municipal, bem como de quaisquer despesas judiciais ou extrajudiciais que lhe venham a ser imputadas, inclusive em relação a terceiros, decorrentes de ação ou omissão dolosa ou culposa de prepostos da CONTRATADA; </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A Contratada deverá aderir e cumprir as políticas, normas e procedimentos da Administração Distrital;</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Observar as normas e regimento da instituição, como também seguir os protocolos e política de segurança estabelecidos;</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Apresentar relatório mensal das atividades desenvolvidas, bem como notificar eventos adversos que, por ventura, venham ocorrer sob sua responsabilidade, com suas devidas análises;</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 xml:space="preserve"> Comunicar à Contratante, no prazo máximo de 24h, os motivos que impossibilitem o cumprimento dos serviços, com a devida comprovação. </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SimSun" w:asciiTheme="minorHAnsi" w:hAnsiTheme="minorHAnsi" w:cstheme="minorHAnsi"/>
          <w:sz w:val="20"/>
          <w:szCs w:val="20"/>
        </w:rPr>
        <w:t>Não subcontratar os serviços salvo se houver anuência prévia e expressa da Contratante.</w:t>
      </w:r>
    </w:p>
    <w:p>
      <w:pPr>
        <w:pStyle w:val="17"/>
        <w:tabs>
          <w:tab w:val="left" w:pos="426"/>
        </w:tabs>
        <w:spacing w:before="0" w:after="0" w:line="240" w:lineRule="auto"/>
        <w:ind w:left="1476" w:right="142"/>
        <w:jc w:val="both"/>
        <w:rPr>
          <w:rFonts w:eastAsia="Calibri" w:asciiTheme="minorHAnsi" w:hAnsiTheme="minorHAnsi" w:cstheme="minorHAnsi"/>
          <w:sz w:val="20"/>
          <w:szCs w:val="20"/>
        </w:rPr>
      </w:pPr>
    </w:p>
    <w:p>
      <w:pPr>
        <w:pStyle w:val="17"/>
        <w:numPr>
          <w:ilvl w:val="1"/>
          <w:numId w:val="6"/>
        </w:numPr>
        <w:tabs>
          <w:tab w:val="left" w:pos="426"/>
        </w:tabs>
        <w:spacing w:before="0" w:after="0" w:line="240" w:lineRule="auto"/>
        <w:ind w:left="927" w:right="142" w:hanging="360"/>
        <w:jc w:val="both"/>
        <w:rPr>
          <w:rFonts w:eastAsia="SimSun" w:asciiTheme="minorHAnsi" w:hAnsiTheme="minorHAnsi" w:cstheme="minorHAnsi"/>
          <w:sz w:val="20"/>
          <w:szCs w:val="20"/>
        </w:rPr>
      </w:pPr>
      <w:r>
        <w:rPr>
          <w:rFonts w:eastAsia="Calibri" w:asciiTheme="minorHAnsi" w:hAnsiTheme="minorHAnsi" w:cstheme="minorHAnsi"/>
          <w:b/>
          <w:color w:val="000000"/>
          <w:sz w:val="20"/>
          <w:szCs w:val="20"/>
        </w:rPr>
        <w:t xml:space="preserve">PREVISÃO E CONDIÇÕES DE PRESTAÇÃO DA GARANTIA CONTRATUAL </w:t>
      </w:r>
    </w:p>
    <w:p>
      <w:pPr>
        <w:pStyle w:val="17"/>
        <w:numPr>
          <w:ilvl w:val="2"/>
          <w:numId w:val="6"/>
        </w:numPr>
        <w:tabs>
          <w:tab w:val="left" w:pos="426"/>
        </w:tabs>
        <w:spacing w:before="0" w:after="0" w:line="240" w:lineRule="auto"/>
        <w:ind w:left="1476" w:right="142" w:hanging="720"/>
        <w:jc w:val="both"/>
        <w:rPr>
          <w:rFonts w:eastAsia="SimSun" w:asciiTheme="minorHAnsi" w:hAnsiTheme="minorHAnsi" w:cstheme="minorHAnsi"/>
          <w:sz w:val="20"/>
          <w:szCs w:val="20"/>
        </w:rPr>
      </w:pPr>
      <w:r>
        <w:rPr>
          <w:rFonts w:eastAsia="Calibri" w:asciiTheme="minorHAnsi" w:hAnsiTheme="minorHAnsi" w:cstheme="minorHAnsi"/>
          <w:sz w:val="20"/>
          <w:szCs w:val="20"/>
        </w:rPr>
        <w:t xml:space="preserve">A </w:t>
      </w:r>
      <w:r>
        <w:rPr>
          <w:rFonts w:eastAsia="Calibri" w:asciiTheme="minorHAnsi" w:hAnsiTheme="minorHAnsi" w:cstheme="minorHAnsi"/>
          <w:b/>
          <w:sz w:val="20"/>
          <w:szCs w:val="20"/>
        </w:rPr>
        <w:t>CONTRATADA</w:t>
      </w:r>
      <w:r>
        <w:rPr>
          <w:rFonts w:eastAsia="Calibri" w:asciiTheme="minorHAnsi" w:hAnsiTheme="minorHAnsi" w:cstheme="minorHAnsi"/>
          <w:sz w:val="20"/>
          <w:szCs w:val="20"/>
        </w:rPr>
        <w:t xml:space="preserve"> prestará, no ato da assinatura do contrato, em favor da </w:t>
      </w:r>
      <w:r>
        <w:rPr>
          <w:rFonts w:eastAsia="Calibri" w:asciiTheme="minorHAnsi" w:hAnsiTheme="minorHAnsi" w:cstheme="minorHAnsi"/>
          <w:b/>
          <w:sz w:val="20"/>
          <w:szCs w:val="20"/>
        </w:rPr>
        <w:t>CONTRATANTE</w:t>
      </w:r>
      <w:r>
        <w:rPr>
          <w:rFonts w:eastAsia="Calibri" w:asciiTheme="minorHAnsi" w:hAnsiTheme="minorHAnsi" w:cstheme="minorHAnsi"/>
          <w:sz w:val="20"/>
          <w:szCs w:val="20"/>
        </w:rPr>
        <w:t>, garantia de execução contratual, no percentual de 5% (cinco por cento) do valor do contrato, nos termos do artigo 98 da Lei nº 14.333/21, em uma das modalidades de garantia previstas no diploma legal citado.</w:t>
      </w:r>
    </w:p>
    <w:p>
      <w:pPr>
        <w:pStyle w:val="17"/>
        <w:numPr>
          <w:ilvl w:val="2"/>
          <w:numId w:val="6"/>
        </w:numPr>
        <w:spacing w:before="0" w:after="0" w:line="240" w:lineRule="auto"/>
        <w:ind w:left="1476" w:right="-285" w:hanging="720"/>
        <w:jc w:val="both"/>
        <w:rPr>
          <w:rFonts w:eastAsia="Calibri" w:asciiTheme="minorHAnsi" w:hAnsiTheme="minorHAnsi" w:cstheme="minorHAnsi"/>
          <w:color w:val="000000"/>
          <w:sz w:val="20"/>
          <w:szCs w:val="20"/>
          <w:u w:val="single"/>
        </w:rPr>
      </w:pPr>
      <w:r>
        <w:rPr>
          <w:rFonts w:eastAsia="Calibri" w:asciiTheme="minorHAnsi" w:hAnsiTheme="minorHAnsi" w:cstheme="minorHAnsi"/>
          <w:color w:val="000000"/>
          <w:sz w:val="20"/>
          <w:szCs w:val="20"/>
        </w:rPr>
        <w:t xml:space="preserve">As demais disposições sobre o tema encontram-se detalhadas na minuta do contrato. </w:t>
      </w:r>
    </w:p>
    <w:p>
      <w:pPr>
        <w:pStyle w:val="17"/>
        <w:spacing w:before="0" w:after="0" w:line="240" w:lineRule="auto"/>
        <w:ind w:right="142"/>
        <w:jc w:val="both"/>
        <w:rPr>
          <w:rFonts w:eastAsia="Calibri" w:asciiTheme="minorHAnsi" w:hAnsiTheme="minorHAnsi" w:cstheme="minorHAnsi"/>
          <w:sz w:val="20"/>
          <w:szCs w:val="20"/>
        </w:rPr>
      </w:pPr>
    </w:p>
    <w:p>
      <w:pPr>
        <w:pStyle w:val="17"/>
        <w:spacing w:before="0" w:after="0" w:line="240" w:lineRule="auto"/>
        <w:ind w:left="360" w:right="142"/>
        <w:jc w:val="both"/>
        <w:rPr>
          <w:rFonts w:eastAsia="Calibri" w:asciiTheme="minorHAnsi" w:hAnsiTheme="minorHAnsi" w:cstheme="minorHAnsi"/>
          <w:color w:val="000000"/>
          <w:sz w:val="20"/>
          <w:szCs w:val="20"/>
          <w:highlight w:val="yellow"/>
        </w:rPr>
      </w:pPr>
    </w:p>
    <w:p>
      <w:pPr>
        <w:pStyle w:val="17"/>
        <w:numPr>
          <w:ilvl w:val="1"/>
          <w:numId w:val="6"/>
        </w:numPr>
        <w:spacing w:before="0" w:after="0" w:line="240" w:lineRule="auto"/>
        <w:ind w:left="426" w:right="142" w:hanging="426"/>
        <w:jc w:val="both"/>
        <w:rPr>
          <w:rFonts w:eastAsia="Calibri" w:asciiTheme="minorHAnsi" w:hAnsiTheme="minorHAnsi" w:cstheme="minorHAnsi"/>
          <w:color w:val="FF0000"/>
          <w:sz w:val="20"/>
          <w:szCs w:val="20"/>
        </w:rPr>
      </w:pPr>
      <w:r>
        <w:rPr>
          <w:rFonts w:eastAsia="Calibri" w:asciiTheme="minorHAnsi" w:hAnsiTheme="minorHAnsi" w:cstheme="minorHAnsi"/>
          <w:b/>
          <w:color w:val="000000"/>
          <w:sz w:val="20"/>
          <w:szCs w:val="20"/>
        </w:rPr>
        <w:t xml:space="preserve">CONDIÇÕES PARA SUBCONTRATAÇÃO DO OBJETO OU JUSTIFICATIVA PARA VEDAÇÃO DA SUBCONTRATAÇÃO DO OBJETO </w:t>
      </w:r>
    </w:p>
    <w:p>
      <w:pPr>
        <w:pStyle w:val="17"/>
        <w:spacing w:before="0" w:after="0" w:line="240" w:lineRule="auto"/>
        <w:ind w:left="360" w:right="142"/>
        <w:jc w:val="both"/>
        <w:rPr>
          <w:rFonts w:eastAsia="Calibri" w:asciiTheme="minorHAnsi" w:hAnsiTheme="minorHAnsi" w:cstheme="minorHAnsi"/>
          <w:color w:val="000000"/>
          <w:sz w:val="20"/>
          <w:szCs w:val="20"/>
        </w:rPr>
      </w:pPr>
    </w:p>
    <w:p>
      <w:pPr>
        <w:pStyle w:val="17"/>
        <w:numPr>
          <w:ilvl w:val="2"/>
          <w:numId w:val="6"/>
        </w:numPr>
        <w:spacing w:before="0" w:after="0"/>
        <w:ind w:left="567" w:right="-285" w:hanging="567"/>
        <w:jc w:val="both"/>
        <w:rPr>
          <w:rFonts w:eastAsia="Calibri" w:asciiTheme="minorHAnsi" w:hAnsiTheme="minorHAnsi" w:cstheme="minorHAnsi"/>
          <w:sz w:val="20"/>
          <w:szCs w:val="20"/>
        </w:rPr>
      </w:pPr>
      <w:r>
        <w:rPr>
          <w:rFonts w:eastAsia="Calibri" w:asciiTheme="minorHAnsi" w:hAnsiTheme="minorHAnsi" w:cstheme="minorHAnsi"/>
          <w:sz w:val="20"/>
          <w:szCs w:val="20"/>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pPr>
        <w:pStyle w:val="17"/>
        <w:spacing w:before="0" w:after="0" w:line="240" w:lineRule="auto"/>
        <w:ind w:left="360" w:right="142"/>
        <w:jc w:val="both"/>
        <w:rPr>
          <w:rFonts w:eastAsia="Calibri" w:asciiTheme="minorHAnsi" w:hAnsiTheme="minorHAnsi" w:cstheme="minorHAnsi"/>
          <w:color w:val="000000"/>
          <w:sz w:val="20"/>
          <w:szCs w:val="20"/>
          <w:highlight w:val="yellow"/>
        </w:rPr>
      </w:pPr>
    </w:p>
    <w:p>
      <w:pPr>
        <w:pStyle w:val="17"/>
        <w:numPr>
          <w:ilvl w:val="1"/>
          <w:numId w:val="6"/>
        </w:numPr>
        <w:spacing w:before="0" w:after="0" w:line="240" w:lineRule="auto"/>
        <w:ind w:left="426" w:right="142" w:hanging="426"/>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 xml:space="preserve">MODELO DE GESTÃO DO CONTRATO </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 xml:space="preserve">A execução contratual será acompanhada e fiscalizada pelo órgão Contratante, devendo a CONTRATADA fornecer todas as informações solicitadas no prazo máximo de </w:t>
      </w:r>
      <w:r>
        <w:rPr>
          <w:rFonts w:eastAsia="Calibri" w:asciiTheme="minorHAnsi" w:hAnsiTheme="minorHAnsi" w:cstheme="minorHAnsi"/>
          <w:color w:val="0070C0"/>
          <w:sz w:val="20"/>
          <w:szCs w:val="20"/>
        </w:rPr>
        <w:t>05 (cinco)</w:t>
      </w:r>
      <w:r>
        <w:rPr>
          <w:rFonts w:eastAsia="Calibri" w:asciiTheme="minorHAnsi" w:hAnsiTheme="minorHAnsi" w:cstheme="minorHAnsi"/>
          <w:color w:val="000000"/>
          <w:sz w:val="20"/>
          <w:szCs w:val="20"/>
        </w:rPr>
        <w:t xml:space="preserve"> dias úteis após o recebimento da solicitação.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sz w:val="20"/>
          <w:szCs w:val="20"/>
        </w:rPr>
        <w:t>As obrigações dos agentes responsáveis pela gestão e fiscalização da presente contratação estão detalhadas no Decreto Estadual nº 51.651/2021.</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A comunicação entre a Contratante e a Contratada se dará por meio de e-mail institucional, sem prejuízo de outros meios disponíveis.</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A contratada deverá apresentar a Nota Fiscal ou fatura para atesto da Administração no seguinte endereço: Avenida Rio Capibaribe, 147/ Bairro São José 7andar.</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sz w:val="20"/>
          <w:szCs w:val="20"/>
        </w:rPr>
        <w:t>A Gestão do contrato ficará a cargo da Apoiadora Institucional da Superintendência de Saúde /FN, Sra. Mitsy Barros e Medeiros.</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sz w:val="20"/>
          <w:szCs w:val="20"/>
        </w:rPr>
        <w:t>A Fiscalização do contrato ficará a cargo da Direção Administrativa e Financeira do Hospital São Lucas, Sra. Maria Teresa Pinheiro Ribeiro.</w:t>
      </w:r>
    </w:p>
    <w:p>
      <w:pPr>
        <w:pStyle w:val="16"/>
        <w:tabs>
          <w:tab w:val="right" w:pos="0"/>
          <w:tab w:val="right" w:pos="709"/>
        </w:tabs>
        <w:spacing w:before="0" w:after="0" w:line="276" w:lineRule="auto"/>
        <w:ind w:left="567"/>
        <w:contextualSpacing/>
        <w:jc w:val="both"/>
        <w:rPr>
          <w:rFonts w:eastAsia="Calibri" w:asciiTheme="minorHAnsi" w:hAnsiTheme="minorHAnsi" w:cstheme="minorHAnsi"/>
          <w:color w:val="000000"/>
          <w:sz w:val="20"/>
          <w:szCs w:val="20"/>
        </w:rPr>
      </w:pPr>
    </w:p>
    <w:p>
      <w:pPr>
        <w:pStyle w:val="16"/>
        <w:numPr>
          <w:ilvl w:val="0"/>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 xml:space="preserve"> DOS CRITÉRIOS E PRAZOS PARA PAGAMENTO </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sz w:val="20"/>
          <w:szCs w:val="20"/>
        </w:rPr>
      </w:pPr>
      <w:r>
        <w:rPr>
          <w:rFonts w:eastAsia="Calibri" w:asciiTheme="minorHAnsi" w:hAnsiTheme="minorHAnsi" w:cstheme="minorHAnsi"/>
          <w:sz w:val="20"/>
          <w:szCs w:val="20"/>
        </w:rPr>
        <w:t xml:space="preserve">A CONTRATANTE pagará à CONTRATADA, o </w:t>
      </w:r>
      <w:commentRangeStart w:id="2"/>
      <w:r>
        <w:rPr>
          <w:rFonts w:eastAsia="Calibri" w:asciiTheme="minorHAnsi" w:hAnsiTheme="minorHAnsi" w:cstheme="minorHAnsi"/>
          <w:sz w:val="20"/>
          <w:szCs w:val="20"/>
        </w:rPr>
        <w:t xml:space="preserve">valor de R$ </w:t>
      </w:r>
      <w:r>
        <w:rPr>
          <w:rFonts w:hint="default" w:eastAsia="Calibri" w:asciiTheme="minorHAnsi" w:hAnsiTheme="minorHAnsi" w:cstheme="minorHAnsi"/>
          <w:sz w:val="20"/>
          <w:szCs w:val="20"/>
          <w:lang w:val="pt-BR"/>
        </w:rPr>
        <w:t>xxxxx</w:t>
      </w:r>
      <w:r>
        <w:rPr>
          <w:rFonts w:eastAsia="Calibri" w:asciiTheme="minorHAnsi" w:hAnsiTheme="minorHAnsi" w:cstheme="minorHAnsi"/>
          <w:sz w:val="20"/>
          <w:szCs w:val="20"/>
        </w:rPr>
        <w:t xml:space="preserve"> por cada dosímetro utilizado, inclusive padrão;</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 xml:space="preserve">A CONTRATANTE pagará a CONTRATADA, o valor de R$ </w:t>
      </w:r>
      <w:r>
        <w:rPr>
          <w:rFonts w:hint="default" w:eastAsia="Calibri" w:asciiTheme="minorHAnsi" w:hAnsiTheme="minorHAnsi" w:cstheme="minorHAnsi"/>
          <w:sz w:val="20"/>
          <w:szCs w:val="20"/>
          <w:lang w:val="pt-BR"/>
        </w:rPr>
        <w:t xml:space="preserve">xxxx </w:t>
      </w:r>
      <w:r>
        <w:rPr>
          <w:rFonts w:eastAsia="Calibri" w:asciiTheme="minorHAnsi" w:hAnsiTheme="minorHAnsi" w:cstheme="minorHAnsi"/>
          <w:sz w:val="20"/>
          <w:szCs w:val="20"/>
        </w:rPr>
        <w:t xml:space="preserve">por cada dosímetro extraviado, </w:t>
      </w:r>
      <w:commentRangeEnd w:id="2"/>
      <w:r>
        <w:commentReference w:id="2"/>
      </w:r>
      <w:r>
        <w:rPr>
          <w:rFonts w:eastAsia="Calibri" w:asciiTheme="minorHAnsi" w:hAnsiTheme="minorHAnsi" w:cstheme="minorHAnsi"/>
          <w:sz w:val="20"/>
          <w:szCs w:val="20"/>
        </w:rPr>
        <w:t>danificado ou não recebido , por um período de 60 (sessenta) dias após o primeiro dia do mês referente ao exercício.</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A CONTRATANTE será responsável pelos custos das devoluções mensais dos monitores individuais utilizados;</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O reajuste dos preços será efetuado de acordo ao Índice Nacional de Preços ao Consumidor Amplo (IPCA) e ocorrerá após 01 (um) ano a partir da data de assinatura;</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A CONTRATADA efetuará a cobrança trimestralmente, por meio de Nota Fiscal, acompanhada de boleto bancário, emitido pelo Banco do Brasil, no valor correspondente à quantidade de dosímetros efetivamente fornecidos naquele trimestre de acordo com a guia de remessa que acompanha os dosímetros;</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Calibri" w:asciiTheme="minorHAnsi" w:hAnsiTheme="minorHAnsi" w:cstheme="minorHAnsi"/>
          <w:sz w:val="20"/>
          <w:szCs w:val="20"/>
        </w:rPr>
        <w:t>A CONTRATANTE compromete-se a efetuar o pagamento dos serviços no prazo de até 40 (quarenta) dias após a emissão da nota fiscal de cobrança.</w:t>
      </w:r>
    </w:p>
    <w:p>
      <w:pPr>
        <w:pStyle w:val="16"/>
        <w:numPr>
          <w:ilvl w:val="1"/>
          <w:numId w:val="6"/>
        </w:numPr>
        <w:tabs>
          <w:tab w:val="right" w:pos="0"/>
          <w:tab w:val="right" w:pos="709"/>
        </w:tabs>
        <w:spacing w:before="0" w:after="0" w:line="276" w:lineRule="auto"/>
        <w:contextualSpacing/>
        <w:jc w:val="both"/>
        <w:rPr>
          <w:rFonts w:eastAsia="Calibri" w:asciiTheme="minorHAnsi" w:hAnsiTheme="minorHAnsi" w:cstheme="minorHAnsi"/>
          <w:color w:val="000000"/>
          <w:sz w:val="20"/>
          <w:szCs w:val="20"/>
        </w:rPr>
      </w:pPr>
      <w:r>
        <w:rPr>
          <w:rFonts w:eastAsia="SimSun" w:asciiTheme="minorHAnsi" w:hAnsiTheme="minorHAnsi" w:cstheme="minorHAnsi"/>
          <w:sz w:val="20"/>
          <w:szCs w:val="20"/>
        </w:rPr>
        <w:t xml:space="preserve">O prazo de vigência da contratação é de 12 (doze) meses, podendo ser prorrogado por interesse das partes até o limite de 60 (sessenta) meses contados da publicação do contrato, na forma do artigo 105 da Lei n° 14.133, de 2021. </w:t>
      </w:r>
    </w:p>
    <w:p>
      <w:pPr>
        <w:pStyle w:val="17"/>
        <w:spacing w:before="0" w:after="0" w:line="240" w:lineRule="auto"/>
        <w:ind w:right="-285"/>
        <w:jc w:val="both"/>
        <w:rPr>
          <w:rFonts w:eastAsia="Calibri" w:asciiTheme="minorHAnsi" w:hAnsiTheme="minorHAnsi" w:cstheme="minorHAnsi"/>
          <w:color w:val="000000"/>
          <w:sz w:val="20"/>
          <w:szCs w:val="20"/>
        </w:rPr>
      </w:pPr>
    </w:p>
    <w:p>
      <w:pPr>
        <w:pStyle w:val="17"/>
        <w:spacing w:before="0" w:after="0" w:line="240" w:lineRule="auto"/>
        <w:ind w:right="-142"/>
        <w:jc w:val="both"/>
        <w:rPr>
          <w:rFonts w:eastAsia="Calibri" w:asciiTheme="minorHAnsi" w:hAnsiTheme="minorHAnsi" w:cstheme="minorHAnsi"/>
          <w:color w:val="000000"/>
          <w:sz w:val="20"/>
          <w:szCs w:val="20"/>
        </w:rPr>
      </w:pPr>
    </w:p>
    <w:p>
      <w:pPr>
        <w:pStyle w:val="17"/>
        <w:numPr>
          <w:ilvl w:val="0"/>
          <w:numId w:val="6"/>
        </w:numPr>
        <w:spacing w:before="0" w:after="0" w:line="240" w:lineRule="auto"/>
        <w:ind w:left="360" w:right="142" w:hanging="360"/>
        <w:jc w:val="both"/>
        <w:rPr>
          <w:rFonts w:eastAsia="Calibri" w:asciiTheme="minorHAnsi" w:hAnsiTheme="minorHAnsi" w:cstheme="minorHAnsi"/>
          <w:color w:val="000000"/>
          <w:sz w:val="20"/>
          <w:szCs w:val="20"/>
        </w:rPr>
      </w:pPr>
      <w:r>
        <w:rPr>
          <w:rFonts w:eastAsia="Calibri" w:asciiTheme="minorHAnsi" w:hAnsiTheme="minorHAnsi" w:cstheme="minorHAnsi"/>
          <w:b/>
          <w:color w:val="000000"/>
          <w:sz w:val="20"/>
          <w:szCs w:val="20"/>
        </w:rPr>
        <w:t xml:space="preserve">DAS SANÇÕES </w:t>
      </w:r>
    </w:p>
    <w:p>
      <w:pPr>
        <w:pStyle w:val="17"/>
        <w:numPr>
          <w:ilvl w:val="1"/>
          <w:numId w:val="6"/>
        </w:numPr>
        <w:spacing w:before="0" w:after="0" w:line="240" w:lineRule="auto"/>
        <w:ind w:left="927" w:right="142" w:hanging="360"/>
        <w:jc w:val="both"/>
        <w:rPr>
          <w:rFonts w:eastAsia="Calibri" w:asciiTheme="minorHAnsi" w:hAnsiTheme="minorHAnsi" w:cstheme="minorHAnsi"/>
          <w:color w:val="000000"/>
          <w:sz w:val="20"/>
          <w:szCs w:val="20"/>
        </w:rPr>
      </w:pPr>
      <w:r>
        <w:rPr>
          <w:rFonts w:asciiTheme="minorHAnsi" w:hAnsiTheme="minorHAnsi" w:cstheme="minorHAnsi"/>
          <w:sz w:val="20"/>
          <w:szCs w:val="20"/>
        </w:rPr>
        <w:t xml:space="preserve">Comete infração administrativa, nos termos do art. 155 da Lei nº 14.133/2021, o PROPONENTE e o CONTRATADO que: </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Der causa à inexecução parcial do contrato</w:t>
      </w:r>
      <w:r>
        <w:rPr>
          <w:rFonts w:asciiTheme="minorHAnsi" w:hAnsiTheme="minorHAnsi" w:cstheme="minorHAnsi"/>
          <w:sz w:val="20"/>
          <w:szCs w:val="20"/>
        </w:rPr>
        <w:t>;</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Der causa à inexecução parcial do contrato que cause grave dano à Administração, ao funcionamento dos serviços públicos ou ao interesse coletivo;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Der causa à inexecução total do contrato;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Deixar de entregar a documentação exigida para a dispensa;</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Não mantiver a proposta, salvo em decorrência de fato superveniente devidamente justificado;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Não celebrar o contrato ou não entregar a documentação exigida para a contratação, quando convocado dentro do prazo de validade de sua proposta;</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Ensejar o retardamento da execução ou da entrega do objeto da dispensa sem motivo justificado;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Apresentar declaração ou documentação falsa exigida para a dispensa ou prestar declaração falsa durante a dispensa ou a execução do contrato;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Fraudar a dispensa ou praticar ato fraudulento na execução do contrato;</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Comportar-se de modo inidôneo ou cometer fraude de qualquer natureza</w:t>
      </w:r>
      <w:bookmarkStart w:id="1" w:name="art155x"/>
      <w:bookmarkEnd w:id="1"/>
      <w:bookmarkStart w:id="2" w:name="art155iv"/>
      <w:bookmarkEnd w:id="2"/>
      <w:bookmarkStart w:id="3" w:name="art155viii"/>
      <w:bookmarkEnd w:id="3"/>
      <w:bookmarkStart w:id="4" w:name="art155iii"/>
      <w:bookmarkEnd w:id="4"/>
      <w:bookmarkStart w:id="5" w:name="art155vii"/>
      <w:bookmarkEnd w:id="5"/>
      <w:bookmarkStart w:id="6" w:name="art155v"/>
      <w:bookmarkEnd w:id="6"/>
      <w:bookmarkStart w:id="7" w:name="art155xi"/>
      <w:bookmarkEnd w:id="7"/>
      <w:bookmarkStart w:id="8" w:name="art155ii"/>
      <w:bookmarkEnd w:id="8"/>
      <w:bookmarkStart w:id="9" w:name="art155vi"/>
      <w:bookmarkEnd w:id="9"/>
      <w:bookmarkStart w:id="10" w:name="art155ix"/>
      <w:bookmarkEnd w:id="10"/>
      <w:r>
        <w:rPr>
          <w:rFonts w:asciiTheme="minorHAnsi" w:hAnsiTheme="minorHAnsi" w:cstheme="minorHAnsi"/>
          <w:color w:val="000000"/>
          <w:sz w:val="20"/>
          <w:szCs w:val="20"/>
        </w:rPr>
        <w:t>;</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sz w:val="20"/>
          <w:szCs w:val="20"/>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Praticar atos ilícitos com vistas a frustrar os objetivos da dispensa;</w:t>
      </w:r>
      <w:bookmarkStart w:id="11" w:name="art155xii"/>
      <w:bookmarkEnd w:id="11"/>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color w:val="000000"/>
          <w:sz w:val="20"/>
          <w:szCs w:val="20"/>
        </w:rPr>
        <w:t>Praticar ato lesivo previsto no </w:t>
      </w:r>
      <w:r>
        <w:fldChar w:fldCharType="begin"/>
      </w:r>
      <w:r>
        <w:rPr>
          <w:rStyle w:val="4"/>
          <w:rFonts w:ascii="Calibri" w:hAnsi="Calibri" w:cs="Calibri"/>
          <w:color w:val="000000"/>
          <w:sz w:val="20"/>
          <w:szCs w:val="20"/>
          <w:u w:val="none"/>
        </w:rPr>
        <w:instrText xml:space="preserve"> HYPERLINK "http://www.planalto.gov.br/ccivil_03/_Ato2011-2014/2013/Lei/L12846.htm" \l "art5"</w:instrText>
      </w:r>
      <w:r>
        <w:rPr>
          <w:rStyle w:val="4"/>
          <w:rFonts w:ascii="Calibri" w:hAnsi="Calibri" w:cs="Calibri"/>
          <w:color w:val="000000"/>
          <w:sz w:val="20"/>
          <w:szCs w:val="20"/>
          <w:u w:val="none"/>
        </w:rPr>
        <w:fldChar w:fldCharType="separate"/>
      </w:r>
      <w:r>
        <w:rPr>
          <w:rStyle w:val="4"/>
          <w:rFonts w:asciiTheme="minorHAnsi" w:hAnsiTheme="minorHAnsi" w:cstheme="minorHAnsi"/>
          <w:color w:val="000000"/>
          <w:sz w:val="20"/>
          <w:szCs w:val="20"/>
          <w:u w:val="none"/>
        </w:rPr>
        <w:t>art. 5º da Lei nº 12.846, de 1º de agosto de 2013.</w:t>
      </w:r>
      <w:r>
        <w:rPr>
          <w:rStyle w:val="4"/>
          <w:rFonts w:ascii="Calibri" w:hAnsi="Calibri" w:cs="Calibri"/>
          <w:color w:val="000000"/>
          <w:sz w:val="20"/>
          <w:szCs w:val="20"/>
          <w:u w:val="none"/>
        </w:rPr>
        <w:fldChar w:fldCharType="end"/>
      </w:r>
    </w:p>
    <w:p>
      <w:pPr>
        <w:pStyle w:val="17"/>
        <w:numPr>
          <w:ilvl w:val="2"/>
          <w:numId w:val="6"/>
        </w:numPr>
        <w:spacing w:before="0" w:after="0" w:line="240" w:lineRule="auto"/>
        <w:ind w:left="1476" w:right="142" w:hanging="720"/>
        <w:jc w:val="both"/>
        <w:rPr>
          <w:rFonts w:eastAsia="Calibri" w:asciiTheme="minorHAnsi" w:hAnsiTheme="minorHAnsi" w:cstheme="minorHAnsi"/>
          <w:color w:val="000000"/>
          <w:sz w:val="20"/>
          <w:szCs w:val="20"/>
        </w:rPr>
      </w:pPr>
      <w:r>
        <w:rPr>
          <w:rFonts w:asciiTheme="minorHAnsi" w:hAnsiTheme="minorHAnsi" w:cstheme="minorHAnsi"/>
          <w:sz w:val="20"/>
          <w:szCs w:val="20"/>
        </w:rPr>
        <w:t>O PROPONENTE e o CONTRATADO que cometer qualquer das infrações discriminadas no subitem anterior ficarão sujeito, sem prejuízo da responsabilidade civil e criminal, às seguintes sanções:</w:t>
      </w:r>
    </w:p>
    <w:p>
      <w:pPr>
        <w:numPr>
          <w:ilvl w:val="2"/>
          <w:numId w:val="9"/>
        </w:numPr>
        <w:spacing w:before="120" w:after="120" w:line="276" w:lineRule="auto"/>
        <w:ind w:left="1418" w:hanging="362"/>
        <w:jc w:val="both"/>
        <w:rPr>
          <w:rFonts w:asciiTheme="minorHAnsi" w:hAnsiTheme="minorHAnsi" w:cstheme="minorHAnsi"/>
          <w:sz w:val="20"/>
          <w:szCs w:val="20"/>
        </w:rPr>
      </w:pPr>
      <w:r>
        <w:rPr>
          <w:rFonts w:asciiTheme="minorHAnsi" w:hAnsiTheme="minorHAnsi" w:cstheme="minorHAnsi"/>
          <w:sz w:val="20"/>
          <w:szCs w:val="20"/>
        </w:rPr>
        <w:t>Advertência pela falta do subitem</w:t>
      </w:r>
      <w:r>
        <w:rPr>
          <w:rFonts w:asciiTheme="minorHAnsi" w:hAnsiTheme="minorHAnsi" w:cstheme="minorHAnsi"/>
          <w:color w:val="0070C0"/>
          <w:sz w:val="20"/>
          <w:szCs w:val="20"/>
        </w:rPr>
        <w:t xml:space="preserve"> 9..1.1 </w:t>
      </w:r>
      <w:r>
        <w:rPr>
          <w:rFonts w:asciiTheme="minorHAnsi" w:hAnsiTheme="minorHAnsi" w:cstheme="minorHAnsi"/>
          <w:sz w:val="20"/>
          <w:szCs w:val="20"/>
        </w:rPr>
        <w:t>desta contratação direta, quando não se justificar a imposição de penalidade mais grave;</w:t>
      </w:r>
    </w:p>
    <w:p>
      <w:pPr>
        <w:numPr>
          <w:ilvl w:val="2"/>
          <w:numId w:val="10"/>
        </w:numPr>
        <w:tabs>
          <w:tab w:val="left" w:pos="0"/>
        </w:tabs>
        <w:spacing w:before="120" w:after="120" w:line="276" w:lineRule="auto"/>
        <w:ind w:left="1418" w:hanging="362"/>
        <w:jc w:val="both"/>
        <w:rPr>
          <w:rFonts w:asciiTheme="minorHAnsi" w:hAnsiTheme="minorHAnsi" w:cstheme="minorHAnsi"/>
          <w:sz w:val="20"/>
          <w:szCs w:val="20"/>
        </w:rPr>
      </w:pPr>
      <w:r>
        <w:rPr>
          <w:rFonts w:asciiTheme="minorHAnsi" w:hAnsiTheme="minorHAnsi" w:cstheme="minorHAnsi"/>
          <w:sz w:val="20"/>
          <w:szCs w:val="20"/>
        </w:rPr>
        <w:t xml:space="preserve">Multa de </w:t>
      </w:r>
      <w:r>
        <w:rPr>
          <w:rFonts w:asciiTheme="minorHAnsi" w:hAnsiTheme="minorHAnsi" w:cstheme="minorHAnsi"/>
          <w:color w:val="0070C0"/>
          <w:sz w:val="20"/>
          <w:szCs w:val="20"/>
        </w:rPr>
        <w:t xml:space="preserve">30% (trinta </w:t>
      </w:r>
      <w:r>
        <w:rPr>
          <w:rFonts w:asciiTheme="minorHAnsi" w:hAnsiTheme="minorHAnsi" w:cstheme="minorHAnsi"/>
          <w:sz w:val="20"/>
          <w:szCs w:val="20"/>
        </w:rPr>
        <w:t>por cento</w:t>
      </w:r>
      <w:r>
        <w:rPr>
          <w:rFonts w:asciiTheme="minorHAnsi" w:hAnsiTheme="minorHAnsi" w:cstheme="minorHAnsi"/>
          <w:color w:val="0070C0"/>
          <w:sz w:val="20"/>
          <w:szCs w:val="20"/>
        </w:rPr>
        <w:t xml:space="preserve">) </w:t>
      </w:r>
      <w:r>
        <w:rPr>
          <w:rFonts w:asciiTheme="minorHAnsi" w:hAnsiTheme="minorHAnsi" w:cstheme="minorHAnsi"/>
          <w:sz w:val="20"/>
          <w:szCs w:val="20"/>
        </w:rPr>
        <w:t>sobre o valor do(s) item(s) prejudicado(s) pela conduta do fornecedor/prestador, por qualquer das infrações dos subitens</w:t>
      </w:r>
      <w:r>
        <w:rPr>
          <w:rFonts w:asciiTheme="minorHAnsi" w:hAnsiTheme="minorHAnsi" w:cstheme="minorHAnsi"/>
          <w:color w:val="0070C0"/>
          <w:sz w:val="20"/>
          <w:szCs w:val="20"/>
        </w:rPr>
        <w:t xml:space="preserve"> 9.1.1 a 9.1.12</w:t>
      </w:r>
      <w:r>
        <w:rPr>
          <w:rFonts w:asciiTheme="minorHAnsi" w:hAnsiTheme="minorHAnsi" w:cstheme="minorHAnsi"/>
          <w:sz w:val="20"/>
          <w:szCs w:val="20"/>
        </w:rPr>
        <w:t>; Nos termos do art. 156, §3º da Lei nº 14.133/21.</w:t>
      </w:r>
    </w:p>
    <w:p>
      <w:pPr>
        <w:numPr>
          <w:ilvl w:val="2"/>
          <w:numId w:val="10"/>
        </w:numPr>
        <w:tabs>
          <w:tab w:val="left" w:pos="0"/>
          <w:tab w:val="left" w:pos="1418"/>
        </w:tabs>
        <w:spacing w:before="120" w:after="120" w:line="276" w:lineRule="auto"/>
        <w:ind w:left="1418" w:hanging="425"/>
        <w:jc w:val="both"/>
        <w:rPr>
          <w:rFonts w:asciiTheme="minorHAnsi" w:hAnsiTheme="minorHAnsi" w:cstheme="minorHAnsi"/>
          <w:sz w:val="20"/>
          <w:szCs w:val="20"/>
        </w:rPr>
      </w:pPr>
      <w:r>
        <w:rPr>
          <w:rFonts w:asciiTheme="minorHAnsi" w:hAnsiTheme="minorHAnsi" w:cstheme="minorHAnsi"/>
          <w:color w:val="000000"/>
          <w:sz w:val="20"/>
          <w:szCs w:val="20"/>
        </w:rPr>
        <w:t xml:space="preserve">Impedimento de licitar e contratar </w:t>
      </w:r>
      <w:r>
        <w:rPr>
          <w:rFonts w:asciiTheme="minorHAnsi" w:hAnsiTheme="minorHAnsi" w:cstheme="minorHAnsi"/>
          <w:sz w:val="20"/>
          <w:szCs w:val="20"/>
        </w:rPr>
        <w:t>com o Estado de Pernambuco e descredenciamento do CADFOR-PE</w:t>
      </w:r>
      <w:r>
        <w:rPr>
          <w:rFonts w:asciiTheme="minorHAnsi" w:hAnsiTheme="minorHAnsi" w:cstheme="minorHAnsi"/>
          <w:color w:val="000000"/>
          <w:sz w:val="20"/>
          <w:szCs w:val="20"/>
        </w:rPr>
        <w:t xml:space="preserve">, pelo prazo máximo de 3 (três) anos, nos casos dos subitens </w:t>
      </w:r>
      <w:r>
        <w:rPr>
          <w:rFonts w:asciiTheme="minorHAnsi" w:hAnsiTheme="minorHAnsi" w:cstheme="minorHAnsi"/>
          <w:color w:val="0070C0"/>
          <w:sz w:val="20"/>
          <w:szCs w:val="20"/>
        </w:rPr>
        <w:t>9.1.2 a 9.1.7</w:t>
      </w:r>
      <w:r>
        <w:rPr>
          <w:rFonts w:asciiTheme="minorHAnsi" w:hAnsiTheme="minorHAnsi" w:cstheme="minorHAnsi"/>
          <w:color w:val="000000"/>
          <w:sz w:val="20"/>
          <w:szCs w:val="20"/>
        </w:rPr>
        <w:t>, quando não se justificar a imposição de penalidade mais grave</w:t>
      </w:r>
      <w:r>
        <w:rPr>
          <w:rFonts w:asciiTheme="minorHAnsi" w:hAnsiTheme="minorHAnsi" w:cstheme="minorHAnsi"/>
          <w:sz w:val="20"/>
          <w:szCs w:val="20"/>
        </w:rPr>
        <w:t>;</w:t>
      </w:r>
    </w:p>
    <w:p>
      <w:pPr>
        <w:numPr>
          <w:ilvl w:val="2"/>
          <w:numId w:val="10"/>
        </w:numPr>
        <w:tabs>
          <w:tab w:val="left" w:pos="0"/>
          <w:tab w:val="left" w:pos="1418"/>
        </w:tabs>
        <w:spacing w:before="120" w:after="120" w:line="276" w:lineRule="auto"/>
        <w:ind w:left="1418" w:hanging="425"/>
        <w:jc w:val="both"/>
        <w:rPr>
          <w:rFonts w:asciiTheme="minorHAnsi" w:hAnsiTheme="minorHAnsi" w:cstheme="minorHAnsi"/>
          <w:sz w:val="20"/>
          <w:szCs w:val="20"/>
        </w:rPr>
      </w:pPr>
      <w:r>
        <w:rPr>
          <w:rFonts w:asciiTheme="minorHAnsi" w:hAnsiTheme="minorHAnsi" w:cstheme="minorHAnsi"/>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heme="minorHAnsi" w:hAnsiTheme="minorHAnsi" w:cstheme="minorHAnsi"/>
          <w:color w:val="0070C0"/>
          <w:sz w:val="20"/>
          <w:szCs w:val="20"/>
        </w:rPr>
        <w:t>9.1.8 a 9.1.12</w:t>
      </w:r>
      <w:r>
        <w:rPr>
          <w:rFonts w:asciiTheme="minorHAnsi" w:hAnsiTheme="minorHAnsi" w:cstheme="minorHAnsi"/>
          <w:color w:val="000000"/>
          <w:sz w:val="20"/>
          <w:szCs w:val="20"/>
        </w:rPr>
        <w:t>, bem como nos demais casos que justifiquem a imposição da penalidade mais grave</w:t>
      </w:r>
      <w:r>
        <w:rPr>
          <w:rFonts w:asciiTheme="minorHAnsi" w:hAnsiTheme="minorHAnsi" w:cstheme="minorHAnsi"/>
          <w:sz w:val="20"/>
          <w:szCs w:val="20"/>
        </w:rPr>
        <w:t>.</w:t>
      </w:r>
    </w:p>
    <w:p>
      <w:pPr>
        <w:tabs>
          <w:tab w:val="left" w:pos="1418"/>
        </w:tabs>
        <w:spacing w:before="120" w:after="120" w:line="276" w:lineRule="auto"/>
        <w:ind w:left="1418"/>
        <w:jc w:val="both"/>
        <w:rPr>
          <w:rFonts w:asciiTheme="minorHAnsi" w:hAnsiTheme="minorHAnsi" w:cstheme="minorHAnsi"/>
          <w:sz w:val="20"/>
          <w:szCs w:val="20"/>
        </w:rPr>
      </w:pP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Na aplicação das sanções serão considerados:</w:t>
      </w:r>
    </w:p>
    <w:p>
      <w:pPr>
        <w:pStyle w:val="16"/>
        <w:numPr>
          <w:ilvl w:val="2"/>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A natureza e a gravidade da infração cometida;</w:t>
      </w:r>
    </w:p>
    <w:p>
      <w:pPr>
        <w:pStyle w:val="16"/>
        <w:numPr>
          <w:ilvl w:val="2"/>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As peculiaridades do caso concreto;</w:t>
      </w:r>
    </w:p>
    <w:p>
      <w:pPr>
        <w:pStyle w:val="16"/>
        <w:numPr>
          <w:ilvl w:val="2"/>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As circunstâncias agravantes ou atenuantes;</w:t>
      </w:r>
    </w:p>
    <w:p>
      <w:pPr>
        <w:pStyle w:val="16"/>
        <w:numPr>
          <w:ilvl w:val="2"/>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Os danos que dela provierem para a Administração Pública;</w:t>
      </w:r>
    </w:p>
    <w:p>
      <w:pPr>
        <w:pStyle w:val="16"/>
        <w:numPr>
          <w:ilvl w:val="2"/>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bCs/>
          <w:sz w:val="20"/>
          <w:szCs w:val="20"/>
        </w:rPr>
        <w:t>A implantação ou o aperfeiçoamento de programa de integridade, conforme normas e orientações dos órgãos de controle.</w:t>
      </w: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sz w:val="20"/>
          <w:szCs w:val="20"/>
        </w:rPr>
        <w:t>A aplicação das sanções, em hipótese alguma, exime a obrigação de reparação integral do dano causado à Administração Pública.</w:t>
      </w: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sz w:val="20"/>
          <w:szCs w:val="20"/>
        </w:rPr>
        <w:t>A penalidade de multa pode ser aplicada cumulativamente com as demais sanções.</w:t>
      </w: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pPr>
        <w:pStyle w:val="16"/>
        <w:numPr>
          <w:ilvl w:val="1"/>
          <w:numId w:val="6"/>
        </w:numPr>
        <w:spacing w:before="120" w:after="120" w:line="276" w:lineRule="auto"/>
        <w:jc w:val="both"/>
        <w:rPr>
          <w:rFonts w:asciiTheme="minorHAnsi" w:hAnsiTheme="minorHAnsi" w:cstheme="minorHAnsi"/>
          <w:bCs/>
          <w:sz w:val="20"/>
          <w:szCs w:val="20"/>
        </w:rPr>
      </w:pPr>
      <w:r>
        <w:rPr>
          <w:rFonts w:asciiTheme="minorHAnsi" w:hAnsiTheme="minorHAnsi" w:cstheme="minorHAnsi"/>
          <w:sz w:val="20"/>
          <w:szCs w:val="20"/>
        </w:rPr>
        <w:t>Nenhuma penalidade será aplicada sem o devido Processo Administrativo de Aplicação de Penalidade - PAAP, que assegurará o contraditório e a ampla defesa ao fornecedor/prestador, observando-se o procedimento previsto na Lei nº 14.133/2021e no Decreto Estadual nº 42.191, de 1º de outubro de 2015.</w:t>
      </w:r>
    </w:p>
    <w:p>
      <w:pPr>
        <w:pStyle w:val="17"/>
        <w:spacing w:before="0" w:after="0"/>
        <w:ind w:right="142"/>
        <w:jc w:val="both"/>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ab/>
      </w:r>
    </w:p>
    <w:p>
      <w:pPr>
        <w:pStyle w:val="17"/>
        <w:spacing w:before="61" w:after="0"/>
        <w:ind w:right="142"/>
        <w:jc w:val="both"/>
        <w:rPr>
          <w:rFonts w:eastAsia="Calibri" w:asciiTheme="minorHAnsi" w:hAnsiTheme="minorHAnsi" w:cstheme="minorHAnsi"/>
          <w:color w:val="000000"/>
          <w:sz w:val="20"/>
          <w:szCs w:val="20"/>
        </w:rPr>
      </w:pPr>
    </w:p>
    <w:p>
      <w:pPr>
        <w:pStyle w:val="17"/>
        <w:spacing w:before="61" w:after="0"/>
        <w:ind w:right="142"/>
        <w:jc w:val="both"/>
        <w:rPr>
          <w:rFonts w:eastAsia="Calibri" w:asciiTheme="minorHAnsi" w:hAnsiTheme="minorHAnsi" w:cstheme="minorHAnsi"/>
          <w:color w:val="000000"/>
          <w:sz w:val="20"/>
          <w:szCs w:val="20"/>
        </w:rPr>
      </w:pP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Fernando de Noronha, 07 de Março de 2024</w:t>
      </w:r>
    </w:p>
    <w:p>
      <w:pPr>
        <w:pStyle w:val="17"/>
        <w:spacing w:before="61" w:after="0"/>
        <w:ind w:right="142"/>
        <w:jc w:val="center"/>
        <w:rPr>
          <w:rFonts w:eastAsia="Calibri" w:asciiTheme="minorHAnsi" w:hAnsiTheme="minorHAnsi" w:cstheme="minorHAnsi"/>
          <w:color w:val="000000"/>
          <w:sz w:val="20"/>
          <w:szCs w:val="20"/>
        </w:rPr>
      </w:pPr>
    </w:p>
    <w:p>
      <w:pPr>
        <w:pStyle w:val="17"/>
        <w:pBdr>
          <w:bottom w:val="single" w:color="000000" w:sz="12" w:space="1"/>
        </w:pBdr>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w:t>
      </w: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Maria Teresa Pinheiro Ribeiro -  Mat. 9464-1</w:t>
      </w: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Diretora Administrativa e Financeira HSL/FN</w:t>
      </w: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Responsável pela elaboração do TR</w:t>
      </w:r>
    </w:p>
    <w:p>
      <w:pPr>
        <w:pStyle w:val="17"/>
        <w:spacing w:before="61" w:after="0"/>
        <w:ind w:right="142"/>
        <w:jc w:val="center"/>
        <w:rPr>
          <w:rFonts w:eastAsia="Calibri" w:asciiTheme="minorHAnsi" w:hAnsiTheme="minorHAnsi" w:cstheme="minorHAnsi"/>
          <w:color w:val="000000"/>
          <w:sz w:val="20"/>
          <w:szCs w:val="20"/>
        </w:rPr>
      </w:pPr>
    </w:p>
    <w:p>
      <w:pPr>
        <w:pStyle w:val="17"/>
        <w:pBdr>
          <w:bottom w:val="single" w:color="000000" w:sz="12" w:space="1"/>
        </w:pBdr>
        <w:spacing w:before="61" w:after="0"/>
        <w:ind w:right="142"/>
        <w:jc w:val="center"/>
        <w:rPr>
          <w:rFonts w:eastAsia="Calibri" w:asciiTheme="minorHAnsi" w:hAnsiTheme="minorHAnsi" w:cstheme="minorHAnsi"/>
          <w:color w:val="000000"/>
          <w:sz w:val="20"/>
          <w:szCs w:val="20"/>
        </w:rPr>
      </w:pP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Mitsy Barros e Medeiros</w:t>
      </w: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Apoio Institucional da Superintendência de Saúde/FN</w:t>
      </w:r>
    </w:p>
    <w:p>
      <w:pPr>
        <w:pStyle w:val="17"/>
        <w:spacing w:before="61" w:after="0"/>
        <w:ind w:right="142"/>
        <w:jc w:val="center"/>
        <w:rPr>
          <w:rFonts w:eastAsia="Calibri" w:asciiTheme="minorHAnsi" w:hAnsiTheme="minorHAnsi" w:cstheme="minorHAnsi"/>
          <w:color w:val="000000"/>
          <w:sz w:val="20"/>
          <w:szCs w:val="20"/>
        </w:rPr>
      </w:pPr>
      <w:r>
        <w:rPr>
          <w:rFonts w:eastAsia="Calibri" w:asciiTheme="minorHAnsi" w:hAnsiTheme="minorHAnsi" w:cstheme="minorHAnsi"/>
          <w:color w:val="000000"/>
          <w:sz w:val="20"/>
          <w:szCs w:val="20"/>
        </w:rPr>
        <w:t>Responsável pela aprovação do TR</w:t>
      </w: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pStyle w:val="17"/>
        <w:spacing w:before="0" w:after="240"/>
        <w:ind w:right="142"/>
        <w:jc w:val="center"/>
        <w:rPr>
          <w:rFonts w:ascii="Calibri" w:hAnsi="Calibri" w:eastAsia="Calibri" w:cs="Calibri"/>
          <w:b/>
        </w:rPr>
      </w:pPr>
      <w:r>
        <w:rPr>
          <w:rFonts w:ascii="Calibri" w:hAnsi="Calibri" w:eastAsia="Calibri" w:cs="Calibri"/>
          <w:b/>
        </w:rPr>
        <w:t>ANEXO A</w:t>
      </w:r>
    </w:p>
    <w:p>
      <w:pPr>
        <w:pStyle w:val="17"/>
        <w:spacing w:before="0" w:after="0" w:line="240" w:lineRule="auto"/>
        <w:ind w:right="-285"/>
        <w:jc w:val="center"/>
        <w:rPr>
          <w:rFonts w:ascii="Calibri" w:hAnsi="Calibri" w:eastAsia="Calibri" w:cs="Calibri"/>
          <w:b/>
          <w:color w:val="000000"/>
          <w:sz w:val="20"/>
          <w:szCs w:val="20"/>
        </w:rPr>
      </w:pPr>
      <w:r>
        <w:rPr>
          <w:rFonts w:ascii="Calibri" w:hAnsi="Calibri" w:eastAsia="Calibri" w:cs="Calibri"/>
          <w:b/>
          <w:color w:val="000000"/>
          <w:sz w:val="20"/>
          <w:szCs w:val="20"/>
        </w:rPr>
        <w:t>PROPOSTA DOSÍMETROS</w:t>
      </w:r>
    </w:p>
    <w:p>
      <w:pPr>
        <w:widowControl w:val="0"/>
        <w:jc w:val="center"/>
        <w:rPr>
          <w:rFonts w:ascii="Calibri" w:hAnsi="Calibri" w:cs="Calibri"/>
          <w:sz w:val="20"/>
          <w:szCs w:val="20"/>
        </w:rPr>
      </w:pPr>
      <w:bookmarkStart w:id="12" w:name="_Hlk49268024"/>
      <w:bookmarkEnd w:id="12"/>
    </w:p>
    <w:p>
      <w:pPr>
        <w:widowControl w:val="0"/>
        <w:jc w:val="both"/>
        <w:rPr>
          <w:rFonts w:ascii="Calibri" w:hAnsi="Calibri" w:cs="Calibri"/>
          <w:sz w:val="20"/>
          <w:szCs w:val="20"/>
        </w:rPr>
      </w:pPr>
      <w:r>
        <w:rPr>
          <w:rFonts w:ascii="Calibri" w:hAnsi="Calibri" w:cs="Calibri"/>
          <w:sz w:val="20"/>
          <w:szCs w:val="20"/>
        </w:rPr>
        <w:t xml:space="preserve">À </w:t>
      </w:r>
    </w:p>
    <w:p>
      <w:pPr>
        <w:widowControl w:val="0"/>
        <w:jc w:val="both"/>
        <w:rPr>
          <w:rFonts w:ascii="Calibri" w:hAnsi="Calibri" w:cs="Calibri"/>
          <w:sz w:val="20"/>
          <w:szCs w:val="20"/>
        </w:rPr>
      </w:pPr>
      <w:r>
        <w:rPr>
          <w:rFonts w:ascii="Calibri" w:hAnsi="Calibri" w:cs="Calibri"/>
          <w:sz w:val="20"/>
          <w:szCs w:val="20"/>
        </w:rPr>
        <w:t xml:space="preserve">Secretaria </w:t>
      </w:r>
    </w:p>
    <w:p>
      <w:pPr>
        <w:widowControl w:val="0"/>
        <w:jc w:val="both"/>
        <w:rPr>
          <w:rFonts w:ascii="Calibri" w:hAnsi="Calibri" w:cs="Calibri"/>
          <w:sz w:val="20"/>
          <w:szCs w:val="20"/>
        </w:rPr>
      </w:pPr>
    </w:p>
    <w:p>
      <w:pPr>
        <w:widowControl w:val="0"/>
        <w:jc w:val="both"/>
        <w:rPr>
          <w:rFonts w:ascii="Calibri" w:hAnsi="Calibri" w:cs="Calibri"/>
        </w:rPr>
      </w:pPr>
      <w:bookmarkStart w:id="13" w:name="_Hlk49268024"/>
      <w:bookmarkEnd w:id="13"/>
    </w:p>
    <w:p>
      <w:pPr>
        <w:jc w:val="both"/>
        <w:rPr>
          <w:rFonts w:ascii="Calibri" w:hAnsi="Calibri" w:cs="Calibri"/>
          <w:sz w:val="20"/>
          <w:szCs w:val="20"/>
        </w:rPr>
      </w:pPr>
      <w:r>
        <w:rPr>
          <w:rFonts w:ascii="Calibri" w:hAnsi="Calibri" w:cs="Calibri"/>
          <w:sz w:val="20"/>
          <w:szCs w:val="20"/>
        </w:rPr>
        <w:t xml:space="preserve">Prezados Senhores, </w:t>
      </w:r>
    </w:p>
    <w:p>
      <w:pPr>
        <w:jc w:val="both"/>
        <w:rPr>
          <w:rFonts w:ascii="Calibri" w:hAnsi="Calibri" w:cs="Calibri"/>
          <w:sz w:val="20"/>
          <w:szCs w:val="20"/>
        </w:rPr>
      </w:pPr>
    </w:p>
    <w:p>
      <w:pPr>
        <w:jc w:val="both"/>
        <w:rPr>
          <w:rFonts w:ascii="Calibri" w:hAnsi="Calibri" w:cs="Calibri"/>
          <w:sz w:val="20"/>
          <w:szCs w:val="20"/>
        </w:rPr>
      </w:pPr>
      <w:r>
        <w:rPr>
          <w:rFonts w:ascii="Calibri" w:hAnsi="Calibri" w:cs="Calibri"/>
          <w:sz w:val="20"/>
          <w:szCs w:val="20"/>
        </w:rPr>
        <w:t>Apresentamos e submetemos à apreciação de V.Sas, nossa Proposta de Preços, para o objeto da presente dispensa, de acordo com as exigências estabelecidas no termo de referência e seus anexos e de acordo com a planilha abaixo detalhada:</w:t>
      </w:r>
    </w:p>
    <w:p>
      <w:pPr>
        <w:pStyle w:val="18"/>
        <w:spacing w:before="0" w:after="0"/>
        <w:ind w:left="0" w:right="142" w:firstLine="0"/>
        <w:rPr>
          <w:rFonts w:ascii="Calibri" w:hAnsi="Calibri" w:cs="Calibri"/>
          <w:color w:val="FF0000"/>
          <w:sz w:val="20"/>
          <w:szCs w:val="20"/>
        </w:rPr>
      </w:pPr>
    </w:p>
    <w:tbl>
      <w:tblPr>
        <w:tblStyle w:val="3"/>
        <w:tblW w:w="9081" w:type="dxa"/>
        <w:tblInd w:w="-72" w:type="dxa"/>
        <w:tblLayout w:type="fixed"/>
        <w:tblCellMar>
          <w:top w:w="0" w:type="dxa"/>
          <w:left w:w="70" w:type="dxa"/>
          <w:bottom w:w="0" w:type="dxa"/>
          <w:right w:w="70" w:type="dxa"/>
        </w:tblCellMar>
      </w:tblPr>
      <w:tblGrid>
        <w:gridCol w:w="614"/>
        <w:gridCol w:w="946"/>
        <w:gridCol w:w="2057"/>
        <w:gridCol w:w="839"/>
        <w:gridCol w:w="1074"/>
        <w:gridCol w:w="1278"/>
        <w:gridCol w:w="1080"/>
        <w:gridCol w:w="1192"/>
      </w:tblGrid>
      <w:tr>
        <w:tblPrEx>
          <w:tblCellMar>
            <w:top w:w="0" w:type="dxa"/>
            <w:left w:w="70" w:type="dxa"/>
            <w:bottom w:w="0" w:type="dxa"/>
            <w:right w:w="70" w:type="dxa"/>
          </w:tblCellMar>
        </w:tblPrEx>
        <w:trPr>
          <w:trHeight w:val="330" w:hRule="atLeast"/>
        </w:trPr>
        <w:tc>
          <w:tcPr>
            <w:tcW w:w="614" w:type="dxa"/>
            <w:tcBorders>
              <w:top w:val="single" w:color="000000" w:sz="4" w:space="0"/>
              <w:left w:val="single" w:color="000000" w:sz="4" w:space="0"/>
              <w:bottom w:val="single" w:color="000000" w:sz="4" w:space="0"/>
              <w:right w:val="single" w:color="000000" w:sz="4" w:space="0"/>
            </w:tcBorders>
            <w:shd w:val="clear" w:color="auto" w:fill="D8D8D8"/>
            <w:vAlign w:val="center"/>
          </w:tcPr>
          <w:p>
            <w:pPr>
              <w:pStyle w:val="17"/>
              <w:spacing w:before="0" w:after="0" w:line="240" w:lineRule="auto"/>
              <w:ind w:hanging="2"/>
              <w:rPr>
                <w:rFonts w:ascii="Calibri" w:hAnsi="Calibri" w:eastAsia="Calibri" w:cs="Calibri"/>
                <w:sz w:val="20"/>
                <w:szCs w:val="20"/>
              </w:rPr>
            </w:pPr>
            <w:r>
              <w:rPr>
                <w:rFonts w:ascii="Calibri" w:hAnsi="Calibri" w:eastAsia="Calibri" w:cs="Calibri"/>
                <w:b/>
                <w:sz w:val="20"/>
                <w:szCs w:val="20"/>
              </w:rPr>
              <w:t>Item</w:t>
            </w:r>
          </w:p>
        </w:tc>
        <w:tc>
          <w:tcPr>
            <w:tcW w:w="946" w:type="dxa"/>
            <w:tcBorders>
              <w:top w:val="single" w:color="000000" w:sz="4" w:space="0"/>
              <w:left w:val="single" w:color="000000" w:sz="4" w:space="0"/>
              <w:bottom w:val="single" w:color="000000" w:sz="4" w:space="0"/>
              <w:right w:val="single" w:color="000000" w:sz="4" w:space="0"/>
            </w:tcBorders>
            <w:shd w:val="clear" w:color="auto" w:fill="D8D8D8"/>
            <w:vAlign w:val="center"/>
          </w:tcPr>
          <w:p>
            <w:pPr>
              <w:pStyle w:val="17"/>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Código</w:t>
            </w:r>
          </w:p>
          <w:p>
            <w:pPr>
              <w:pStyle w:val="17"/>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E-Fisco</w:t>
            </w:r>
          </w:p>
        </w:tc>
        <w:tc>
          <w:tcPr>
            <w:tcW w:w="2057" w:type="dxa"/>
            <w:tcBorders>
              <w:top w:val="single" w:color="000000" w:sz="4" w:space="0"/>
              <w:left w:val="single" w:color="000000" w:sz="4" w:space="0"/>
              <w:bottom w:val="single" w:color="000000" w:sz="4" w:space="0"/>
              <w:right w:val="single" w:color="000000" w:sz="4" w:space="0"/>
            </w:tcBorders>
            <w:shd w:val="clear" w:color="auto" w:fill="D8D8D8"/>
            <w:vAlign w:val="center"/>
          </w:tcPr>
          <w:p>
            <w:pPr>
              <w:pStyle w:val="17"/>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Descrição</w:t>
            </w:r>
          </w:p>
        </w:tc>
        <w:tc>
          <w:tcPr>
            <w:tcW w:w="839" w:type="dxa"/>
            <w:tcBorders>
              <w:top w:val="single" w:color="000000" w:sz="4" w:space="0"/>
              <w:left w:val="single" w:color="000000" w:sz="4" w:space="0"/>
              <w:bottom w:val="single" w:color="000000" w:sz="4" w:space="0"/>
              <w:right w:val="single" w:color="000000" w:sz="4" w:space="0"/>
            </w:tcBorders>
            <w:shd w:val="clear" w:color="auto" w:fill="D8D8D8"/>
            <w:vAlign w:val="center"/>
          </w:tcPr>
          <w:p>
            <w:pPr>
              <w:pStyle w:val="17"/>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Unid.</w:t>
            </w:r>
          </w:p>
        </w:tc>
        <w:tc>
          <w:tcPr>
            <w:tcW w:w="1074" w:type="dxa"/>
            <w:tcBorders>
              <w:top w:val="single" w:color="000000" w:sz="4" w:space="0"/>
              <w:left w:val="single" w:color="000000" w:sz="4" w:space="0"/>
              <w:bottom w:val="single" w:color="000000" w:sz="4" w:space="0"/>
              <w:right w:val="single" w:color="000000" w:sz="4" w:space="0"/>
            </w:tcBorders>
            <w:shd w:val="clear" w:color="auto" w:fill="D8D8D8"/>
            <w:tcMar>
              <w:top w:w="15" w:type="dxa"/>
              <w:left w:w="15" w:type="dxa"/>
              <w:bottom w:w="15" w:type="dxa"/>
              <w:right w:w="15" w:type="dxa"/>
            </w:tcMar>
            <w:vAlign w:val="center"/>
          </w:tcPr>
          <w:p>
            <w:pPr>
              <w:pStyle w:val="17"/>
              <w:widowControl w:val="0"/>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Quantidade</w:t>
            </w:r>
          </w:p>
          <w:p>
            <w:pPr>
              <w:pStyle w:val="17"/>
              <w:widowControl w:val="0"/>
              <w:spacing w:before="0" w:after="0" w:line="240" w:lineRule="auto"/>
              <w:ind w:hanging="2"/>
              <w:jc w:val="center"/>
              <w:rPr>
                <w:rFonts w:ascii="Calibri" w:hAnsi="Calibri" w:eastAsia="Calibri" w:cs="Calibri"/>
                <w:sz w:val="20"/>
                <w:szCs w:val="20"/>
              </w:rPr>
            </w:pPr>
            <w:r>
              <w:rPr>
                <w:rFonts w:ascii="Calibri" w:hAnsi="Calibri" w:eastAsia="Calibri" w:cs="Calibri"/>
                <w:b/>
                <w:sz w:val="20"/>
                <w:szCs w:val="20"/>
              </w:rPr>
              <w:t>(A)</w:t>
            </w:r>
          </w:p>
        </w:tc>
        <w:tc>
          <w:tcPr>
            <w:tcW w:w="1278" w:type="dxa"/>
            <w:tcBorders>
              <w:top w:val="single" w:color="000000" w:sz="4" w:space="0"/>
              <w:left w:val="single" w:color="000000" w:sz="4" w:space="0"/>
              <w:bottom w:val="single" w:color="000000" w:sz="4" w:space="0"/>
              <w:right w:val="single" w:color="000000" w:sz="4" w:space="0"/>
            </w:tcBorders>
            <w:shd w:val="clear" w:color="auto" w:fill="D8D8D8"/>
            <w:tcMar>
              <w:top w:w="15" w:type="dxa"/>
              <w:left w:w="15" w:type="dxa"/>
              <w:bottom w:w="15" w:type="dxa"/>
              <w:right w:w="15" w:type="dxa"/>
            </w:tcMar>
            <w:vAlign w:val="center"/>
          </w:tcPr>
          <w:p>
            <w:pPr>
              <w:pStyle w:val="17"/>
              <w:widowControl w:val="0"/>
              <w:spacing w:before="0" w:after="0" w:line="240" w:lineRule="auto"/>
              <w:ind w:hanging="2"/>
              <w:jc w:val="center"/>
              <w:rPr>
                <w:rFonts w:ascii="Calibri" w:hAnsi="Calibri" w:eastAsia="Calibri" w:cs="Calibri"/>
                <w:color w:val="262626"/>
                <w:sz w:val="20"/>
                <w:szCs w:val="20"/>
              </w:rPr>
            </w:pPr>
            <w:r>
              <w:rPr>
                <w:rFonts w:ascii="Calibri" w:hAnsi="Calibri" w:eastAsia="Calibri" w:cs="Calibri"/>
                <w:b/>
                <w:color w:val="262626"/>
                <w:sz w:val="20"/>
                <w:szCs w:val="20"/>
              </w:rPr>
              <w:t>Preço Unitário Mensal (B)</w:t>
            </w:r>
          </w:p>
        </w:tc>
        <w:tc>
          <w:tcPr>
            <w:tcW w:w="1080" w:type="dxa"/>
            <w:tcBorders>
              <w:top w:val="single" w:color="000000" w:sz="4" w:space="0"/>
              <w:left w:val="single" w:color="000000" w:sz="4" w:space="0"/>
              <w:bottom w:val="single" w:color="000000" w:sz="4" w:space="0"/>
              <w:right w:val="single" w:color="000000" w:sz="4" w:space="0"/>
            </w:tcBorders>
            <w:shd w:val="clear" w:color="auto" w:fill="D8D8D8"/>
            <w:vAlign w:val="center"/>
          </w:tcPr>
          <w:p>
            <w:pPr>
              <w:pStyle w:val="17"/>
              <w:spacing w:before="0" w:after="0" w:line="240" w:lineRule="auto"/>
              <w:ind w:hanging="2"/>
              <w:jc w:val="center"/>
              <w:rPr>
                <w:rFonts w:ascii="Calibri" w:hAnsi="Calibri" w:eastAsia="Calibri" w:cs="Calibri"/>
                <w:color w:val="262626"/>
                <w:sz w:val="20"/>
                <w:szCs w:val="20"/>
              </w:rPr>
            </w:pPr>
            <w:r>
              <w:rPr>
                <w:rFonts w:ascii="Calibri" w:hAnsi="Calibri" w:eastAsia="Calibri" w:cs="Calibri"/>
                <w:b/>
                <w:color w:val="262626"/>
                <w:sz w:val="20"/>
                <w:szCs w:val="20"/>
              </w:rPr>
              <w:t xml:space="preserve">Preço Unitário </w:t>
            </w:r>
            <w:r>
              <w:rPr>
                <w:rFonts w:ascii="Calibri" w:hAnsi="Calibri" w:eastAsia="Calibri" w:cs="Calibri"/>
                <w:b/>
                <w:color w:val="0070C0"/>
                <w:sz w:val="20"/>
                <w:szCs w:val="20"/>
              </w:rPr>
              <w:t>Anual</w:t>
            </w:r>
            <w:r>
              <w:rPr>
                <w:rFonts w:ascii="Calibri" w:hAnsi="Calibri" w:eastAsia="Calibri" w:cs="Calibri"/>
                <w:b/>
                <w:color w:val="262626"/>
                <w:sz w:val="20"/>
                <w:szCs w:val="20"/>
              </w:rPr>
              <w:t xml:space="preserve"> (C) = (B) x </w:t>
            </w:r>
            <w:r>
              <w:rPr>
                <w:rFonts w:ascii="Calibri" w:hAnsi="Calibri" w:eastAsia="Calibri" w:cs="Calibri"/>
                <w:b/>
                <w:color w:val="0070C0"/>
                <w:sz w:val="20"/>
                <w:szCs w:val="20"/>
              </w:rPr>
              <w:t>12</w:t>
            </w:r>
          </w:p>
        </w:tc>
        <w:tc>
          <w:tcPr>
            <w:tcW w:w="1192" w:type="dxa"/>
            <w:tcBorders>
              <w:top w:val="single" w:color="000000" w:sz="4" w:space="0"/>
              <w:left w:val="single" w:color="000000" w:sz="4" w:space="0"/>
              <w:bottom w:val="single" w:color="000000" w:sz="4" w:space="0"/>
              <w:right w:val="single" w:color="000000" w:sz="4" w:space="0"/>
            </w:tcBorders>
            <w:shd w:val="clear" w:color="auto" w:fill="D8D8D8"/>
            <w:tcMar>
              <w:top w:w="15" w:type="dxa"/>
              <w:left w:w="15" w:type="dxa"/>
              <w:bottom w:w="15" w:type="dxa"/>
              <w:right w:w="15" w:type="dxa"/>
            </w:tcMar>
            <w:vAlign w:val="center"/>
          </w:tcPr>
          <w:p>
            <w:pPr>
              <w:pStyle w:val="17"/>
              <w:widowControl w:val="0"/>
              <w:spacing w:before="0" w:after="0" w:line="240" w:lineRule="auto"/>
              <w:ind w:hanging="2"/>
              <w:jc w:val="center"/>
              <w:rPr>
                <w:rFonts w:ascii="Calibri" w:hAnsi="Calibri" w:eastAsia="Calibri" w:cs="Calibri"/>
                <w:color w:val="262626"/>
                <w:sz w:val="20"/>
                <w:szCs w:val="20"/>
              </w:rPr>
            </w:pPr>
            <w:r>
              <w:rPr>
                <w:rFonts w:ascii="Calibri" w:hAnsi="Calibri" w:eastAsia="Calibri" w:cs="Calibri"/>
                <w:b/>
                <w:color w:val="262626"/>
                <w:sz w:val="20"/>
                <w:szCs w:val="20"/>
              </w:rPr>
              <w:t>Valor Total  (</w:t>
            </w:r>
            <w:r>
              <w:rPr>
                <w:rFonts w:ascii="Calibri" w:hAnsi="Calibri" w:eastAsia="Calibri" w:cs="Calibri"/>
                <w:b/>
                <w:color w:val="2E74B5"/>
                <w:sz w:val="20"/>
                <w:szCs w:val="20"/>
              </w:rPr>
              <w:t>12</w:t>
            </w:r>
            <w:r>
              <w:rPr>
                <w:rFonts w:ascii="Calibri" w:hAnsi="Calibri" w:eastAsia="Calibri" w:cs="Calibri"/>
                <w:b/>
                <w:color w:val="262626"/>
                <w:sz w:val="20"/>
                <w:szCs w:val="20"/>
              </w:rPr>
              <w:t xml:space="preserve"> meses)</w:t>
            </w:r>
          </w:p>
          <w:p>
            <w:pPr>
              <w:pStyle w:val="17"/>
              <w:widowControl w:val="0"/>
              <w:spacing w:before="0" w:after="0" w:line="240" w:lineRule="auto"/>
              <w:ind w:hanging="2"/>
              <w:jc w:val="center"/>
              <w:rPr>
                <w:rFonts w:ascii="Calibri" w:hAnsi="Calibri" w:eastAsia="Calibri" w:cs="Calibri"/>
                <w:color w:val="262626"/>
                <w:sz w:val="20"/>
                <w:szCs w:val="20"/>
              </w:rPr>
            </w:pPr>
            <w:r>
              <w:rPr>
                <w:rFonts w:ascii="Calibri" w:hAnsi="Calibri" w:eastAsia="Calibri" w:cs="Calibri"/>
                <w:b/>
                <w:color w:val="262626"/>
                <w:sz w:val="20"/>
                <w:szCs w:val="20"/>
              </w:rPr>
              <w:t>(D) =</w:t>
            </w:r>
          </w:p>
          <w:p>
            <w:pPr>
              <w:pStyle w:val="17"/>
              <w:widowControl w:val="0"/>
              <w:spacing w:before="0" w:after="0" w:line="240" w:lineRule="auto"/>
              <w:ind w:hanging="2"/>
              <w:jc w:val="center"/>
              <w:rPr>
                <w:rFonts w:ascii="Calibri" w:hAnsi="Calibri" w:eastAsia="Calibri" w:cs="Calibri"/>
                <w:color w:val="262626"/>
                <w:sz w:val="20"/>
                <w:szCs w:val="20"/>
              </w:rPr>
            </w:pPr>
            <w:r>
              <w:rPr>
                <w:rFonts w:ascii="Calibri" w:hAnsi="Calibri" w:eastAsia="Calibri" w:cs="Calibri"/>
                <w:b/>
                <w:color w:val="262626"/>
                <w:sz w:val="20"/>
                <w:szCs w:val="20"/>
              </w:rPr>
              <w:t>(A) x (C)</w:t>
            </w:r>
          </w:p>
        </w:tc>
      </w:tr>
      <w:tr>
        <w:tblPrEx>
          <w:tblCellMar>
            <w:top w:w="0" w:type="dxa"/>
            <w:left w:w="70" w:type="dxa"/>
            <w:bottom w:w="0" w:type="dxa"/>
            <w:right w:w="70" w:type="dxa"/>
          </w:tblCellMar>
        </w:tblPrEx>
        <w:trPr>
          <w:trHeight w:val="452" w:hRule="atLeast"/>
        </w:trPr>
        <w:tc>
          <w:tcPr>
            <w:tcW w:w="614"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240" w:lineRule="auto"/>
              <w:ind w:hanging="2"/>
              <w:jc w:val="center"/>
              <w:rPr>
                <w:rFonts w:ascii="Calibri" w:hAnsi="Calibri" w:eastAsia="Calibri" w:cs="Calibri"/>
                <w:sz w:val="20"/>
                <w:szCs w:val="20"/>
              </w:rPr>
            </w:pPr>
            <w:r>
              <w:rPr>
                <w:rFonts w:ascii="Calibri" w:hAnsi="Calibri" w:eastAsia="Calibri" w:cs="Calibri"/>
                <w:sz w:val="20"/>
                <w:szCs w:val="20"/>
              </w:rPr>
              <w:t xml:space="preserve"> 1</w:t>
            </w:r>
          </w:p>
        </w:tc>
        <w:tc>
          <w:tcPr>
            <w:tcW w:w="946"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240" w:lineRule="auto"/>
              <w:ind w:hanging="2"/>
              <w:rPr>
                <w:rFonts w:ascii="Calibri" w:hAnsi="Calibri" w:eastAsia="Calibri" w:cs="Calibri"/>
                <w:sz w:val="20"/>
                <w:szCs w:val="20"/>
              </w:rPr>
            </w:pPr>
            <w:r>
              <w:rPr>
                <w:rFonts w:ascii="Calibri" w:hAnsi="Calibri" w:eastAsia="Calibri" w:cs="Calibri"/>
                <w:sz w:val="20"/>
                <w:szCs w:val="20"/>
              </w:rPr>
              <w:t>226235-5</w:t>
            </w:r>
          </w:p>
        </w:tc>
        <w:tc>
          <w:tcPr>
            <w:tcW w:w="2057" w:type="dxa"/>
            <w:tcBorders>
              <w:top w:val="single" w:color="000000" w:sz="4" w:space="0"/>
              <w:left w:val="single" w:color="000000" w:sz="4" w:space="0"/>
              <w:bottom w:val="single" w:color="000000" w:sz="4" w:space="0"/>
              <w:right w:val="single" w:color="000000" w:sz="4" w:space="0"/>
            </w:tcBorders>
          </w:tcPr>
          <w:p>
            <w:pPr>
              <w:pStyle w:val="17"/>
              <w:spacing w:before="0" w:after="0" w:line="240" w:lineRule="auto"/>
              <w:ind w:hanging="2"/>
              <w:rPr>
                <w:rFonts w:ascii="Calibri" w:hAnsi="Calibri" w:eastAsia="Calibri" w:cs="Calibri"/>
                <w:sz w:val="20"/>
                <w:szCs w:val="20"/>
              </w:rPr>
            </w:pPr>
            <w:r>
              <w:rPr>
                <w:rFonts w:ascii="Calibri" w:hAnsi="Calibri" w:eastAsia="Calibri" w:cs="Calibri"/>
                <w:sz w:val="20"/>
                <w:szCs w:val="20"/>
              </w:rPr>
              <w:t>SERVICO DE MANUTENCAO DE APARELHO/EQUIPAMENTOS DA AREA DE SAUDE - DO TIPO DOSIMETRO, COM MONITORAMENTO INDIVIDUAL E REPOSICAO MENSAL</w:t>
            </w:r>
          </w:p>
        </w:tc>
        <w:tc>
          <w:tcPr>
            <w:tcW w:w="839" w:type="dxa"/>
            <w:tcBorders>
              <w:top w:val="single" w:color="000000" w:sz="4" w:space="0"/>
              <w:left w:val="single" w:color="000000" w:sz="4" w:space="0"/>
              <w:bottom w:val="single" w:color="000000" w:sz="4" w:space="0"/>
              <w:right w:val="single" w:color="000000" w:sz="4" w:space="0"/>
            </w:tcBorders>
            <w:vAlign w:val="center"/>
          </w:tcPr>
          <w:p>
            <w:pPr>
              <w:pStyle w:val="17"/>
              <w:spacing w:before="0" w:after="0" w:line="240" w:lineRule="auto"/>
              <w:ind w:hanging="2"/>
              <w:rPr>
                <w:rFonts w:ascii="Calibri" w:hAnsi="Calibri" w:eastAsia="Calibri" w:cs="Calibri"/>
                <w:sz w:val="20"/>
                <w:szCs w:val="20"/>
              </w:rPr>
            </w:pPr>
            <w:r>
              <w:rPr>
                <w:rFonts w:ascii="Calibri" w:hAnsi="Calibri" w:eastAsia="Calibri" w:cs="Calibri"/>
                <w:sz w:val="20"/>
                <w:szCs w:val="20"/>
              </w:rPr>
              <w:t>12</w:t>
            </w:r>
          </w:p>
        </w:tc>
        <w:tc>
          <w:tcPr>
            <w:tcW w:w="107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tcPr>
          <w:p>
            <w:pPr>
              <w:pStyle w:val="17"/>
              <w:widowControl w:val="0"/>
              <w:spacing w:before="0" w:after="0" w:line="240" w:lineRule="auto"/>
              <w:ind w:hanging="2"/>
              <w:jc w:val="right"/>
              <w:rPr>
                <w:rFonts w:ascii="Calibri" w:hAnsi="Calibri" w:eastAsia="Calibri" w:cs="Calibri"/>
                <w:sz w:val="20"/>
                <w:szCs w:val="20"/>
              </w:rPr>
            </w:pPr>
          </w:p>
          <w:p>
            <w:pPr>
              <w:rPr>
                <w:rFonts w:eastAsia="Calibri"/>
              </w:rPr>
            </w:pPr>
          </w:p>
          <w:p>
            <w:pPr>
              <w:rPr>
                <w:rFonts w:eastAsia="Calibri"/>
              </w:rPr>
            </w:pPr>
          </w:p>
          <w:p>
            <w:pPr>
              <w:rPr>
                <w:rFonts w:eastAsia="Calibri"/>
              </w:rPr>
            </w:pPr>
            <w:commentRangeStart w:id="3"/>
            <w:r>
              <w:rPr>
                <w:rFonts w:eastAsia="Calibri"/>
              </w:rPr>
              <w:t>144</w:t>
            </w:r>
            <w:commentRangeEnd w:id="3"/>
            <w:r>
              <w:commentReference w:id="3"/>
            </w:r>
          </w:p>
        </w:tc>
        <w:tc>
          <w:tcPr>
            <w:tcW w:w="127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pStyle w:val="17"/>
              <w:widowControl w:val="0"/>
              <w:spacing w:before="0" w:after="0" w:line="240" w:lineRule="auto"/>
              <w:ind w:hanging="2"/>
              <w:rPr>
                <w:rFonts w:ascii="Calibri" w:hAnsi="Calibri" w:eastAsia="Calibri" w:cs="Calibri"/>
                <w:color w:val="262626"/>
                <w:sz w:val="20"/>
                <w:szCs w:val="20"/>
              </w:rPr>
            </w:pPr>
            <w:r>
              <w:rPr>
                <w:rFonts w:ascii="Calibri" w:hAnsi="Calibri" w:eastAsia="Calibri" w:cs="Calibri"/>
                <w:color w:val="262626"/>
                <w:sz w:val="20"/>
                <w:szCs w:val="20"/>
              </w:rPr>
              <w:t xml:space="preserve"> R$                   </w:t>
            </w:r>
          </w:p>
        </w:tc>
        <w:tc>
          <w:tcPr>
            <w:tcW w:w="1080" w:type="dxa"/>
            <w:tcBorders>
              <w:top w:val="single" w:color="000000" w:sz="4" w:space="0"/>
              <w:left w:val="single" w:color="000000" w:sz="4" w:space="0"/>
              <w:bottom w:val="single" w:color="000000" w:sz="4" w:space="0"/>
              <w:right w:val="single" w:color="000000" w:sz="4" w:space="0"/>
            </w:tcBorders>
            <w:vAlign w:val="center"/>
          </w:tcPr>
          <w:p>
            <w:pPr>
              <w:pStyle w:val="17"/>
              <w:widowControl w:val="0"/>
              <w:spacing w:before="0" w:after="0" w:line="240" w:lineRule="auto"/>
              <w:ind w:hanging="2"/>
              <w:rPr>
                <w:rFonts w:ascii="Calibri" w:hAnsi="Calibri" w:eastAsia="Calibri" w:cs="Calibri"/>
                <w:color w:val="262626"/>
                <w:sz w:val="20"/>
                <w:szCs w:val="20"/>
              </w:rPr>
            </w:pPr>
            <w:r>
              <w:rPr>
                <w:rFonts w:ascii="Calibri" w:hAnsi="Calibri" w:eastAsia="Calibri" w:cs="Calibri"/>
                <w:color w:val="262626"/>
                <w:sz w:val="20"/>
                <w:szCs w:val="20"/>
              </w:rPr>
              <w:t xml:space="preserve"> R$                </w:t>
            </w:r>
          </w:p>
        </w:tc>
        <w:tc>
          <w:tcPr>
            <w:tcW w:w="1192"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pStyle w:val="17"/>
              <w:widowControl w:val="0"/>
              <w:spacing w:before="0" w:after="0" w:line="240" w:lineRule="auto"/>
              <w:ind w:hanging="2"/>
              <w:rPr>
                <w:rFonts w:ascii="Calibri" w:hAnsi="Calibri" w:eastAsia="Calibri" w:cs="Calibri"/>
                <w:color w:val="262626"/>
                <w:sz w:val="20"/>
                <w:szCs w:val="20"/>
              </w:rPr>
            </w:pPr>
            <w:r>
              <w:rPr>
                <w:rFonts w:ascii="Calibri" w:hAnsi="Calibri" w:eastAsia="Calibri" w:cs="Calibri"/>
                <w:color w:val="262626"/>
                <w:sz w:val="20"/>
                <w:szCs w:val="20"/>
              </w:rPr>
              <w:t xml:space="preserve">R$              </w:t>
            </w:r>
          </w:p>
        </w:tc>
      </w:tr>
      <w:tr>
        <w:tblPrEx>
          <w:tblCellMar>
            <w:top w:w="0" w:type="dxa"/>
            <w:left w:w="70" w:type="dxa"/>
            <w:bottom w:w="0" w:type="dxa"/>
            <w:right w:w="70" w:type="dxa"/>
          </w:tblCellMar>
        </w:tblPrEx>
        <w:trPr>
          <w:trHeight w:val="523" w:hRule="atLeast"/>
        </w:trPr>
        <w:tc>
          <w:tcPr>
            <w:tcW w:w="4456" w:type="dxa"/>
            <w:gridSpan w:val="4"/>
            <w:tcBorders>
              <w:top w:val="single" w:color="000000" w:sz="4" w:space="0"/>
              <w:left w:val="single" w:color="000000" w:sz="4" w:space="0"/>
              <w:bottom w:val="single" w:color="000000" w:sz="4" w:space="0"/>
              <w:right w:val="single" w:color="000000" w:sz="4" w:space="0"/>
            </w:tcBorders>
            <w:vAlign w:val="center"/>
          </w:tcPr>
          <w:p>
            <w:pPr>
              <w:pStyle w:val="17"/>
              <w:spacing w:before="0" w:after="0" w:line="240" w:lineRule="auto"/>
              <w:ind w:hanging="2"/>
              <w:jc w:val="right"/>
              <w:rPr>
                <w:rFonts w:ascii="Calibri" w:hAnsi="Calibri" w:eastAsia="Calibri" w:cs="Calibri"/>
                <w:sz w:val="20"/>
                <w:szCs w:val="20"/>
              </w:rPr>
            </w:pPr>
            <w:r>
              <w:rPr>
                <w:rFonts w:ascii="Calibri" w:hAnsi="Calibri" w:eastAsia="Calibri" w:cs="Calibri"/>
                <w:b/>
                <w:sz w:val="20"/>
                <w:szCs w:val="20"/>
                <w:highlight w:val="white"/>
              </w:rPr>
              <w:t>VALOR TOTAL</w:t>
            </w:r>
          </w:p>
        </w:tc>
        <w:tc>
          <w:tcPr>
            <w:tcW w:w="4624" w:type="dxa"/>
            <w:gridSpan w:val="4"/>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tcPr>
          <w:p>
            <w:pPr>
              <w:pStyle w:val="17"/>
              <w:widowControl w:val="0"/>
              <w:spacing w:before="0" w:after="0" w:line="240" w:lineRule="auto"/>
              <w:ind w:hanging="2"/>
              <w:jc w:val="right"/>
              <w:rPr>
                <w:rFonts w:ascii="Calibri" w:hAnsi="Calibri" w:eastAsia="Calibri" w:cs="Calibri"/>
                <w:color w:val="262626"/>
                <w:sz w:val="20"/>
                <w:szCs w:val="20"/>
              </w:rPr>
            </w:pPr>
          </w:p>
          <w:p>
            <w:pPr>
              <w:pStyle w:val="17"/>
              <w:widowControl w:val="0"/>
              <w:spacing w:before="0" w:after="0" w:line="240" w:lineRule="auto"/>
              <w:ind w:hanging="2"/>
              <w:rPr>
                <w:rFonts w:ascii="Calibri" w:hAnsi="Calibri" w:eastAsia="Calibri" w:cs="Calibri"/>
                <w:color w:val="262626"/>
                <w:sz w:val="20"/>
                <w:szCs w:val="20"/>
              </w:rPr>
            </w:pPr>
            <w:r>
              <w:rPr>
                <w:rFonts w:ascii="Calibri" w:hAnsi="Calibri" w:eastAsia="Calibri" w:cs="Calibri"/>
                <w:color w:val="262626"/>
                <w:sz w:val="20"/>
                <w:szCs w:val="20"/>
              </w:rPr>
              <w:t xml:space="preserve">       </w:t>
            </w:r>
          </w:p>
        </w:tc>
      </w:tr>
    </w:tbl>
    <w:p>
      <w:pPr>
        <w:pStyle w:val="17"/>
        <w:spacing w:before="240" w:after="240"/>
        <w:ind w:right="142" w:hanging="2"/>
        <w:jc w:val="center"/>
        <w:rPr>
          <w:rFonts w:ascii="Calibri" w:hAnsi="Calibri" w:eastAsia="Calibri" w:cs="Calibri"/>
          <w:color w:val="FF0000"/>
          <w:sz w:val="20"/>
          <w:szCs w:val="20"/>
          <w:highlight w:val="white"/>
        </w:rPr>
      </w:pPr>
    </w:p>
    <w:p>
      <w:pPr>
        <w:ind w:right="142"/>
        <w:rPr>
          <w:rFonts w:ascii="Calibri" w:hAnsi="Calibri" w:cs="Calibri"/>
          <w:sz w:val="20"/>
          <w:szCs w:val="20"/>
        </w:rPr>
      </w:pPr>
    </w:p>
    <w:p>
      <w:pPr>
        <w:ind w:left="6" w:hanging="6"/>
        <w:rPr>
          <w:rFonts w:ascii="Calibri" w:hAnsi="Calibri" w:cs="Calibri"/>
          <w:sz w:val="20"/>
          <w:szCs w:val="20"/>
        </w:rPr>
      </w:pPr>
      <w:r>
        <w:rPr>
          <w:rFonts w:ascii="Calibri" w:hAnsi="Calibri" w:cs="Calibri"/>
          <w:sz w:val="20"/>
          <w:szCs w:val="20"/>
        </w:rPr>
        <w:t xml:space="preserve">VALOR GLOBAL DA PROPOSTA: </w:t>
      </w:r>
    </w:p>
    <w:p>
      <w:pPr>
        <w:ind w:left="6" w:hanging="6"/>
        <w:rPr>
          <w:rFonts w:ascii="Calibri" w:hAnsi="Calibri" w:cs="Calibri"/>
          <w:sz w:val="20"/>
          <w:szCs w:val="20"/>
        </w:rPr>
      </w:pPr>
    </w:p>
    <w:p>
      <w:pPr>
        <w:ind w:left="6" w:hanging="6"/>
        <w:rPr>
          <w:rFonts w:ascii="Calibri" w:hAnsi="Calibri" w:cs="Calibri"/>
          <w:sz w:val="20"/>
          <w:szCs w:val="20"/>
        </w:rPr>
      </w:pPr>
      <w:r>
        <w:rPr>
          <w:rFonts w:ascii="Calibri" w:hAnsi="Calibri" w:cs="Calibri"/>
          <w:sz w:val="20"/>
          <w:szCs w:val="20"/>
        </w:rPr>
        <w:t xml:space="preserve">VALIDADE DA PROPOSTA: </w:t>
      </w:r>
      <w:bookmarkStart w:id="14" w:name="_GoBack"/>
      <w:bookmarkEnd w:id="14"/>
    </w:p>
    <w:p>
      <w:pPr>
        <w:ind w:left="6" w:hanging="6"/>
        <w:rPr>
          <w:rFonts w:ascii="Calibri" w:hAnsi="Calibri" w:cs="Calibri"/>
          <w:sz w:val="20"/>
          <w:szCs w:val="20"/>
        </w:rPr>
      </w:pPr>
    </w:p>
    <w:p>
      <w:pPr>
        <w:ind w:left="6" w:hanging="6"/>
        <w:rPr>
          <w:rFonts w:ascii="Calibri" w:hAnsi="Calibri" w:cs="Calibri"/>
          <w:sz w:val="20"/>
          <w:szCs w:val="20"/>
        </w:rPr>
      </w:pPr>
      <w:r>
        <w:rPr>
          <w:rFonts w:ascii="Calibri" w:hAnsi="Calibri" w:cs="Calibri"/>
          <w:sz w:val="20"/>
          <w:szCs w:val="20"/>
        </w:rPr>
        <w:t xml:space="preserve">DECLARAMOS QUE ESTAMOS DE ACORDO COM TODAS AS CONDIÇÕES ESTABELECIDAS NO TERMO DE REFERÊNCIA E SEUS ANEXOS. </w:t>
      </w:r>
    </w:p>
    <w:p>
      <w:pPr>
        <w:ind w:right="142"/>
        <w:rPr>
          <w:rFonts w:ascii="Calibri" w:hAnsi="Calibri" w:cs="Calibri"/>
          <w:sz w:val="20"/>
          <w:szCs w:val="20"/>
        </w:rPr>
      </w:pPr>
    </w:p>
    <w:p>
      <w:pPr>
        <w:ind w:right="142"/>
        <w:rPr>
          <w:rFonts w:ascii="Calibri" w:hAnsi="Calibri" w:cs="Calibri"/>
          <w:sz w:val="20"/>
          <w:szCs w:val="20"/>
        </w:rPr>
      </w:pPr>
    </w:p>
    <w:p>
      <w:pPr>
        <w:ind w:right="142"/>
        <w:rPr>
          <w:rFonts w:ascii="Calibri" w:hAnsi="Calibri" w:cs="Calibri"/>
          <w:sz w:val="20"/>
          <w:szCs w:val="20"/>
        </w:rPr>
      </w:pPr>
    </w:p>
    <w:p>
      <w:pPr>
        <w:ind w:right="142"/>
        <w:rPr>
          <w:rFonts w:ascii="Calibri" w:hAnsi="Calibri" w:cs="Calibri"/>
          <w:sz w:val="20"/>
          <w:szCs w:val="20"/>
        </w:rPr>
      </w:pPr>
    </w:p>
    <w:p>
      <w:pPr>
        <w:ind w:right="-285"/>
        <w:jc w:val="center"/>
        <w:rPr>
          <w:rFonts w:ascii="Calibri" w:hAnsi="Calibri" w:cs="Calibri"/>
          <w:bCs/>
          <w:color w:val="000000" w:themeColor="text1"/>
          <w:kern w:val="2"/>
          <w:sz w:val="20"/>
          <w:szCs w:val="20"/>
        </w:rPr>
      </w:pPr>
      <w:r>
        <w:rPr>
          <w:rFonts w:ascii="Calibri" w:hAnsi="Calibri" w:cs="Calibri"/>
          <w:bCs/>
          <w:color w:val="000000" w:themeColor="text1"/>
          <w:kern w:val="2"/>
          <w:sz w:val="20"/>
          <w:szCs w:val="20"/>
        </w:rPr>
        <w:t>Fernando de Noronha,</w:t>
      </w:r>
      <w:r>
        <w:rPr>
          <w:rFonts w:hint="default" w:ascii="Calibri" w:hAnsi="Calibri" w:cs="Calibri"/>
          <w:bCs/>
          <w:color w:val="000000" w:themeColor="text1"/>
          <w:kern w:val="2"/>
          <w:sz w:val="20"/>
          <w:szCs w:val="20"/>
          <w:lang w:val="pt-BR"/>
        </w:rPr>
        <w:t xml:space="preserve"> </w:t>
      </w:r>
      <w:r>
        <w:rPr>
          <w:rFonts w:ascii="Calibri" w:hAnsi="Calibri" w:cs="Calibri"/>
          <w:bCs/>
          <w:color w:val="000000" w:themeColor="text1"/>
          <w:kern w:val="2"/>
          <w:sz w:val="20"/>
          <w:szCs w:val="20"/>
        </w:rPr>
        <w:t>0</w:t>
      </w:r>
      <w:r>
        <w:rPr>
          <w:rFonts w:hint="default" w:ascii="Calibri" w:hAnsi="Calibri" w:cs="Calibri"/>
          <w:bCs/>
          <w:color w:val="000000" w:themeColor="text1"/>
          <w:kern w:val="2"/>
          <w:sz w:val="20"/>
          <w:szCs w:val="20"/>
          <w:lang w:val="pt-BR"/>
        </w:rPr>
        <w:t>9</w:t>
      </w:r>
      <w:r>
        <w:rPr>
          <w:rFonts w:ascii="Calibri" w:hAnsi="Calibri" w:cs="Calibri"/>
          <w:bCs/>
          <w:color w:val="000000" w:themeColor="text1"/>
          <w:kern w:val="2"/>
          <w:sz w:val="20"/>
          <w:szCs w:val="20"/>
        </w:rPr>
        <w:t xml:space="preserve"> de </w:t>
      </w:r>
      <w:r>
        <w:rPr>
          <w:rFonts w:hint="default" w:ascii="Calibri" w:hAnsi="Calibri" w:cs="Calibri"/>
          <w:bCs/>
          <w:color w:val="000000" w:themeColor="text1"/>
          <w:kern w:val="2"/>
          <w:sz w:val="20"/>
          <w:szCs w:val="20"/>
          <w:lang w:val="pt-BR"/>
        </w:rPr>
        <w:t>abril</w:t>
      </w:r>
      <w:r>
        <w:rPr>
          <w:rFonts w:ascii="Calibri" w:hAnsi="Calibri" w:cs="Calibri"/>
          <w:bCs/>
          <w:color w:val="000000" w:themeColor="text1"/>
          <w:kern w:val="2"/>
          <w:sz w:val="20"/>
          <w:szCs w:val="20"/>
        </w:rPr>
        <w:t xml:space="preserve"> de 2024.</w:t>
      </w:r>
    </w:p>
    <w:p>
      <w:pPr>
        <w:ind w:right="-285"/>
        <w:jc w:val="center"/>
        <w:rPr>
          <w:rFonts w:ascii="Calibri" w:hAnsi="Calibri" w:cs="Calibri"/>
          <w:bCs/>
          <w:kern w:val="2"/>
          <w:sz w:val="20"/>
          <w:szCs w:val="20"/>
        </w:rPr>
      </w:pPr>
    </w:p>
    <w:p>
      <w:pPr>
        <w:ind w:right="-285"/>
        <w:jc w:val="center"/>
        <w:rPr>
          <w:rFonts w:ascii="Calibri" w:hAnsi="Calibri" w:cs="Calibri"/>
          <w:bCs/>
          <w:kern w:val="2"/>
          <w:sz w:val="20"/>
          <w:szCs w:val="20"/>
        </w:rPr>
      </w:pPr>
    </w:p>
    <w:p>
      <w:pPr>
        <w:ind w:right="142"/>
        <w:rPr>
          <w:rFonts w:ascii="Calibri" w:hAnsi="Calibri" w:cs="Calibri"/>
          <w:bCs/>
          <w:kern w:val="2"/>
          <w:sz w:val="20"/>
          <w:szCs w:val="20"/>
        </w:rPr>
      </w:pPr>
    </w:p>
    <w:p>
      <w:pPr>
        <w:ind w:right="142"/>
        <w:rPr>
          <w:rFonts w:ascii="Calibri" w:hAnsi="Calibri" w:cs="Calibri"/>
          <w:bCs/>
          <w:kern w:val="2"/>
          <w:sz w:val="20"/>
          <w:szCs w:val="20"/>
        </w:rPr>
      </w:pPr>
    </w:p>
    <w:p>
      <w:pPr>
        <w:ind w:right="142"/>
        <w:rPr>
          <w:rFonts w:ascii="Calibri" w:hAnsi="Calibri" w:cs="Calibri"/>
          <w:sz w:val="20"/>
          <w:szCs w:val="20"/>
        </w:rPr>
      </w:pPr>
      <w:r>
        <w:rPr>
          <w:rFonts w:ascii="Calibri" w:hAnsi="Calibri" w:cs="Calibri"/>
          <w:bCs/>
          <w:kern w:val="2"/>
          <w:sz w:val="20"/>
          <w:szCs w:val="20"/>
        </w:rPr>
        <w:t>___________________________________________________________________________________</w:t>
      </w:r>
    </w:p>
    <w:p>
      <w:pPr>
        <w:pStyle w:val="17"/>
        <w:spacing w:before="0" w:after="240"/>
        <w:ind w:right="142"/>
        <w:rPr>
          <w:rFonts w:ascii="Calibri" w:hAnsi="Calibri" w:eastAsia="Calibri" w:cs="Calibri"/>
        </w:rPr>
      </w:pPr>
      <w:r>
        <w:rPr>
          <w:rFonts w:ascii="Calibri" w:hAnsi="Calibri" w:eastAsia="Calibri" w:cs="Calibri"/>
        </w:rPr>
        <w:t>Mitsy Barros e Medeiros</w:t>
      </w:r>
    </w:p>
    <w:p>
      <w:pPr>
        <w:pStyle w:val="17"/>
        <w:spacing w:before="0" w:after="240"/>
        <w:ind w:right="142"/>
        <w:rPr>
          <w:rFonts w:ascii="Calibri" w:hAnsi="Calibri" w:eastAsia="Calibri" w:cs="Calibri"/>
        </w:rPr>
      </w:pPr>
      <w:r>
        <w:rPr>
          <w:rFonts w:ascii="Calibri" w:hAnsi="Calibri" w:eastAsia="Calibri" w:cs="Calibri"/>
        </w:rPr>
        <w:t>Apoio Institucional da Superintendência de Saúde/FN</w:t>
      </w:r>
    </w:p>
    <w:p>
      <w:pPr>
        <w:pStyle w:val="17"/>
        <w:spacing w:before="0" w:after="240"/>
        <w:ind w:right="142"/>
        <w:rPr>
          <w:rFonts w:ascii="Calibri" w:hAnsi="Calibri" w:eastAsia="Calibri" w:cs="Calibri"/>
        </w:rPr>
      </w:pPr>
      <w:r>
        <w:rPr>
          <w:rFonts w:ascii="Calibri" w:hAnsi="Calibri" w:eastAsia="Calibri" w:cs="Calibri"/>
        </w:rPr>
        <w:t>Responsável pela aprovação do TR</w:t>
      </w:r>
    </w:p>
    <w:p>
      <w:pPr>
        <w:pStyle w:val="17"/>
        <w:spacing w:before="0" w:after="240"/>
        <w:ind w:right="142"/>
        <w:rPr>
          <w:rFonts w:ascii="Calibri" w:hAnsi="Calibri" w:eastAsia="Calibri" w:cs="Calibri"/>
        </w:rPr>
      </w:pPr>
    </w:p>
    <w:p>
      <w:pPr>
        <w:pStyle w:val="17"/>
        <w:spacing w:before="0" w:after="240"/>
        <w:ind w:right="142"/>
        <w:rPr>
          <w:rFonts w:ascii="Calibri" w:hAnsi="Calibri" w:eastAsia="Calibri" w:cs="Calibri"/>
        </w:rPr>
      </w:pPr>
    </w:p>
    <w:p>
      <w:pPr>
        <w:pStyle w:val="17"/>
        <w:spacing w:before="0" w:after="240"/>
        <w:ind w:right="142"/>
        <w:rPr>
          <w:rFonts w:ascii="Calibri" w:hAnsi="Calibri" w:eastAsia="Calibri" w:cs="Calibri"/>
        </w:rPr>
      </w:pPr>
    </w:p>
    <w:p>
      <w:pPr>
        <w:pStyle w:val="17"/>
        <w:spacing w:before="0" w:after="240"/>
        <w:ind w:right="142"/>
        <w:rPr>
          <w:rFonts w:ascii="Calibri" w:hAnsi="Calibri" w:eastAsia="Calibri" w:cs="Calibri"/>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p>
      <w:pPr>
        <w:jc w:val="both"/>
        <w:rPr>
          <w:rFonts w:asciiTheme="minorHAnsi" w:hAnsiTheme="minorHAnsi" w:cstheme="minorHAnsi"/>
          <w:sz w:val="20"/>
          <w:szCs w:val="20"/>
        </w:rPr>
      </w:pPr>
    </w:p>
    <w:sectPr>
      <w:pgSz w:w="11906" w:h="16838"/>
      <w:pgMar w:top="1417" w:right="1701" w:bottom="1417" w:left="1701" w:header="0" w:footer="0" w:gutter="0"/>
      <w:pgNumType w:fmt="decimal"/>
      <w:cols w:space="720" w:num="1"/>
      <w:formProt w:val="0"/>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aria.meira" w:date="2024-04-09T11:16:50Z" w:initials="m">
    <w:p w14:paraId="5E3A11A8">
      <w:pPr>
        <w:pStyle w:val="7"/>
        <w:rPr>
          <w:rFonts w:hint="default"/>
          <w:lang w:val="pt-BR"/>
        </w:rPr>
      </w:pPr>
      <w:r>
        <w:rPr>
          <w:rFonts w:hint="default"/>
          <w:lang w:val="pt-BR"/>
        </w:rPr>
        <w:t>Quantitativo ajustado conforme proposta de preços anexada, caso o valor seja 144, ajustar a prposta de preços utilizada como preço referencial. Não inserir valor ainda, somente após a representação da cotação pela gcompras.</w:t>
      </w:r>
    </w:p>
  </w:comment>
  <w:comment w:id="1" w:author="maria.meira" w:date="2024-04-09T11:41:43Z" w:initials="m">
    <w:p w14:paraId="49602C74">
      <w:pPr>
        <w:pStyle w:val="7"/>
        <w:rPr>
          <w:rFonts w:hint="default"/>
          <w:lang w:val="pt-BR"/>
        </w:rPr>
      </w:pPr>
      <w:r>
        <w:rPr>
          <w:rFonts w:hint="default"/>
          <w:lang w:val="pt-BR"/>
        </w:rPr>
        <w:t>Verificar os documentos que comprovem o quantitativo. Nenhum desses ciktados apresentam a comprovação.</w:t>
      </w:r>
    </w:p>
  </w:comment>
  <w:comment w:id="2" w:author="maria.meira" w:date="2024-04-09T11:43:44Z" w:initials="m">
    <w:p w14:paraId="7B69317F">
      <w:pPr>
        <w:pStyle w:val="7"/>
        <w:rPr>
          <w:rFonts w:hint="default"/>
          <w:lang w:val="pt-BR"/>
        </w:rPr>
      </w:pPr>
      <w:r>
        <w:rPr>
          <w:rFonts w:hint="default"/>
          <w:lang w:val="pt-BR"/>
        </w:rPr>
        <w:t>Preencher após a representação da cotação na GCOMPRAS</w:t>
      </w:r>
    </w:p>
  </w:comment>
  <w:comment w:id="3" w:author="maria.meira" w:date="2024-04-09T11:44:33Z" w:initials="m">
    <w:p w14:paraId="7F911A06">
      <w:pPr>
        <w:pStyle w:val="7"/>
        <w:rPr>
          <w:rFonts w:hint="default"/>
          <w:lang w:val="pt-BR"/>
        </w:rPr>
      </w:pPr>
      <w:r>
        <w:rPr>
          <w:rFonts w:hint="default"/>
          <w:lang w:val="pt-BR"/>
        </w:rPr>
        <w:t>Informar quantitativo conforme documentação que comprove o valor (conforme proposta de preços também)</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E3A11A8" w15:done="0"/>
  <w15:commentEx w15:paraId="49602C74" w15:done="0"/>
  <w15:commentEx w15:paraId="7B69317F" w15:done="0"/>
  <w15:commentEx w15:paraId="7F911A0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Franklin Gothic Book">
    <w:panose1 w:val="020B0503020102020204"/>
    <w:charset w:val="00"/>
    <w:family w:val="roman"/>
    <w:pitch w:val="default"/>
    <w:sig w:usb0="00000287" w:usb1="00000000" w:usb2="00000000" w:usb3="00000000" w:csb0="2000009F" w:csb1="DFD70000"/>
  </w:font>
  <w:font w:name="Liberation Sans">
    <w:altName w:val="Arial"/>
    <w:panose1 w:val="00000000000000000000"/>
    <w:charset w:val="00"/>
    <w:family w:val="swiss"/>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Libre Franklin">
    <w:altName w:val="Segoe Print"/>
    <w:panose1 w:val="00000000000000000000"/>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IXSizeThreeSym">
    <w:panose1 w:val="00000000000000000000"/>
    <w:charset w:val="86"/>
    <w:family w:val="auto"/>
    <w:pitch w:val="default"/>
    <w:sig w:usb0="00000063" w:usb1="000080C4" w:usb2="00000000" w:usb3="00000000" w:csb0="A03E0101" w:csb1="90FE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4"/>
      <w:numFmt w:val="decimal"/>
      <w:lvlText w:val="%1."/>
      <w:lvlJc w:val="left"/>
      <w:pPr>
        <w:tabs>
          <w:tab w:val="left" w:pos="0"/>
        </w:tabs>
        <w:ind w:left="360" w:hanging="360"/>
      </w:pPr>
      <w:rPr>
        <w:b/>
        <w:color w:val="auto"/>
      </w:rPr>
    </w:lvl>
    <w:lvl w:ilvl="1" w:tentative="0">
      <w:start w:val="1"/>
      <w:numFmt w:val="decimal"/>
      <w:lvlText w:val="%1.%2."/>
      <w:lvlJc w:val="left"/>
      <w:pPr>
        <w:tabs>
          <w:tab w:val="left" w:pos="0"/>
        </w:tabs>
        <w:ind w:left="927" w:hanging="360"/>
      </w:pPr>
      <w:rPr>
        <w:b/>
        <w:strike w:val="0"/>
        <w:dstrike w:val="0"/>
        <w:color w:val="auto"/>
      </w:rPr>
    </w:lvl>
    <w:lvl w:ilvl="2" w:tentative="0">
      <w:start w:val="1"/>
      <w:numFmt w:val="decimal"/>
      <w:lvlText w:val="%1.%2.%3."/>
      <w:lvlJc w:val="left"/>
      <w:pPr>
        <w:tabs>
          <w:tab w:val="left" w:pos="0"/>
        </w:tabs>
        <w:ind w:left="1476" w:hanging="720"/>
      </w:pPr>
      <w:rPr>
        <w:b/>
        <w:strike w:val="0"/>
        <w:dstrike w:val="0"/>
        <w:color w:val="auto"/>
      </w:rPr>
    </w:lvl>
    <w:lvl w:ilvl="3" w:tentative="0">
      <w:start w:val="1"/>
      <w:numFmt w:val="decimal"/>
      <w:lvlText w:val="%1.%2.%3.%4."/>
      <w:lvlJc w:val="left"/>
      <w:pPr>
        <w:tabs>
          <w:tab w:val="left" w:pos="0"/>
        </w:tabs>
        <w:ind w:left="1854" w:hanging="720"/>
      </w:pPr>
      <w:rPr>
        <w:b/>
        <w:color w:val="auto"/>
      </w:rPr>
    </w:lvl>
    <w:lvl w:ilvl="4" w:tentative="0">
      <w:start w:val="1"/>
      <w:numFmt w:val="decimal"/>
      <w:lvlText w:val="%1.%2.%3.%4.%5."/>
      <w:lvlJc w:val="left"/>
      <w:pPr>
        <w:tabs>
          <w:tab w:val="left" w:pos="0"/>
        </w:tabs>
        <w:ind w:left="2592" w:hanging="1080"/>
      </w:pPr>
      <w:rPr>
        <w:b/>
        <w:color w:val="auto"/>
      </w:rPr>
    </w:lvl>
    <w:lvl w:ilvl="5" w:tentative="0">
      <w:start w:val="1"/>
      <w:numFmt w:val="decimal"/>
      <w:lvlText w:val="%1.%2.%3.%4.%5.%6."/>
      <w:lvlJc w:val="left"/>
      <w:pPr>
        <w:tabs>
          <w:tab w:val="left" w:pos="0"/>
        </w:tabs>
        <w:ind w:left="2970" w:hanging="1080"/>
      </w:pPr>
      <w:rPr>
        <w:b/>
        <w:color w:val="auto"/>
      </w:rPr>
    </w:lvl>
    <w:lvl w:ilvl="6" w:tentative="0">
      <w:start w:val="1"/>
      <w:numFmt w:val="decimal"/>
      <w:lvlText w:val="%1.%2.%3.%4.%5.%6.%7."/>
      <w:lvlJc w:val="left"/>
      <w:pPr>
        <w:tabs>
          <w:tab w:val="left" w:pos="0"/>
        </w:tabs>
        <w:ind w:left="3348" w:hanging="1080"/>
      </w:pPr>
      <w:rPr>
        <w:b/>
        <w:color w:val="auto"/>
      </w:rPr>
    </w:lvl>
    <w:lvl w:ilvl="7" w:tentative="0">
      <w:start w:val="1"/>
      <w:numFmt w:val="decimal"/>
      <w:lvlText w:val="%1.%2.%3.%4.%5.%6.%7.%8."/>
      <w:lvlJc w:val="left"/>
      <w:pPr>
        <w:tabs>
          <w:tab w:val="left" w:pos="0"/>
        </w:tabs>
        <w:ind w:left="4086" w:hanging="1440"/>
      </w:pPr>
      <w:rPr>
        <w:b/>
        <w:color w:val="auto"/>
      </w:rPr>
    </w:lvl>
    <w:lvl w:ilvl="8" w:tentative="0">
      <w:start w:val="1"/>
      <w:numFmt w:val="decimal"/>
      <w:lvlText w:val="%1.%2.%3.%4.%5.%6.%7.%8.%9."/>
      <w:lvlJc w:val="left"/>
      <w:pPr>
        <w:tabs>
          <w:tab w:val="left" w:pos="0"/>
        </w:tabs>
        <w:ind w:left="4464" w:hanging="1440"/>
      </w:pPr>
      <w:rPr>
        <w:b/>
        <w:color w:val="auto"/>
      </w:rPr>
    </w:lvl>
  </w:abstractNum>
  <w:abstractNum w:abstractNumId="1">
    <w:nsid w:val="C8879AEF"/>
    <w:multiLevelType w:val="multilevel"/>
    <w:tmpl w:val="C8879AEF"/>
    <w:lvl w:ilvl="0" w:tentative="0">
      <w:start w:val="1"/>
      <w:numFmt w:val="decimal"/>
      <w:lvlText w:val="%1."/>
      <w:lvlJc w:val="left"/>
      <w:pPr>
        <w:tabs>
          <w:tab w:val="left" w:pos="0"/>
        </w:tabs>
        <w:ind w:left="720" w:hanging="360"/>
      </w:pPr>
      <w:rPr>
        <w:b/>
        <w:position w:val="0"/>
        <w:sz w:val="22"/>
        <w:vertAlign w:val="baseline"/>
      </w:rPr>
    </w:lvl>
    <w:lvl w:ilvl="1" w:tentative="0">
      <w:start w:val="1"/>
      <w:numFmt w:val="decimal"/>
      <w:lvlText w:val="%2."/>
      <w:lvlJc w:val="left"/>
      <w:pPr>
        <w:tabs>
          <w:tab w:val="left" w:pos="0"/>
        </w:tabs>
        <w:ind w:left="1440" w:hanging="360"/>
      </w:pPr>
      <w:rPr>
        <w:b w:val="0"/>
        <w:color w:val="000000"/>
        <w:position w:val="0"/>
        <w:sz w:val="22"/>
        <w:vertAlign w:val="baseline"/>
      </w:rPr>
    </w:lvl>
    <w:lvl w:ilvl="2" w:tentative="0">
      <w:start w:val="1"/>
      <w:numFmt w:val="decimal"/>
      <w:lvlText w:val="%1.%2.%3."/>
      <w:lvlJc w:val="right"/>
      <w:pPr>
        <w:tabs>
          <w:tab w:val="left" w:pos="0"/>
        </w:tabs>
        <w:ind w:left="2160" w:hanging="360"/>
      </w:pPr>
      <w:rPr>
        <w:position w:val="0"/>
        <w:sz w:val="22"/>
        <w:vertAlign w:val="baseline"/>
      </w:rPr>
    </w:lvl>
    <w:lvl w:ilvl="3" w:tentative="0">
      <w:start w:val="1"/>
      <w:numFmt w:val="decimal"/>
      <w:lvlText w:val="%1.%2.%3.%4."/>
      <w:lvlJc w:val="right"/>
      <w:pPr>
        <w:tabs>
          <w:tab w:val="left" w:pos="0"/>
        </w:tabs>
        <w:ind w:left="2880" w:hanging="360"/>
      </w:pPr>
      <w:rPr>
        <w:position w:val="0"/>
        <w:sz w:val="22"/>
        <w:vertAlign w:val="baseline"/>
      </w:rPr>
    </w:lvl>
    <w:lvl w:ilvl="4" w:tentative="0">
      <w:start w:val="1"/>
      <w:numFmt w:val="decimal"/>
      <w:lvlText w:val="%1.%2.%3.%4.%5."/>
      <w:lvlJc w:val="right"/>
      <w:pPr>
        <w:tabs>
          <w:tab w:val="left" w:pos="0"/>
        </w:tabs>
        <w:ind w:left="3600" w:hanging="360"/>
      </w:pPr>
      <w:rPr>
        <w:position w:val="0"/>
        <w:sz w:val="22"/>
        <w:vertAlign w:val="baseline"/>
      </w:rPr>
    </w:lvl>
    <w:lvl w:ilvl="5" w:tentative="0">
      <w:start w:val="1"/>
      <w:numFmt w:val="decimal"/>
      <w:lvlText w:val="%1.%2.%3.%4.%5.%6."/>
      <w:lvlJc w:val="right"/>
      <w:pPr>
        <w:tabs>
          <w:tab w:val="left" w:pos="0"/>
        </w:tabs>
        <w:ind w:left="4320" w:hanging="360"/>
      </w:pPr>
      <w:rPr>
        <w:position w:val="0"/>
        <w:sz w:val="22"/>
        <w:vertAlign w:val="baseline"/>
      </w:rPr>
    </w:lvl>
    <w:lvl w:ilvl="6" w:tentative="0">
      <w:start w:val="1"/>
      <w:numFmt w:val="decimal"/>
      <w:lvlText w:val="%1.%2.%3.%4.%5.%6.%7."/>
      <w:lvlJc w:val="right"/>
      <w:pPr>
        <w:tabs>
          <w:tab w:val="left" w:pos="0"/>
        </w:tabs>
        <w:ind w:left="5040" w:hanging="360"/>
      </w:pPr>
      <w:rPr>
        <w:position w:val="0"/>
        <w:sz w:val="22"/>
        <w:vertAlign w:val="baseline"/>
      </w:rPr>
    </w:lvl>
    <w:lvl w:ilvl="7" w:tentative="0">
      <w:start w:val="1"/>
      <w:numFmt w:val="decimal"/>
      <w:lvlText w:val="%1.%2.%3.%4.%5.%6.%7.%8."/>
      <w:lvlJc w:val="right"/>
      <w:pPr>
        <w:tabs>
          <w:tab w:val="left" w:pos="0"/>
        </w:tabs>
        <w:ind w:left="5760" w:hanging="360"/>
      </w:pPr>
      <w:rPr>
        <w:position w:val="0"/>
        <w:sz w:val="22"/>
        <w:vertAlign w:val="baseline"/>
      </w:rPr>
    </w:lvl>
    <w:lvl w:ilvl="8" w:tentative="0">
      <w:start w:val="1"/>
      <w:numFmt w:val="decimal"/>
      <w:lvlText w:val="%1.%2.%3.%4.%5.%6.%7.%8.%9."/>
      <w:lvlJc w:val="right"/>
      <w:pPr>
        <w:tabs>
          <w:tab w:val="left" w:pos="0"/>
        </w:tabs>
        <w:ind w:left="6480" w:hanging="360"/>
      </w:pPr>
      <w:rPr>
        <w:position w:val="0"/>
        <w:sz w:val="22"/>
        <w:vertAlign w:val="baseline"/>
      </w:rPr>
    </w:lvl>
  </w:abstractNum>
  <w:abstractNum w:abstractNumId="2">
    <w:nsid w:val="D7F9FE59"/>
    <w:multiLevelType w:val="multilevel"/>
    <w:tmpl w:val="D7F9FE59"/>
    <w:lvl w:ilvl="0" w:tentative="0">
      <w:start w:val="2"/>
      <w:numFmt w:val="decimalZero"/>
      <w:lvlText w:val="%1"/>
      <w:lvlJc w:val="left"/>
      <w:pPr>
        <w:tabs>
          <w:tab w:val="left" w:pos="0"/>
        </w:tabs>
        <w:ind w:left="786" w:hanging="360"/>
      </w:pPr>
    </w:lvl>
    <w:lvl w:ilvl="1" w:tentative="0">
      <w:start w:val="1"/>
      <w:numFmt w:val="lowerLetter"/>
      <w:lvlText w:val="%2."/>
      <w:lvlJc w:val="left"/>
      <w:pPr>
        <w:tabs>
          <w:tab w:val="left" w:pos="0"/>
        </w:tabs>
        <w:ind w:left="1506" w:hanging="360"/>
      </w:pPr>
    </w:lvl>
    <w:lvl w:ilvl="2" w:tentative="0">
      <w:start w:val="1"/>
      <w:numFmt w:val="lowerRoman"/>
      <w:lvlText w:val="%3."/>
      <w:lvlJc w:val="right"/>
      <w:pPr>
        <w:tabs>
          <w:tab w:val="left" w:pos="0"/>
        </w:tabs>
        <w:ind w:left="2226" w:hanging="180"/>
      </w:pPr>
    </w:lvl>
    <w:lvl w:ilvl="3" w:tentative="0">
      <w:start w:val="1"/>
      <w:numFmt w:val="decimal"/>
      <w:lvlText w:val="%4."/>
      <w:lvlJc w:val="left"/>
      <w:pPr>
        <w:tabs>
          <w:tab w:val="left" w:pos="0"/>
        </w:tabs>
        <w:ind w:left="2946" w:hanging="360"/>
      </w:pPr>
    </w:lvl>
    <w:lvl w:ilvl="4" w:tentative="0">
      <w:start w:val="1"/>
      <w:numFmt w:val="lowerLetter"/>
      <w:lvlText w:val="%5."/>
      <w:lvlJc w:val="left"/>
      <w:pPr>
        <w:tabs>
          <w:tab w:val="left" w:pos="0"/>
        </w:tabs>
        <w:ind w:left="3666" w:hanging="360"/>
      </w:pPr>
    </w:lvl>
    <w:lvl w:ilvl="5" w:tentative="0">
      <w:start w:val="1"/>
      <w:numFmt w:val="lowerRoman"/>
      <w:lvlText w:val="%6."/>
      <w:lvlJc w:val="right"/>
      <w:pPr>
        <w:tabs>
          <w:tab w:val="left" w:pos="0"/>
        </w:tabs>
        <w:ind w:left="4386" w:hanging="180"/>
      </w:pPr>
    </w:lvl>
    <w:lvl w:ilvl="6" w:tentative="0">
      <w:start w:val="1"/>
      <w:numFmt w:val="decimal"/>
      <w:lvlText w:val="%7."/>
      <w:lvlJc w:val="left"/>
      <w:pPr>
        <w:tabs>
          <w:tab w:val="left" w:pos="0"/>
        </w:tabs>
        <w:ind w:left="5106" w:hanging="360"/>
      </w:pPr>
    </w:lvl>
    <w:lvl w:ilvl="7" w:tentative="0">
      <w:start w:val="1"/>
      <w:numFmt w:val="lowerLetter"/>
      <w:lvlText w:val="%8."/>
      <w:lvlJc w:val="left"/>
      <w:pPr>
        <w:tabs>
          <w:tab w:val="left" w:pos="0"/>
        </w:tabs>
        <w:ind w:left="5826" w:hanging="360"/>
      </w:pPr>
    </w:lvl>
    <w:lvl w:ilvl="8" w:tentative="0">
      <w:start w:val="1"/>
      <w:numFmt w:val="lowerRoman"/>
      <w:lvlText w:val="%9."/>
      <w:lvlJc w:val="right"/>
      <w:pPr>
        <w:tabs>
          <w:tab w:val="left" w:pos="0"/>
        </w:tabs>
        <w:ind w:left="6546" w:hanging="180"/>
      </w:pPr>
    </w:lvl>
  </w:abstractNum>
  <w:abstractNum w:abstractNumId="3">
    <w:nsid w:val="DCBA6B53"/>
    <w:multiLevelType w:val="multilevel"/>
    <w:tmpl w:val="DCBA6B53"/>
    <w:lvl w:ilvl="0" w:tentative="0">
      <w:start w:val="2"/>
      <w:numFmt w:val="decimal"/>
      <w:lvlText w:val="%1."/>
      <w:lvlJc w:val="left"/>
      <w:pPr>
        <w:tabs>
          <w:tab w:val="left" w:pos="0"/>
        </w:tabs>
        <w:ind w:left="360" w:hanging="360"/>
      </w:pPr>
      <w:rPr>
        <w:b/>
        <w:color w:val="000000"/>
        <w:position w:val="0"/>
        <w:sz w:val="22"/>
        <w:vertAlign w:val="baseline"/>
      </w:rPr>
    </w:lvl>
    <w:lvl w:ilvl="1" w:tentative="0">
      <w:start w:val="1"/>
      <w:numFmt w:val="decimal"/>
      <w:lvlText w:val="%1.%2."/>
      <w:lvlJc w:val="left"/>
      <w:pPr>
        <w:tabs>
          <w:tab w:val="left" w:pos="0"/>
        </w:tabs>
        <w:ind w:left="360" w:hanging="360"/>
      </w:pPr>
      <w:rPr>
        <w:rFonts w:ascii="Calibri" w:hAnsi="Calibri" w:eastAsia="Calibri" w:cs="Calibri"/>
        <w:b/>
        <w:color w:val="000000"/>
        <w:position w:val="0"/>
        <w:sz w:val="22"/>
        <w:vertAlign w:val="baseline"/>
      </w:rPr>
    </w:lvl>
    <w:lvl w:ilvl="2" w:tentative="0">
      <w:start w:val="1"/>
      <w:numFmt w:val="decimal"/>
      <w:lvlText w:val="%1.%2.%3."/>
      <w:lvlJc w:val="left"/>
      <w:pPr>
        <w:tabs>
          <w:tab w:val="left" w:pos="0"/>
        </w:tabs>
        <w:ind w:left="720" w:hanging="720"/>
      </w:pPr>
      <w:rPr>
        <w:rFonts w:ascii="Calibri" w:hAnsi="Calibri" w:eastAsia="Calibri" w:cs="Calibri"/>
        <w:b w:val="0"/>
        <w:i w:val="0"/>
        <w:color w:val="000000"/>
        <w:position w:val="0"/>
        <w:sz w:val="22"/>
        <w:vertAlign w:val="baseline"/>
      </w:rPr>
    </w:lvl>
    <w:lvl w:ilvl="3" w:tentative="0">
      <w:start w:val="1"/>
      <w:numFmt w:val="lowerLetter"/>
      <w:lvlText w:val="%4)"/>
      <w:lvlJc w:val="left"/>
      <w:pPr>
        <w:tabs>
          <w:tab w:val="left" w:pos="0"/>
        </w:tabs>
        <w:ind w:left="720" w:hanging="720"/>
      </w:pPr>
      <w:rPr>
        <w:rFonts w:ascii="Calibri" w:hAnsi="Calibri" w:eastAsia="Calibri" w:cs="Calibri"/>
        <w:b w:val="0"/>
        <w:color w:val="000000"/>
        <w:position w:val="0"/>
        <w:sz w:val="22"/>
        <w:vertAlign w:val="baseline"/>
      </w:rPr>
    </w:lvl>
    <w:lvl w:ilvl="4" w:tentative="0">
      <w:start w:val="1"/>
      <w:numFmt w:val="decimal"/>
      <w:lvlText w:val="%1.%2.%3.%4.%5."/>
      <w:lvlJc w:val="left"/>
      <w:pPr>
        <w:tabs>
          <w:tab w:val="left" w:pos="0"/>
        </w:tabs>
        <w:ind w:left="1080" w:hanging="1080"/>
      </w:pPr>
      <w:rPr>
        <w:b w:val="0"/>
        <w:color w:val="000000"/>
        <w:position w:val="0"/>
        <w:sz w:val="22"/>
        <w:vertAlign w:val="baseline"/>
      </w:rPr>
    </w:lvl>
    <w:lvl w:ilvl="5" w:tentative="0">
      <w:start w:val="1"/>
      <w:numFmt w:val="decimal"/>
      <w:lvlText w:val="%1.%2.%3.%4.%5.%6."/>
      <w:lvlJc w:val="left"/>
      <w:pPr>
        <w:tabs>
          <w:tab w:val="left" w:pos="0"/>
        </w:tabs>
        <w:ind w:left="1080" w:hanging="1080"/>
      </w:pPr>
      <w:rPr>
        <w:b w:val="0"/>
        <w:color w:val="000000"/>
        <w:position w:val="0"/>
        <w:sz w:val="22"/>
        <w:vertAlign w:val="baseline"/>
      </w:rPr>
    </w:lvl>
    <w:lvl w:ilvl="6" w:tentative="0">
      <w:start w:val="1"/>
      <w:numFmt w:val="decimal"/>
      <w:lvlText w:val="%1.%2.%3.%4.%5.%6.%7."/>
      <w:lvlJc w:val="left"/>
      <w:pPr>
        <w:tabs>
          <w:tab w:val="left" w:pos="0"/>
        </w:tabs>
        <w:ind w:left="1440" w:hanging="1440"/>
      </w:pPr>
      <w:rPr>
        <w:b w:val="0"/>
        <w:color w:val="000000"/>
        <w:position w:val="0"/>
        <w:sz w:val="22"/>
        <w:vertAlign w:val="baseline"/>
      </w:rPr>
    </w:lvl>
    <w:lvl w:ilvl="7" w:tentative="0">
      <w:start w:val="1"/>
      <w:numFmt w:val="decimal"/>
      <w:lvlText w:val="%1.%2.%3.%4.%5.%6.%7.%8."/>
      <w:lvlJc w:val="left"/>
      <w:pPr>
        <w:tabs>
          <w:tab w:val="left" w:pos="0"/>
        </w:tabs>
        <w:ind w:left="1440" w:hanging="1440"/>
      </w:pPr>
      <w:rPr>
        <w:b w:val="0"/>
        <w:color w:val="000000"/>
        <w:position w:val="0"/>
        <w:sz w:val="22"/>
        <w:vertAlign w:val="baseline"/>
      </w:rPr>
    </w:lvl>
    <w:lvl w:ilvl="8" w:tentative="0">
      <w:start w:val="1"/>
      <w:numFmt w:val="decimal"/>
      <w:lvlText w:val="%1.%2.%3.%4.%5.%6.%7.%8.%9."/>
      <w:lvlJc w:val="left"/>
      <w:pPr>
        <w:tabs>
          <w:tab w:val="left" w:pos="0"/>
        </w:tabs>
        <w:ind w:left="1800" w:hanging="1800"/>
      </w:pPr>
      <w:rPr>
        <w:b w:val="0"/>
        <w:color w:val="000000"/>
        <w:position w:val="0"/>
        <w:sz w:val="22"/>
        <w:vertAlign w:val="baseline"/>
      </w:rPr>
    </w:lvl>
  </w:abstractNum>
  <w:abstractNum w:abstractNumId="4">
    <w:nsid w:val="F4B5D9F5"/>
    <w:multiLevelType w:val="multilevel"/>
    <w:tmpl w:val="F4B5D9F5"/>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1440" w:hanging="360"/>
      </w:pPr>
      <w:rPr>
        <w:b/>
        <w:color w:val="000000"/>
      </w:rPr>
    </w:lvl>
    <w:lvl w:ilvl="2" w:tentative="0">
      <w:start w:val="1"/>
      <w:numFmt w:val="decimal"/>
      <w:lvlText w:val="%1.%2.%3."/>
      <w:lvlJc w:val="left"/>
      <w:pPr>
        <w:tabs>
          <w:tab w:val="left" w:pos="0"/>
        </w:tabs>
        <w:ind w:left="2880" w:hanging="720"/>
      </w:pPr>
    </w:lvl>
    <w:lvl w:ilvl="3" w:tentative="0">
      <w:start w:val="1"/>
      <w:numFmt w:val="decimal"/>
      <w:lvlText w:val="%1.%2.%3.%4."/>
      <w:lvlJc w:val="left"/>
      <w:pPr>
        <w:tabs>
          <w:tab w:val="left" w:pos="0"/>
        </w:tabs>
        <w:ind w:left="3960" w:hanging="720"/>
      </w:pPr>
    </w:lvl>
    <w:lvl w:ilvl="4" w:tentative="0">
      <w:start w:val="1"/>
      <w:numFmt w:val="decimal"/>
      <w:lvlText w:val="%1.%2.%3.%4.%5."/>
      <w:lvlJc w:val="left"/>
      <w:pPr>
        <w:tabs>
          <w:tab w:val="left" w:pos="0"/>
        </w:tabs>
        <w:ind w:left="5400" w:hanging="1080"/>
      </w:pPr>
    </w:lvl>
    <w:lvl w:ilvl="5" w:tentative="0">
      <w:start w:val="1"/>
      <w:numFmt w:val="decimal"/>
      <w:lvlText w:val="%1.%2.%3.%4.%5.%6."/>
      <w:lvlJc w:val="left"/>
      <w:pPr>
        <w:tabs>
          <w:tab w:val="left" w:pos="0"/>
        </w:tabs>
        <w:ind w:left="6480" w:hanging="1080"/>
      </w:pPr>
    </w:lvl>
    <w:lvl w:ilvl="6" w:tentative="0">
      <w:start w:val="1"/>
      <w:numFmt w:val="decimal"/>
      <w:lvlText w:val="%1.%2.%3.%4.%5.%6.%7."/>
      <w:lvlJc w:val="left"/>
      <w:pPr>
        <w:tabs>
          <w:tab w:val="left" w:pos="0"/>
        </w:tabs>
        <w:ind w:left="7560" w:hanging="1080"/>
      </w:pPr>
    </w:lvl>
    <w:lvl w:ilvl="7" w:tentative="0">
      <w:start w:val="1"/>
      <w:numFmt w:val="decimal"/>
      <w:lvlText w:val="%1.%2.%3.%4.%5.%6.%7.%8."/>
      <w:lvlJc w:val="left"/>
      <w:pPr>
        <w:tabs>
          <w:tab w:val="left" w:pos="0"/>
        </w:tabs>
        <w:ind w:left="9000" w:hanging="1440"/>
      </w:pPr>
    </w:lvl>
    <w:lvl w:ilvl="8" w:tentative="0">
      <w:start w:val="1"/>
      <w:numFmt w:val="decimal"/>
      <w:lvlText w:val="%1.%2.%3.%4.%5.%6.%7.%8.%9."/>
      <w:lvlJc w:val="left"/>
      <w:pPr>
        <w:tabs>
          <w:tab w:val="left" w:pos="0"/>
        </w:tabs>
        <w:ind w:left="10080" w:hanging="1440"/>
      </w:pPr>
    </w:lvl>
  </w:abstractNum>
  <w:abstractNum w:abstractNumId="5">
    <w:nsid w:val="46A08BB8"/>
    <w:multiLevelType w:val="multilevel"/>
    <w:tmpl w:val="46A08BB8"/>
    <w:lvl w:ilvl="0" w:tentative="0">
      <w:start w:val="1"/>
      <w:numFmt w:val="decimal"/>
      <w:lvlText w:val="%1."/>
      <w:lvlJc w:val="left"/>
      <w:pPr>
        <w:tabs>
          <w:tab w:val="left" w:pos="0"/>
        </w:tabs>
        <w:ind w:left="360" w:hanging="360"/>
      </w:pPr>
      <w:rPr>
        <w:b/>
      </w:rPr>
    </w:lvl>
    <w:lvl w:ilvl="1" w:tentative="0">
      <w:start w:val="1"/>
      <w:numFmt w:val="decimal"/>
      <w:lvlText w:val="%1.%2."/>
      <w:lvlJc w:val="left"/>
      <w:pPr>
        <w:tabs>
          <w:tab w:val="left" w:pos="0"/>
        </w:tabs>
        <w:ind w:left="792" w:hanging="432"/>
      </w:pPr>
      <w:rPr>
        <w:b w:val="0"/>
        <w:i w:val="0"/>
        <w:iCs/>
      </w:rPr>
    </w:lvl>
    <w:lvl w:ilvl="2" w:tentative="0">
      <w:start w:val="1"/>
      <w:numFmt w:val="upperRoman"/>
      <w:lvlText w:val="%3."/>
      <w:lvlJc w:val="left"/>
      <w:pPr>
        <w:tabs>
          <w:tab w:val="left" w:pos="0"/>
        </w:tabs>
        <w:ind w:left="1224" w:hanging="504"/>
      </w:pPr>
      <w:rPr>
        <w:rFonts w:ascii="Times New Roman" w:hAnsi="Times New Roman" w:eastAsia="Times New Roman" w:cs="Arial"/>
        <w:b w:val="0"/>
        <w:i w:val="0"/>
        <w:iCs/>
        <w:color w:val="auto"/>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6">
    <w:nsid w:val="4C1BAE26"/>
    <w:multiLevelType w:val="multilevel"/>
    <w:tmpl w:val="4C1BAE26"/>
    <w:lvl w:ilvl="0" w:tentative="0">
      <w:start w:val="5"/>
      <w:numFmt w:val="decimal"/>
      <w:lvlText w:val="%1"/>
      <w:lvlJc w:val="left"/>
      <w:pPr>
        <w:tabs>
          <w:tab w:val="left" w:pos="0"/>
        </w:tabs>
        <w:ind w:left="360" w:hanging="360"/>
      </w:pPr>
      <w:rPr>
        <w:b/>
        <w:color w:val="auto"/>
      </w:rPr>
    </w:lvl>
    <w:lvl w:ilvl="1" w:tentative="0">
      <w:start w:val="1"/>
      <w:numFmt w:val="decimal"/>
      <w:lvlText w:val="%1.%2"/>
      <w:lvlJc w:val="left"/>
      <w:pPr>
        <w:tabs>
          <w:tab w:val="left" w:pos="0"/>
        </w:tabs>
        <w:ind w:left="1069" w:hanging="360"/>
      </w:pPr>
      <w:rPr>
        <w:b/>
        <w:color w:val="auto"/>
      </w:rPr>
    </w:lvl>
    <w:lvl w:ilvl="2" w:tentative="0">
      <w:start w:val="1"/>
      <w:numFmt w:val="decimal"/>
      <w:lvlText w:val="%1.%2.%3"/>
      <w:lvlJc w:val="left"/>
      <w:pPr>
        <w:tabs>
          <w:tab w:val="left" w:pos="0"/>
        </w:tabs>
        <w:ind w:left="2138" w:hanging="720"/>
      </w:pPr>
      <w:rPr>
        <w:b/>
        <w:color w:val="auto"/>
      </w:rPr>
    </w:lvl>
    <w:lvl w:ilvl="3" w:tentative="0">
      <w:start w:val="1"/>
      <w:numFmt w:val="decimal"/>
      <w:lvlText w:val="%1.%2.%3.%4"/>
      <w:lvlJc w:val="left"/>
      <w:pPr>
        <w:tabs>
          <w:tab w:val="left" w:pos="0"/>
        </w:tabs>
        <w:ind w:left="2847" w:hanging="720"/>
      </w:pPr>
      <w:rPr>
        <w:b/>
        <w:color w:val="auto"/>
      </w:rPr>
    </w:lvl>
    <w:lvl w:ilvl="4" w:tentative="0">
      <w:start w:val="1"/>
      <w:numFmt w:val="decimal"/>
      <w:lvlText w:val="%1.%2.%3.%4.%5"/>
      <w:lvlJc w:val="left"/>
      <w:pPr>
        <w:tabs>
          <w:tab w:val="left" w:pos="0"/>
        </w:tabs>
        <w:ind w:left="3556" w:hanging="720"/>
      </w:pPr>
      <w:rPr>
        <w:b/>
        <w:color w:val="auto"/>
      </w:rPr>
    </w:lvl>
    <w:lvl w:ilvl="5" w:tentative="0">
      <w:start w:val="1"/>
      <w:numFmt w:val="decimal"/>
      <w:lvlText w:val="%1.%2.%3.%4.%5.%6"/>
      <w:lvlJc w:val="left"/>
      <w:pPr>
        <w:tabs>
          <w:tab w:val="left" w:pos="0"/>
        </w:tabs>
        <w:ind w:left="4625" w:hanging="1080"/>
      </w:pPr>
      <w:rPr>
        <w:b/>
        <w:color w:val="auto"/>
      </w:rPr>
    </w:lvl>
    <w:lvl w:ilvl="6" w:tentative="0">
      <w:start w:val="1"/>
      <w:numFmt w:val="decimal"/>
      <w:lvlText w:val="%1.%2.%3.%4.%5.%6.%7"/>
      <w:lvlJc w:val="left"/>
      <w:pPr>
        <w:tabs>
          <w:tab w:val="left" w:pos="0"/>
        </w:tabs>
        <w:ind w:left="5334" w:hanging="1080"/>
      </w:pPr>
      <w:rPr>
        <w:b/>
        <w:color w:val="auto"/>
      </w:rPr>
    </w:lvl>
    <w:lvl w:ilvl="7" w:tentative="0">
      <w:start w:val="1"/>
      <w:numFmt w:val="decimal"/>
      <w:lvlText w:val="%1.%2.%3.%4.%5.%6.%7.%8"/>
      <w:lvlJc w:val="left"/>
      <w:pPr>
        <w:tabs>
          <w:tab w:val="left" w:pos="0"/>
        </w:tabs>
        <w:ind w:left="6403" w:hanging="1440"/>
      </w:pPr>
      <w:rPr>
        <w:b/>
        <w:color w:val="auto"/>
      </w:rPr>
    </w:lvl>
    <w:lvl w:ilvl="8" w:tentative="0">
      <w:start w:val="1"/>
      <w:numFmt w:val="decimal"/>
      <w:lvlText w:val="%1.%2.%3.%4.%5.%6.%7.%8.%9"/>
      <w:lvlJc w:val="left"/>
      <w:pPr>
        <w:tabs>
          <w:tab w:val="left" w:pos="0"/>
        </w:tabs>
        <w:ind w:left="7112" w:hanging="1440"/>
      </w:pPr>
      <w:rPr>
        <w:b/>
        <w:color w:val="auto"/>
      </w:rPr>
    </w:lvl>
  </w:abstractNum>
  <w:abstractNum w:abstractNumId="7">
    <w:nsid w:val="60382F6E"/>
    <w:multiLevelType w:val="multilevel"/>
    <w:tmpl w:val="60382F6E"/>
    <w:lvl w:ilvl="0" w:tentative="0">
      <w:start w:val="11"/>
      <w:numFmt w:val="decimal"/>
      <w:lvlText w:val="%1"/>
      <w:lvlJc w:val="left"/>
      <w:pPr>
        <w:tabs>
          <w:tab w:val="left" w:pos="0"/>
        </w:tabs>
        <w:ind w:left="660" w:hanging="660"/>
      </w:pPr>
    </w:lvl>
    <w:lvl w:ilvl="1" w:tentative="0">
      <w:start w:val="3"/>
      <w:numFmt w:val="decimal"/>
      <w:lvlText w:val="%1.%2"/>
      <w:lvlJc w:val="left"/>
      <w:pPr>
        <w:tabs>
          <w:tab w:val="left" w:pos="0"/>
        </w:tabs>
        <w:ind w:left="660" w:hanging="660"/>
      </w:pPr>
    </w:lvl>
    <w:lvl w:ilvl="2" w:tentative="0">
      <w:start w:val="2"/>
      <w:numFmt w:val="decimal"/>
      <w:lvlText w:val="%1.%2.%3"/>
      <w:lvlJc w:val="left"/>
      <w:pPr>
        <w:tabs>
          <w:tab w:val="left" w:pos="0"/>
        </w:tabs>
        <w:ind w:left="720" w:hanging="720"/>
      </w:pPr>
    </w:lvl>
    <w:lvl w:ilvl="3" w:tentative="0">
      <w:start w:val="1"/>
      <w:numFmt w:val="decimal"/>
      <w:lvlText w:val="%1.%2.%3.%4"/>
      <w:lvlJc w:val="left"/>
      <w:pPr>
        <w:tabs>
          <w:tab w:val="left" w:pos="0"/>
        </w:tabs>
        <w:ind w:left="720" w:hanging="720"/>
      </w:pPr>
    </w:lvl>
    <w:lvl w:ilvl="4" w:tentative="0">
      <w:start w:val="1"/>
      <w:numFmt w:val="decimal"/>
      <w:lvlText w:val="%1.%2.%3.%4.%5"/>
      <w:lvlJc w:val="left"/>
      <w:pPr>
        <w:tabs>
          <w:tab w:val="left" w:pos="0"/>
        </w:tabs>
        <w:ind w:left="720" w:hanging="720"/>
      </w:pPr>
    </w:lvl>
    <w:lvl w:ilvl="5" w:tentative="0">
      <w:start w:val="1"/>
      <w:numFmt w:val="decimal"/>
      <w:lvlText w:val="%1.%2.%3.%4.%5.%6"/>
      <w:lvlJc w:val="left"/>
      <w:pPr>
        <w:tabs>
          <w:tab w:val="left" w:pos="0"/>
        </w:tabs>
        <w:ind w:left="1080" w:hanging="1080"/>
      </w:pPr>
    </w:lvl>
    <w:lvl w:ilvl="6" w:tentative="0">
      <w:start w:val="1"/>
      <w:numFmt w:val="decimal"/>
      <w:lvlText w:val="%1.%2.%3.%4.%5.%6.%7"/>
      <w:lvlJc w:val="left"/>
      <w:pPr>
        <w:tabs>
          <w:tab w:val="left" w:pos="0"/>
        </w:tabs>
        <w:ind w:left="1080" w:hanging="1080"/>
      </w:pPr>
    </w:lvl>
    <w:lvl w:ilvl="7" w:tentative="0">
      <w:start w:val="1"/>
      <w:numFmt w:val="decimal"/>
      <w:lvlText w:val="%1.%2.%3.%4.%5.%6.%7.%8"/>
      <w:lvlJc w:val="left"/>
      <w:pPr>
        <w:tabs>
          <w:tab w:val="left" w:pos="0"/>
        </w:tabs>
        <w:ind w:left="1440" w:hanging="1440"/>
      </w:pPr>
    </w:lvl>
    <w:lvl w:ilvl="8" w:tentative="0">
      <w:start w:val="1"/>
      <w:numFmt w:val="decimal"/>
      <w:lvlText w:val="%1.%2.%3.%4.%5.%6.%7.%8.%9"/>
      <w:lvlJc w:val="left"/>
      <w:pPr>
        <w:tabs>
          <w:tab w:val="left" w:pos="0"/>
        </w:tabs>
        <w:ind w:left="1440" w:hanging="1440"/>
      </w:pPr>
    </w:lvl>
  </w:abstractNum>
  <w:num w:numId="1">
    <w:abstractNumId w:val="1"/>
    <w:lvlOverride w:ilvl="0">
      <w:startOverride w:val="1"/>
    </w:lvlOverride>
  </w:num>
  <w:num w:numId="2">
    <w:abstractNumId w:val="4"/>
    <w:lvlOverride w:ilvl="0">
      <w:startOverride w:val="1"/>
    </w:lvlOverride>
    <w:lvlOverride w:ilvl="1">
      <w:startOverride w:val="1"/>
    </w:lvlOverride>
  </w:num>
  <w:num w:numId="3">
    <w:abstractNumId w:val="4"/>
  </w:num>
  <w:num w:numId="4">
    <w:abstractNumId w:val="3"/>
  </w:num>
  <w:num w:numId="5">
    <w:abstractNumId w:val="2"/>
  </w:num>
  <w:num w:numId="6">
    <w:abstractNumId w:val="0"/>
  </w:num>
  <w:num w:numId="7">
    <w:abstractNumId w:val="6"/>
  </w:num>
  <w:num w:numId="8">
    <w:abstractNumId w:val="7"/>
    <w:lvlOverride w:ilvl="0">
      <w:startOverride w:val="11"/>
    </w:lvlOverride>
    <w:lvlOverride w:ilvl="1">
      <w:startOverride w:val="3"/>
    </w:lvlOverride>
    <w:lvlOverride w:ilvl="2">
      <w:startOverride w:val="2"/>
    </w:lvlOverride>
    <w:lvlOverride w:ilvl="3">
      <w:startOverride w:val="1"/>
    </w:lvlOverride>
  </w:num>
  <w:num w:numId="9">
    <w:abstractNumId w:val="5"/>
    <w:lvlOverride w:ilvl="0">
      <w:startOverride w:val="1"/>
    </w:lvlOverride>
    <w:lvlOverride w:ilvl="1">
      <w:startOverride w:val="1"/>
    </w:lvlOverride>
    <w:lvlOverride w:ilvl="2">
      <w:startOverride w:val="1"/>
    </w:lvlOverride>
  </w:num>
  <w:num w:numId="1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aria.meira">
    <w15:presenceInfo w15:providerId="None" w15:userId="maria.mei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autoHyphenation/>
  <w:displayHorizontalDrawingGridEvery w:val="1"/>
  <w:displayVerticalDrawingGridEvery w:val="1"/>
  <w:noPunctuationKerning w:val="1"/>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2310447C"/>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semiHidden="0" w:name="List Paragraph"/>
  </w:latentStyles>
  <w:style w:type="paragraph" w:default="1" w:styleId="1">
    <w:name w:val="Normal"/>
    <w:qFormat/>
    <w:uiPriority w:val="0"/>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pt-BR" w:eastAsia="pt-BR"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semiHidden/>
    <w:unhideWhenUsed/>
    <w:qFormat/>
    <w:uiPriority w:val="0"/>
    <w:rPr>
      <w:color w:val="0000FF"/>
      <w:w w:val="100"/>
      <w:position w:val="0"/>
      <w:sz w:val="22"/>
      <w:u w:val="single"/>
      <w:vertAlign w:val="baseline"/>
    </w:rPr>
  </w:style>
  <w:style w:type="paragraph" w:styleId="5">
    <w:name w:val="List"/>
    <w:basedOn w:val="6"/>
    <w:qFormat/>
    <w:uiPriority w:val="0"/>
    <w:rPr>
      <w:rFonts w:cs="Arial"/>
    </w:rPr>
  </w:style>
  <w:style w:type="paragraph" w:styleId="6">
    <w:name w:val="Body Text"/>
    <w:basedOn w:val="1"/>
    <w:qFormat/>
    <w:uiPriority w:val="0"/>
    <w:pPr>
      <w:spacing w:before="0" w:after="140" w:line="276" w:lineRule="auto"/>
    </w:pPr>
  </w:style>
  <w:style w:type="paragraph" w:styleId="7">
    <w:name w:val="annotation text"/>
    <w:basedOn w:val="1"/>
    <w:semiHidden/>
    <w:unhideWhenUsed/>
    <w:uiPriority w:val="99"/>
    <w:pPr>
      <w:jc w:val="left"/>
    </w:pPr>
  </w:style>
  <w:style w:type="paragraph" w:styleId="8">
    <w:name w:val="Normal (Web)"/>
    <w:semiHidden/>
    <w:unhideWhenUsed/>
    <w:uiPriority w:val="99"/>
    <w:pPr>
      <w:spacing w:before="0" w:beforeAutospacing="1" w:after="0" w:afterAutospacing="1"/>
      <w:ind w:left="0" w:right="0"/>
      <w:jc w:val="left"/>
    </w:pPr>
    <w:rPr>
      <w:kern w:val="0"/>
      <w:szCs w:val="24"/>
      <w:lang w:val="en-US" w:eastAsia="zh-CN" w:bidi="ar"/>
    </w:rPr>
  </w:style>
  <w:style w:type="paragraph" w:styleId="9">
    <w:name w:val="header"/>
    <w:basedOn w:val="1"/>
    <w:link w:val="11"/>
    <w:semiHidden/>
    <w:unhideWhenUsed/>
    <w:qFormat/>
    <w:uiPriority w:val="0"/>
    <w:pPr>
      <w:suppressAutoHyphens/>
      <w:ind w:left="-1" w:hanging="1"/>
      <w:outlineLvl w:val="0"/>
    </w:pPr>
    <w:rPr>
      <w:rFonts w:ascii="Franklin Gothic Book" w:hAnsi="Franklin Gothic Book" w:eastAsia="Franklin Gothic Book"/>
      <w:position w:val="-1"/>
      <w:sz w:val="20"/>
      <w:szCs w:val="20"/>
    </w:rPr>
  </w:style>
  <w:style w:type="paragraph" w:styleId="10">
    <w:name w:val="caption"/>
    <w:basedOn w:val="1"/>
    <w:qFormat/>
    <w:uiPriority w:val="0"/>
    <w:pPr>
      <w:suppressLineNumbers/>
      <w:spacing w:before="120" w:after="120"/>
    </w:pPr>
    <w:rPr>
      <w:rFonts w:cs="Arial"/>
      <w:i/>
      <w:iCs/>
      <w:sz w:val="24"/>
      <w:szCs w:val="24"/>
    </w:rPr>
  </w:style>
  <w:style w:type="character" w:customStyle="1" w:styleId="11">
    <w:name w:val="Cabeçalho Char"/>
    <w:basedOn w:val="2"/>
    <w:link w:val="9"/>
    <w:semiHidden/>
    <w:qFormat/>
    <w:uiPriority w:val="0"/>
    <w:rPr>
      <w:rFonts w:ascii="Franklin Gothic Book" w:hAnsi="Franklin Gothic Book" w:eastAsia="Franklin Gothic Book" w:cs="Times New Roman"/>
      <w:sz w:val="20"/>
      <w:szCs w:val="20"/>
      <w:vertAlign w:val="subscript"/>
      <w:lang w:eastAsia="pt-BR"/>
    </w:rPr>
  </w:style>
  <w:style w:type="character" w:customStyle="1" w:styleId="12">
    <w:name w:val="Título 2 Char"/>
    <w:qFormat/>
    <w:uiPriority w:val="0"/>
    <w:rPr>
      <w:rFonts w:ascii="Arial" w:hAnsi="Arial" w:eastAsia="Times New Roman" w:cs="Times New Roman"/>
      <w:w w:val="100"/>
      <w:position w:val="0"/>
      <w:sz w:val="20"/>
      <w:szCs w:val="24"/>
      <w:vertAlign w:val="baseline"/>
      <w:lang w:eastAsia="pt-BR"/>
    </w:rPr>
  </w:style>
  <w:style w:type="paragraph" w:customStyle="1" w:styleId="13">
    <w:name w:val="Título1"/>
    <w:basedOn w:val="1"/>
    <w:next w:val="6"/>
    <w:qFormat/>
    <w:uiPriority w:val="0"/>
    <w:pPr>
      <w:keepNext/>
      <w:spacing w:before="240" w:after="120"/>
    </w:pPr>
    <w:rPr>
      <w:rFonts w:ascii="Liberation Sans" w:hAnsi="Liberation Sans" w:eastAsia="Microsoft YaHei" w:cs="Arial"/>
      <w:sz w:val="28"/>
      <w:szCs w:val="28"/>
    </w:rPr>
  </w:style>
  <w:style w:type="paragraph" w:customStyle="1" w:styleId="14">
    <w:name w:val="Índice"/>
    <w:basedOn w:val="1"/>
    <w:qFormat/>
    <w:uiPriority w:val="0"/>
    <w:pPr>
      <w:suppressLineNumbers/>
    </w:pPr>
    <w:rPr>
      <w:rFonts w:cs="Arial"/>
    </w:rPr>
  </w:style>
  <w:style w:type="paragraph" w:customStyle="1" w:styleId="15">
    <w:name w:val="Cabeçalho e Rodapé"/>
    <w:basedOn w:val="1"/>
    <w:qFormat/>
    <w:uiPriority w:val="0"/>
  </w:style>
  <w:style w:type="paragraph" w:styleId="16">
    <w:name w:val="List Paragraph"/>
    <w:basedOn w:val="1"/>
    <w:qFormat/>
    <w:uiPriority w:val="99"/>
    <w:pPr>
      <w:ind w:left="708"/>
    </w:pPr>
    <w:rPr>
      <w:rFonts w:ascii="Franklin Gothic Book" w:hAnsi="Franklin Gothic Book" w:eastAsia="Franklin Gothic Book"/>
      <w:position w:val="-1"/>
      <w:sz w:val="22"/>
      <w:szCs w:val="22"/>
      <w:lang w:eastAsia="en-US"/>
    </w:rPr>
  </w:style>
  <w:style w:type="paragraph" w:customStyle="1" w:styleId="17">
    <w:name w:val="Normal1"/>
    <w:qFormat/>
    <w:uiPriority w:val="0"/>
    <w:pPr>
      <w:widowControl/>
      <w:suppressAutoHyphens/>
      <w:bidi w:val="0"/>
      <w:spacing w:before="0" w:after="200" w:line="276" w:lineRule="auto"/>
      <w:jc w:val="left"/>
    </w:pPr>
    <w:rPr>
      <w:rFonts w:ascii="Libre Franklin" w:hAnsi="Libre Franklin" w:eastAsia="Libre Franklin" w:cs="Libre Franklin"/>
      <w:color w:val="auto"/>
      <w:kern w:val="0"/>
      <w:sz w:val="22"/>
      <w:szCs w:val="22"/>
      <w:lang w:val="pt-BR" w:eastAsia="pt-BR" w:bidi="ar-SA"/>
    </w:rPr>
  </w:style>
  <w:style w:type="paragraph" w:customStyle="1" w:styleId="18">
    <w:name w:val="_Style 4"/>
    <w:basedOn w:val="1"/>
    <w:qFormat/>
    <w:uiPriority w:val="0"/>
    <w:pPr>
      <w:spacing w:before="0" w:after="200" w:line="276" w:lineRule="auto"/>
      <w:ind w:left="720" w:hanging="1"/>
      <w:outlineLvl w:val="0"/>
    </w:pPr>
    <w:rPr>
      <w:rFonts w:ascii="Franklin Gothic Book" w:hAnsi="Franklin Gothic Book" w:eastAsia="Franklin Gothic Book" w:cs="Franklin Gothic Book"/>
      <w:kern w:val="2"/>
      <w:position w:val="-1"/>
      <w:sz w:val="22"/>
      <w:szCs w:val="22"/>
      <w:lang w:eastAsia="zh-CN"/>
    </w:rPr>
  </w:style>
  <w:style w:type="paragraph" w:customStyle="1" w:styleId="19">
    <w:name w:val="Cabeçalho1"/>
    <w:basedOn w:val="1"/>
    <w:qFormat/>
    <w:uiPriority w:val="0"/>
    <w:pPr>
      <w:ind w:left="-1" w:hanging="1"/>
      <w:jc w:val="both"/>
      <w:outlineLvl w:val="0"/>
    </w:pPr>
    <w:rPr>
      <w:color w:val="00000A"/>
      <w:position w:val="-1"/>
      <w:szCs w:val="20"/>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4703</Words>
  <Characters>26828</Characters>
  <Paragraphs>240</Paragraphs>
  <TotalTime>18</TotalTime>
  <ScaleCrop>false</ScaleCrop>
  <LinksUpToDate>false</LinksUpToDate>
  <CharactersWithSpaces>31295</CharactersWithSpaces>
  <Application>WPS Office_12.2.0.13489_F1E327BC-269C-435d-A152-05C5408002CA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2024-03-06T21:51:00Z</dcterms:created>
  <dc:creator>Maria Teresa</dc:creator>
  <cp:lastModifiedBy>maria.meira</cp:lastModifiedBy>
  <dcterms:modified xsi:type="dcterms:W3CDTF">2024-04-09T14:47:05Z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9FE7C14999E440DABC48A23F5C1BA4A4_13</vt:lpwstr>
  </property>
</Properties>
</file>