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A6271C">
      <w:pPr>
        <w:spacing w:after="160"/>
        <w:jc w:val="center"/>
      </w:pPr>
      <w:r>
        <w:drawing>
          <wp:inline distT="0" distB="0" distL="114300" distR="114300">
            <wp:extent cx="6080760" cy="865505"/>
            <wp:effectExtent l="0" t="0" r="15240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866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4EF49">
      <w:pPr>
        <w:spacing w:before="120" w:after="80"/>
        <w:jc w:val="center"/>
      </w:pPr>
      <w:r>
        <w:rPr>
          <w:rFonts w:ascii="Arial" w:hAnsi="Arial"/>
          <w:b/>
          <w:color w:val="000000"/>
          <w:sz w:val="32"/>
        </w:rPr>
        <w:t>TERMO DE REFERÊNCIA</w:t>
      </w:r>
    </w:p>
    <w:p w14:paraId="09038218">
      <w:pPr>
        <w:spacing w:after="280"/>
        <w:jc w:val="center"/>
      </w:pPr>
      <w:r>
        <w:rPr>
          <w:rFonts w:ascii="Arial" w:hAnsi="Arial"/>
          <w:b/>
          <w:color w:val="555555"/>
          <w:sz w:val="22"/>
        </w:rPr>
        <w:t>AQUISIÇÃO DE LICENÇAS DO SOFTWARE CORELDRAW GRAPHICS SUITE</w:t>
      </w:r>
      <w:r>
        <w:rPr>
          <w:rFonts w:ascii="Arial" w:hAnsi="Arial"/>
          <w:b/>
          <w:color w:val="555555"/>
          <w:sz w:val="22"/>
        </w:rPr>
        <w:br w:type="textWrapping"/>
      </w:r>
      <w:r>
        <w:rPr>
          <w:rFonts w:ascii="Arial" w:hAnsi="Arial"/>
          <w:b/>
          <w:color w:val="555555"/>
          <w:sz w:val="22"/>
        </w:rPr>
        <w:t>ASSINATURA POR 36 MESES</w:t>
      </w:r>
    </w:p>
    <w:tbl>
      <w:tblPr>
        <w:tblStyle w:val="48"/>
        <w:tblW w:w="9360" w:type="dxa"/>
        <w:tblInd w:w="120" w:type="dxa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0"/>
        <w:gridCol w:w="7460"/>
      </w:tblGrid>
      <w:tr w14:paraId="78641E4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0" w:type="dxa"/>
            <w:shd w:val="clear" w:color="auto" w:fill="D9EA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5D22B2">
            <w:r>
              <w:rPr>
                <w:rFonts w:ascii="Arial" w:hAnsi="Arial"/>
                <w:b/>
                <w:color w:val="1F4E78"/>
                <w:sz w:val="18"/>
              </w:rPr>
              <w:t>Processo SEI</w:t>
            </w:r>
          </w:p>
        </w:tc>
        <w:tc>
          <w:tcPr>
            <w:tcW w:w="746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028D59"/>
        </w:tc>
      </w:tr>
      <w:tr w14:paraId="7D589651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0" w:type="dxa"/>
            <w:shd w:val="clear" w:color="auto" w:fill="D9EA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0EDA3F">
            <w:r>
              <w:rPr>
                <w:rFonts w:ascii="Arial" w:hAnsi="Arial"/>
                <w:b/>
                <w:color w:val="1F4E78"/>
                <w:sz w:val="18"/>
              </w:rPr>
              <w:t>Unidade demandante</w:t>
            </w:r>
          </w:p>
        </w:tc>
        <w:tc>
          <w:tcPr>
            <w:tcW w:w="746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61136D">
            <w:r>
              <w:rPr>
                <w:rFonts w:ascii="Arial" w:hAnsi="Arial"/>
                <w:color w:val="1F1F1F"/>
                <w:sz w:val="18"/>
              </w:rPr>
              <w:t>Gestão de Tecnologia da Informação - GTI</w:t>
            </w:r>
          </w:p>
        </w:tc>
      </w:tr>
      <w:tr w14:paraId="643F5DC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0" w:type="dxa"/>
            <w:shd w:val="clear" w:color="auto" w:fill="D9EA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F4598E">
            <w:r>
              <w:rPr>
                <w:rFonts w:ascii="Arial" w:hAnsi="Arial"/>
                <w:b/>
                <w:color w:val="1F4E78"/>
                <w:sz w:val="18"/>
              </w:rPr>
              <w:t>Prazo da contratação</w:t>
            </w:r>
          </w:p>
        </w:tc>
        <w:tc>
          <w:tcPr>
            <w:tcW w:w="746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EC14BF">
            <w:r>
              <w:rPr>
                <w:rFonts w:ascii="Arial" w:hAnsi="Arial"/>
                <w:color w:val="1F1F1F"/>
                <w:sz w:val="18"/>
              </w:rPr>
              <w:t>36 (trinta e seis) meses</w:t>
            </w:r>
          </w:p>
        </w:tc>
      </w:tr>
    </w:tbl>
    <w:p w14:paraId="03B5CDC6">
      <w:pPr>
        <w:pStyle w:val="51"/>
        <w:keepNext/>
      </w:pPr>
      <w:r>
        <w:rPr>
          <w:rFonts w:ascii="Arial" w:hAnsi="Arial"/>
          <w:b/>
          <w:color w:val="1F4E78"/>
          <w:sz w:val="24"/>
        </w:rPr>
        <w:t>1. DO OBJETO</w:t>
      </w:r>
    </w:p>
    <w:p w14:paraId="00E27074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1.1. Aquisição de 2 (duas) licenças de uso do software CorelDRAW Graphics Suite 3 Year Subscription (Single User), com licenciamento pelo período de 36 (trinta e seis) meses, incluindo direito de uso, atualizações, correções e suporte técnico durante toda a vigência, para atender às necessidades da Gestão de Tecnologia da Informação da Autarquia Territorial Distrito Estadual de Fernando de Noronha - ATDEFN.</w:t>
      </w:r>
    </w:p>
    <w:p w14:paraId="5DB3F842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1.2. O objeto possui natureza de serviço comum de tecnologia da informação, com padrões de desempenho e qualidade objetivamente definidos neste Termo de Referência.</w:t>
      </w:r>
    </w:p>
    <w:p w14:paraId="7243A08C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1.3. O objeto não se enquadra como bem de luxo, nos termos da legislação aplicável.</w:t>
      </w:r>
    </w:p>
    <w:tbl>
      <w:tblPr>
        <w:tblStyle w:val="48"/>
        <w:tblW w:w="9360" w:type="dxa"/>
        <w:tblInd w:w="120" w:type="dxa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0"/>
        <w:gridCol w:w="1080"/>
        <w:gridCol w:w="4020"/>
        <w:gridCol w:w="700"/>
        <w:gridCol w:w="600"/>
        <w:gridCol w:w="1170"/>
        <w:gridCol w:w="1170"/>
      </w:tblGrid>
      <w:tr w14:paraId="2860096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FB4E4E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Item</w:t>
            </w:r>
          </w:p>
        </w:tc>
        <w:tc>
          <w:tcPr>
            <w:tcW w:w="108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1B066F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Código E-fisco</w:t>
            </w:r>
          </w:p>
        </w:tc>
        <w:tc>
          <w:tcPr>
            <w:tcW w:w="402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176802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Descrição</w:t>
            </w:r>
          </w:p>
        </w:tc>
        <w:tc>
          <w:tcPr>
            <w:tcW w:w="70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56BFFD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Unid.</w:t>
            </w:r>
          </w:p>
        </w:tc>
        <w:tc>
          <w:tcPr>
            <w:tcW w:w="60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C7B788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Qtd.</w:t>
            </w:r>
          </w:p>
        </w:tc>
        <w:tc>
          <w:tcPr>
            <w:tcW w:w="117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95AD63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unitário</w:t>
            </w:r>
          </w:p>
        </w:tc>
        <w:tc>
          <w:tcPr>
            <w:tcW w:w="117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6E0D09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total</w:t>
            </w:r>
          </w:p>
        </w:tc>
      </w:tr>
      <w:tr w14:paraId="59A3207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686FBF">
            <w:pPr>
              <w:jc w:val="center"/>
            </w:pPr>
            <w:r>
              <w:rPr>
                <w:rFonts w:ascii="Arial" w:hAnsi="Arial"/>
                <w:color w:val="1F1F1F"/>
                <w:sz w:val="18"/>
              </w:rPr>
              <w:t>1</w:t>
            </w:r>
          </w:p>
        </w:tc>
        <w:tc>
          <w:tcPr>
            <w:tcW w:w="10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EF6D00">
            <w:pPr>
              <w:jc w:val="left"/>
            </w:pPr>
            <w:r>
              <w:rPr>
                <w:rFonts w:ascii="Arial" w:hAnsi="Arial"/>
                <w:color w:val="1F1F1F"/>
                <w:sz w:val="18"/>
              </w:rPr>
              <w:t>[PREENCHER]</w:t>
            </w:r>
          </w:p>
        </w:tc>
        <w:tc>
          <w:tcPr>
            <w:tcW w:w="40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9915D5">
            <w:pPr>
              <w:jc w:val="left"/>
            </w:pPr>
            <w:r>
              <w:rPr>
                <w:rFonts w:ascii="Arial" w:hAnsi="Arial"/>
                <w:color w:val="1F1F1F"/>
                <w:sz w:val="18"/>
              </w:rPr>
              <w:t>AQUISIÇÃO DE LICENÇA DE USO DO SOFTWARE CORELDRAW GRAPHICS SUITE 3 YEAR SUBSCRIPTION (SINGLE USER) - LICENCIAMENTO PELO PERÍODO DE 36 MESES.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C3B3EC">
            <w:pPr>
              <w:jc w:val="center"/>
            </w:pPr>
            <w:r>
              <w:rPr>
                <w:rFonts w:ascii="Arial" w:hAnsi="Arial"/>
                <w:color w:val="1F1F1F"/>
                <w:sz w:val="18"/>
              </w:rPr>
              <w:t>licença</w:t>
            </w:r>
          </w:p>
        </w:tc>
        <w:tc>
          <w:tcPr>
            <w:tcW w:w="6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0C8BEA">
            <w:pPr>
              <w:jc w:val="center"/>
            </w:pPr>
            <w:r>
              <w:rPr>
                <w:rFonts w:ascii="Arial" w:hAnsi="Arial"/>
                <w:color w:val="1F1F1F"/>
                <w:sz w:val="18"/>
              </w:rPr>
              <w:t>2</w:t>
            </w:r>
          </w:p>
        </w:tc>
        <w:tc>
          <w:tcPr>
            <w:tcW w:w="117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D48D07">
            <w:pPr>
              <w:jc w:val="center"/>
            </w:pPr>
          </w:p>
        </w:tc>
        <w:tc>
          <w:tcPr>
            <w:tcW w:w="117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E2997F">
            <w:pPr>
              <w:jc w:val="center"/>
            </w:pPr>
          </w:p>
        </w:tc>
      </w:tr>
    </w:tbl>
    <w:p w14:paraId="4F582109">
      <w:pPr>
        <w:spacing w:after="120" w:line="264" w:lineRule="auto"/>
        <w:jc w:val="both"/>
      </w:pPr>
      <w:r>
        <w:rPr>
          <w:rFonts w:ascii="Arial" w:hAnsi="Arial"/>
          <w:b/>
          <w:color w:val="1F1F1F"/>
          <w:sz w:val="21"/>
        </w:rPr>
        <w:t>Valor global estimado:</w:t>
      </w:r>
    </w:p>
    <w:p w14:paraId="4E5C6D76">
      <w:pPr>
        <w:pStyle w:val="51"/>
        <w:keepNext/>
      </w:pPr>
      <w:r>
        <w:rPr>
          <w:rFonts w:ascii="Arial" w:hAnsi="Arial"/>
          <w:b/>
          <w:color w:val="1F4E78"/>
          <w:sz w:val="24"/>
        </w:rPr>
        <w:t>2. FUNDAMENTAÇÃO E JUSTIFICATIVA DA CONTRATAÇÃO</w:t>
      </w:r>
    </w:p>
    <w:p w14:paraId="139C4E99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2.1. A contratação é necessária para assegurar a continuidade das atividades de criação, edição e tratamento de peças gráficas, layouts, materiais institucionais, sinalizações, documentos visuais e demais conteúdos utilizados na comunicação e nas rotinas administrativas da ATDEFN.</w:t>
      </w:r>
    </w:p>
    <w:p w14:paraId="3E98A44D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2.2. A aquisição das licenças assegura a compatibilidade com os arquivos editáveis produzidos no formato nativo do CorelDRAW, reduzindo riscos de perda de formatação, retrabalho, indisponibilidade operacional e custos de migração e capacitação.</w:t>
      </w:r>
    </w:p>
    <w:p w14:paraId="456F7042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2.3. A indicação do CorelDRAW Graphics Suite decorre da necessidade de compatibilidade com o acervo existente, continuidade dos fluxos de trabalho e manutenção da padronização dos arquivos utilizados pela Administração. A marca não afasta a necessidade de pesquisa de preços e seleção da proposta mais vantajosa, salvo hipótese legal devidamente comprovada nos autos.</w:t>
      </w:r>
    </w:p>
    <w:p w14:paraId="51C92100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2.4. O quantitativo de 2 (duas) licenças corresponde aos postos de trabalho que necessitam utilizar simultaneamente a ferramenta, conforme demanda apresentada pela unidade requisitante.</w:t>
      </w:r>
    </w:p>
    <w:p w14:paraId="50616A82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2.5. A contratação por 36 (trinta e seis) meses reduz a necessidade de novas contratações anuais, proporciona continuidade de uso e previsibilidade administrativa e orçamentária, sem prejuízo da demonstração da vantajosidade no processo.</w:t>
      </w:r>
    </w:p>
    <w:p w14:paraId="62FEB7A1">
      <w:pPr>
        <w:pStyle w:val="51"/>
        <w:keepNext/>
      </w:pPr>
      <w:r>
        <w:rPr>
          <w:rFonts w:ascii="Arial" w:hAnsi="Arial"/>
          <w:b/>
          <w:color w:val="1F4E78"/>
          <w:sz w:val="24"/>
        </w:rPr>
        <w:t>3. DESCRIÇÃO DA SOLUÇÃO E REQUISITOS TÉCNICOS</w:t>
      </w:r>
    </w:p>
    <w:p w14:paraId="6E47DF78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3.1. Cada licença deverá atender, no mínimo, aos seguintes requisitos:</w:t>
      </w:r>
    </w:p>
    <w:p w14:paraId="6E14AFDF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ser original, regular e fornecida por fabricante, distribuidor ou revendedor autorizado;</w:t>
      </w:r>
    </w:p>
    <w:p w14:paraId="54094B9F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corresponder ao CorelDRAW Graphics Suite, assinatura de 36 meses, para um único usuário;</w:t>
      </w:r>
    </w:p>
    <w:p w14:paraId="6089E9DE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permitir instalação, ativação e uso nos equipamentos compatíveis indicados pela CONTRATANTE, observadas as regras do fabricante;</w:t>
      </w:r>
    </w:p>
    <w:p w14:paraId="397936BE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incluir todas as atualizações, correções de segurança e novas versões disponibilizadas no período contratado, sem cobrança adicional;</w:t>
      </w:r>
    </w:p>
    <w:p w14:paraId="5180506D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disponibilizar os aplicativos e recursos integrantes da suíte conforme a edição vigente no momento da ativação;</w:t>
      </w:r>
    </w:p>
    <w:p w14:paraId="1272496D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ser entregue por meio eletrônico, com chave, credencial, convite ou vínculo de assinatura válido e documentação de ativação;</w:t>
      </w:r>
    </w:p>
    <w:p w14:paraId="3414AE84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não possuir bloqueios, restrições indevidas, origem irregular ou licenciamento incompatível com uso institucional/governamental;</w:t>
      </w:r>
    </w:p>
    <w:p w14:paraId="5A205232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contar com suporte técnico para problemas de licenciamento, download, instalação e ativação durante os 36 meses.</w:t>
      </w:r>
    </w:p>
    <w:p w14:paraId="122BD7C0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3.2. A CONTRATADA deverá informar previamente os requisitos de sistema e prestar orientação para instalação e ativação. A instalação física nos equipamentos somente integrará o objeto se solicitada pela CONTRATANTE e aceita sem custo adicional.</w:t>
      </w:r>
    </w:p>
    <w:p w14:paraId="367D2342">
      <w:pPr>
        <w:pStyle w:val="51"/>
        <w:keepNext/>
      </w:pPr>
      <w:r>
        <w:rPr>
          <w:rFonts w:ascii="Arial" w:hAnsi="Arial"/>
          <w:b/>
          <w:color w:val="1F4E78"/>
          <w:sz w:val="24"/>
        </w:rPr>
        <w:t>4. PRAZO, LOCAL E CONDIÇÕES DE ENTREGA</w:t>
      </w:r>
    </w:p>
    <w:p w14:paraId="77E8B46E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4.1. O prazo de entrega e disponibilização das licenças será de até 10 (dez) dias corridos, contados do recebimento da Nota de Empenho, Ordem de Serviço/Fornecimento ou instrumento equivalente.</w:t>
      </w:r>
    </w:p>
    <w:p w14:paraId="14251D00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4.2. A entrega será realizada eletronicamente ao endereço de e-mail institucional indicado pela GTI, acompanhada das instruções de ativação, identificação do produto, prazo de validade e dados para acesso ao suporte.</w:t>
      </w:r>
    </w:p>
    <w:p w14:paraId="5930918E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4.3. A vigência de cada licença será de 36 (trinta e seis) meses, contados da efetiva ativação e disponibilização para uso pela CONTRATANTE, que deverá ocorrer somente após autorização da unidade responsável.</w:t>
      </w:r>
    </w:p>
    <w:p w14:paraId="66F95AFC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4.4. A CONTRATADA deverá corrigir, substituir ou regularizar, sem ônus, licença que apresente falha, irregularidade, incompatibilidade com a especificação ou período de vigência inferior ao contratado, no prazo máximo de 5 (cinco) dias úteis após a notificação.</w:t>
      </w:r>
    </w:p>
    <w:p w14:paraId="0E64E0E7">
      <w:pPr>
        <w:pStyle w:val="51"/>
        <w:keepNext/>
      </w:pPr>
      <w:r>
        <w:rPr>
          <w:rFonts w:ascii="Arial" w:hAnsi="Arial"/>
          <w:b/>
          <w:color w:val="1F4E78"/>
          <w:sz w:val="24"/>
        </w:rPr>
        <w:t>5. MODELO DE EXECUÇÃO, RECEBIMENTO E NÍVEIS DE SERVIÇO</w:t>
      </w:r>
    </w:p>
    <w:p w14:paraId="00694E0E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5.1. O objeto será executado em parcela única quanto à entrega e ativação das 2 (duas) licenças, mantendo-se as obrigações de atualização, garantia e suporte pelo período integral de 36 meses.</w:t>
      </w:r>
    </w:p>
    <w:p w14:paraId="0B0A192D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5.2. O recebimento provisório ocorrerá após a entrega das credenciais ou chaves e a confirmação inicial de ativação. O recebimento definitivo ocorrerá em até 10 (dez) dias úteis, após verificação da autenticidade, quantidade, modalidade, funcionamento e prazo contratado.</w:t>
      </w:r>
    </w:p>
    <w:p w14:paraId="7296F4F1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5.3. O recebimento não exclui a responsabilidade da CONTRATADA por vícios, irregularidades de licenciamento ou descumprimento das condições estabelecidas.</w:t>
      </w:r>
    </w:p>
    <w:p w14:paraId="2250C149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5.4. As solicitações de suporte deverão ser respondidas em até 1 (um) dia útil e solucionadas em prazo compatível com a complexidade, não superior a 5 (cinco) dias úteis, salvo justificativa aceita pela fiscalização.</w:t>
      </w:r>
    </w:p>
    <w:p w14:paraId="27E2F5BA">
      <w:pPr>
        <w:pStyle w:val="51"/>
        <w:keepNext/>
      </w:pPr>
      <w:r>
        <w:rPr>
          <w:rFonts w:ascii="Arial" w:hAnsi="Arial"/>
          <w:b/>
          <w:color w:val="1F4E78"/>
          <w:sz w:val="24"/>
        </w:rPr>
        <w:t>6. OBRIGAÇÕES DA CONTRATADA</w:t>
      </w:r>
    </w:p>
    <w:p w14:paraId="2D6FBC94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entregar o objeto integralmente nas condições, quantidades, prazos e especificações deste Termo de Referência;</w:t>
      </w:r>
    </w:p>
    <w:p w14:paraId="0E0CD6D1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comprovar, quando solicitado, a procedência e regularidade das licenças e sua condição de revendedora/distribuidora autorizada;</w:t>
      </w:r>
    </w:p>
    <w:p w14:paraId="18B2FC9F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manter válidas as licenças, atualizações e o suporte durante todo o período contratado;</w:t>
      </w:r>
    </w:p>
    <w:p w14:paraId="313BA3C1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responsabilizar-se pelos tributos, encargos, despesas e demais custos necessários à execução;</w:t>
      </w:r>
    </w:p>
    <w:p w14:paraId="69EC371A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manter as condições de habilitação e qualificação exigidas durante a contratação;</w:t>
      </w:r>
    </w:p>
    <w:p w14:paraId="60BF1997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guardar sigilo sobre dados, informações, credenciais e documentos a que tiver acesso;</w:t>
      </w:r>
    </w:p>
    <w:p w14:paraId="0990DE61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comunicar imediatamente qualquer fato que possa comprometer a execução e indicar preposto para contato;</w:t>
      </w:r>
    </w:p>
    <w:p w14:paraId="74E54D9D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reparar, corrigir ou substituir, às suas expensas, o objeto em desconformidade.</w:t>
      </w:r>
    </w:p>
    <w:p w14:paraId="160F9567">
      <w:pPr>
        <w:pStyle w:val="51"/>
        <w:keepNext/>
      </w:pPr>
      <w:r>
        <w:rPr>
          <w:rFonts w:ascii="Arial" w:hAnsi="Arial"/>
          <w:b/>
          <w:color w:val="1F4E78"/>
          <w:sz w:val="24"/>
        </w:rPr>
        <w:t>7. OBRIGAÇÕES DA CONTRATANTE</w:t>
      </w:r>
    </w:p>
    <w:p w14:paraId="143A49F0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emitir a Nota de Empenho, Ordem de Serviço/Fornecimento ou instrumento equivalente;</w:t>
      </w:r>
    </w:p>
    <w:p w14:paraId="0DDE7CAB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fornecer as informações necessárias à entrega e indicar os usuários responsáveis pelas licenças;</w:t>
      </w:r>
    </w:p>
    <w:p w14:paraId="272EB2F4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acompanhar, fiscalizar, testar e atestar a execução;</w:t>
      </w:r>
    </w:p>
    <w:p w14:paraId="196723F1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notificar a CONTRATADA sobre falhas ou irregularidades e fixar prazo para saneamento;</w:t>
      </w:r>
    </w:p>
    <w:p w14:paraId="166F9709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efetuar o pagamento após o recebimento definitivo, observadas as condições deste Termo de Referência.</w:t>
      </w:r>
    </w:p>
    <w:p w14:paraId="19616178">
      <w:pPr>
        <w:pStyle w:val="51"/>
        <w:keepNext/>
      </w:pPr>
      <w:r>
        <w:rPr>
          <w:rFonts w:ascii="Arial" w:hAnsi="Arial"/>
          <w:b/>
          <w:color w:val="1F4E78"/>
          <w:sz w:val="24"/>
        </w:rPr>
        <w:t>8. GESTÃO E FISCALIZAÇÃO</w:t>
      </w:r>
    </w:p>
    <w:p w14:paraId="579C86DC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8.1. A gestão e a fiscalização serão exercidas por servidores formalmente designados pela autoridade competente, nos termos do art. 117 da Lei nº 14.133/2021.</w:t>
      </w:r>
    </w:p>
    <w:p w14:paraId="49A85585">
      <w:pPr>
        <w:spacing w:after="120" w:line="264" w:lineRule="auto"/>
        <w:jc w:val="both"/>
        <w:rPr>
          <w:rFonts w:hint="default"/>
          <w:lang w:val="pt-BR"/>
        </w:rPr>
      </w:pPr>
      <w:r>
        <w:rPr>
          <w:rFonts w:ascii="Arial" w:hAnsi="Arial"/>
          <w:color w:val="1F1F1F"/>
          <w:sz w:val="21"/>
        </w:rPr>
        <w:t>8.2. Gestor da contratação:</w:t>
      </w:r>
      <w:r>
        <w:rPr>
          <w:rFonts w:hint="default"/>
          <w:color w:val="1F1F1F"/>
          <w:sz w:val="21"/>
          <w:lang w:val="pt-BR"/>
        </w:rPr>
        <w:t xml:space="preserve"> Ari Alves de Lucena. Matrícula </w:t>
      </w:r>
      <w:r>
        <w:rPr>
          <w:rFonts w:ascii="Arial" w:hAnsi="Arial"/>
          <w:color w:val="1F1F1F"/>
          <w:sz w:val="21"/>
        </w:rPr>
        <w:t xml:space="preserve"> </w:t>
      </w:r>
      <w:r>
        <w:rPr>
          <w:rFonts w:hint="default"/>
          <w:color w:val="1F1F1F"/>
          <w:sz w:val="21"/>
          <w:lang w:val="pt-BR"/>
        </w:rPr>
        <w:t>1561553/01</w:t>
      </w:r>
      <w:r>
        <w:rPr>
          <w:rFonts w:ascii="Arial" w:hAnsi="Arial"/>
          <w:color w:val="1F1F1F"/>
          <w:sz w:val="21"/>
        </w:rPr>
        <w:t xml:space="preserve"> </w:t>
      </w:r>
      <w:r>
        <w:rPr>
          <w:rFonts w:ascii="Arial" w:hAnsi="Arial"/>
          <w:color w:val="1F1F1F"/>
          <w:sz w:val="21"/>
        </w:rPr>
        <w:br w:type="textWrapping"/>
      </w:r>
      <w:r>
        <w:rPr>
          <w:rFonts w:ascii="Arial" w:hAnsi="Arial"/>
          <w:color w:val="1F1F1F"/>
          <w:sz w:val="21"/>
        </w:rPr>
        <w:t>8.3. Fiscal da contratação:</w:t>
      </w:r>
      <w:r>
        <w:rPr>
          <w:rFonts w:hint="default"/>
          <w:color w:val="1F1F1F"/>
          <w:sz w:val="21"/>
          <w:lang w:val="pt-BR"/>
        </w:rPr>
        <w:t>Vanessa da Silva Tubias Oliveira. Matrícula 18436471/01</w:t>
      </w:r>
    </w:p>
    <w:p w14:paraId="4B71C967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8.4. A fiscalização registrará as ocorrências, determinará as providências necessárias e comunicará à autoridade competente situações que ultrapassem sua atribuição.</w:t>
      </w:r>
    </w:p>
    <w:p w14:paraId="768B5063">
      <w:pPr>
        <w:pStyle w:val="51"/>
        <w:keepNext/>
      </w:pPr>
      <w:r>
        <w:rPr>
          <w:rFonts w:ascii="Arial" w:hAnsi="Arial"/>
          <w:b/>
          <w:color w:val="1F4E78"/>
          <w:sz w:val="24"/>
        </w:rPr>
        <w:t>9. VALOR ESTIMADO, ORÇAMENTO E CRITÉRIO DE JULGAMENTO</w:t>
      </w:r>
    </w:p>
    <w:p w14:paraId="022C920D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 xml:space="preserve">9.1. O valor global estimado é de R$ </w:t>
      </w:r>
      <w:r>
        <w:rPr>
          <w:rFonts w:hint="default"/>
          <w:color w:val="1F1F1F"/>
          <w:sz w:val="21"/>
          <w:lang w:val="pt-BR"/>
        </w:rPr>
        <w:t>__________</w:t>
      </w:r>
      <w:r>
        <w:rPr>
          <w:rFonts w:ascii="Arial" w:hAnsi="Arial"/>
          <w:color w:val="1F1F1F"/>
          <w:sz w:val="21"/>
        </w:rPr>
        <w:t>, conforme proposta comercial utilizada como referência, sem prejuízo da pesquisa de preços e da justificativa de compatibilidade com os valores de mercado a serem juntadas aos autos.</w:t>
      </w:r>
    </w:p>
    <w:p w14:paraId="1E4D8C9C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9.2. Estão incluídos no preço todos os tributos, encargos, taxas, custos de licenciamento, atualização, suporte e demais despesas necessárias à execução integral do objeto.</w:t>
      </w:r>
    </w:p>
    <w:p w14:paraId="28579B4B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9.3. O critério de julgamento será o menor preço global, desde que atendidas integralmente as especificações e condições deste Termo de Referência.</w:t>
      </w:r>
    </w:p>
    <w:p w14:paraId="07B47325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9.4. A contratação direta em razão do valor deverá observar o art. 75, inciso II, da Lei nº 14.133/2021 e o Decreto Estadual nº 56.586/2024, além dos demais regulamentos aplicáveis, vedado o fracionamento indevido da despesa.</w:t>
      </w:r>
    </w:p>
    <w:p w14:paraId="106F5445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9.5. Classificação orçamentária:</w:t>
      </w:r>
    </w:p>
    <w:p w14:paraId="2FC3295A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Fonte: [PREENCHER]</w:t>
      </w:r>
    </w:p>
    <w:p w14:paraId="5465BF68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Unidade orçamentária: [PREENCHER]</w:t>
      </w:r>
    </w:p>
    <w:p w14:paraId="43D757CC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Programa/Ação: [PREENCHER]</w:t>
      </w:r>
    </w:p>
    <w:p w14:paraId="38C026E1">
      <w:pPr>
        <w:pStyle w:val="49"/>
        <w:spacing w:after="60" w:line="264" w:lineRule="auto"/>
      </w:pPr>
      <w:r>
        <w:rPr>
          <w:rFonts w:ascii="Arial" w:hAnsi="Arial"/>
          <w:color w:val="1F1F1F"/>
          <w:sz w:val="21"/>
        </w:rPr>
        <w:t>Elemento de despesa: [PREENCHER]</w:t>
      </w:r>
    </w:p>
    <w:p w14:paraId="4ABFC944">
      <w:pPr>
        <w:pStyle w:val="51"/>
        <w:keepNext/>
      </w:pPr>
      <w:r>
        <w:rPr>
          <w:rFonts w:ascii="Arial" w:hAnsi="Arial"/>
          <w:b/>
          <w:color w:val="1F4E78"/>
          <w:sz w:val="24"/>
        </w:rPr>
        <w:t>10. TRATAMENTO FAVORECIDO E HABILITAÇÃO</w:t>
      </w:r>
    </w:p>
    <w:p w14:paraId="009B30FA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10.1. Deverá ser observado o tratamento favorecido às microempresas e empresas de pequeno porte previsto na Lei Complementar nº 123/2006 e na regulamentação estadual, ressalvadas as hipóteses legais de afastamento devidamente justificadas nos autos.</w:t>
      </w:r>
    </w:p>
    <w:p w14:paraId="16DDAB6C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10.2. A empresa selecionada deverá apresentar documentação de habilitação jurídica, regularidade fiscal, social e trabalhista, além de qualificação técnica compatível com o objeto, conforme exigido no aviso ou instrumento da contratação direta.</w:t>
      </w:r>
    </w:p>
    <w:p w14:paraId="1117094D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10.3. A qualificação técnica poderá ser demonstrada por atestado de capacidade técnica e/ou comprovação de vínculo com canal oficial de fornecimento do fabricante, quando exigível e proporcional ao objeto.</w:t>
      </w:r>
    </w:p>
    <w:p w14:paraId="2912C885">
      <w:pPr>
        <w:pStyle w:val="51"/>
        <w:keepNext/>
      </w:pPr>
      <w:r>
        <w:rPr>
          <w:rFonts w:ascii="Arial" w:hAnsi="Arial"/>
          <w:b/>
          <w:color w:val="1F4E78"/>
          <w:sz w:val="24"/>
        </w:rPr>
        <w:t>11. PROPOSTA E CONDIÇÕES DE PAGAMENTO</w:t>
      </w:r>
    </w:p>
    <w:p w14:paraId="08CFF50C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11.1. A proposta deverá ter validade mínima de 60 (sessenta) dias, conter a descrição completa do produto, quantidade, prazo de 36 meses, valor unitário e total, prazo de entrega, dados da empresa e declaração de inclusão de todos os custos.</w:t>
      </w:r>
    </w:p>
    <w:p w14:paraId="542C7B3D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11.2. O pagamento será efetuado em parcela única, no prazo de até 30 (trinta) dias, após o recebimento definitivo das licenças, mediante Nota Fiscal devidamente atestada e comprovação da regularidade fiscal e trabalhista.</w:t>
      </w:r>
    </w:p>
    <w:p w14:paraId="797520B9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11.3. Não haverá pagamento antecipado. Havendo erro na Nota Fiscal ou pendência impeditiva, o prazo ficará suspenso até a regularização.</w:t>
      </w:r>
    </w:p>
    <w:p w14:paraId="059BE298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11.4. As retenções tributárias serão efetuadas conforme a legislação vigente, inclusive a Instrução Normativa RFB nº 1.234/2012 e o Decreto Estadual nº 55.069/2023, ou normas que os substituam.</w:t>
      </w:r>
    </w:p>
    <w:p w14:paraId="5AF3C564">
      <w:pPr>
        <w:pStyle w:val="51"/>
        <w:keepNext/>
      </w:pPr>
      <w:r>
        <w:rPr>
          <w:rFonts w:ascii="Arial" w:hAnsi="Arial"/>
          <w:b/>
          <w:color w:val="1F4E78"/>
          <w:sz w:val="24"/>
        </w:rPr>
        <w:t>12. PRAZO DE VIGÊNCIA E FORMALIZAÇÃO</w:t>
      </w:r>
    </w:p>
    <w:p w14:paraId="3F405F5D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12.1. A contratação terá vigência de 36 (trinta e seis) meses, contados da ativação das licenças, abrangendo todo o período de direito de uso, atualizações, garantia e suporte.</w:t>
      </w:r>
    </w:p>
    <w:p w14:paraId="2D901A34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12.2. A formalização poderá ocorrer por instrumento contratual, Nota de Empenho, Ordem de Serviço/Fornecimento ou instrumento equivalente admitido pela legislação, desde que contenha as condições essenciais da contratação e assegure a vigência integral da subscrição.</w:t>
      </w:r>
    </w:p>
    <w:p w14:paraId="59F2EF90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12.3. Não será admitida prorrogação automática da assinatura. Eventual nova contratação dependerá de novo procedimento e demonstração de vantajosidade.</w:t>
      </w:r>
    </w:p>
    <w:p w14:paraId="37319371">
      <w:pPr>
        <w:pStyle w:val="51"/>
        <w:keepNext/>
      </w:pPr>
      <w:r>
        <w:rPr>
          <w:rFonts w:ascii="Arial" w:hAnsi="Arial"/>
          <w:b/>
          <w:color w:val="1F4E78"/>
          <w:sz w:val="24"/>
        </w:rPr>
        <w:t>13. SANÇÕES ADMINISTRATIVAS</w:t>
      </w:r>
    </w:p>
    <w:p w14:paraId="51838EFD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13.1. O descumprimento das obrigações sujeitará a CONTRATADA às sanções previstas nos arts. 155 a 163 da Lei nº 14.133/2021 e na regulamentação estadual, assegurados o contraditório e a ampla defesa.</w:t>
      </w:r>
    </w:p>
    <w:p w14:paraId="34B7D694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13.2. Poderão ser aplicadas, conforme a gravidade e a regulamentação pertinente, advertência, multa moratória e compensatória, impedimento de licitar e contratar e declaração de inidoneidade, sem prejuízo da reparação integral dos danos.</w:t>
      </w:r>
    </w:p>
    <w:p w14:paraId="04EFA3CD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13.3. Os percentuais, critérios e procedimento de aplicação das multas observarão o instrumento de contratação e o regulamento estadual vigente.</w:t>
      </w:r>
    </w:p>
    <w:p w14:paraId="20D412B8">
      <w:pPr>
        <w:pStyle w:val="51"/>
        <w:keepNext/>
      </w:pPr>
      <w:r>
        <w:rPr>
          <w:rFonts w:ascii="Arial" w:hAnsi="Arial"/>
          <w:b/>
          <w:color w:val="1F4E78"/>
          <w:sz w:val="24"/>
        </w:rPr>
        <w:t>14. PROTEÇÃO DE DADOS, SIGILO E SEGURANÇA</w:t>
      </w:r>
    </w:p>
    <w:p w14:paraId="2026A478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14.1. As partes deverão observar a Lei nº 13.709/2018 - Lei Geral de Proteção de Dados Pessoais (LGPD), limitando o tratamento de dados ao estritamente necessário à execução do objeto.</w:t>
      </w:r>
    </w:p>
    <w:p w14:paraId="471901A0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14.2. É vedado à CONTRATADA acessar, copiar, reter ou compartilhar arquivos institucionais, dados pessoais ou credenciais, salvo quando indispensável ao suporte e mediante autorização expressa da CONTRATANTE.</w:t>
      </w:r>
    </w:p>
    <w:p w14:paraId="0B3B05E4">
      <w:pPr>
        <w:pStyle w:val="51"/>
        <w:keepNext/>
      </w:pPr>
      <w:r>
        <w:rPr>
          <w:rFonts w:ascii="Arial" w:hAnsi="Arial"/>
          <w:b/>
          <w:color w:val="1F4E78"/>
          <w:sz w:val="24"/>
        </w:rPr>
        <w:t>15. DISPOSIÇÕES FINAIS</w:t>
      </w:r>
    </w:p>
    <w:p w14:paraId="203257CB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15.1. Integram este Termo de Referência, independentemente de transcrição, a proposta aceita, a Nota de Empenho, a Ordem de Serviço/Fornecimento e os demais documentos do processo.</w:t>
      </w:r>
    </w:p>
    <w:p w14:paraId="7CBA5B1C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15.2. Os casos omissos serão resolvidos com fundamento na Lei nº 14.133/2021, nos decretos estaduais aplicáveis e nas demais normas pertinentes.</w:t>
      </w:r>
    </w:p>
    <w:p w14:paraId="20072B34">
      <w:pPr>
        <w:spacing w:after="360"/>
      </w:pPr>
    </w:p>
    <w:p w14:paraId="2A0C6883">
      <w:pPr>
        <w:spacing w:after="120" w:line="264" w:lineRule="auto"/>
        <w:jc w:val="center"/>
      </w:pPr>
      <w:r>
        <w:rPr>
          <w:rFonts w:ascii="Arial" w:hAnsi="Arial"/>
          <w:color w:val="1F1F1F"/>
          <w:sz w:val="21"/>
        </w:rPr>
        <w:t>Recife, 2 de setembro de 2026.</w:t>
      </w:r>
    </w:p>
    <w:p w14:paraId="00FE25EB">
      <w:pPr>
        <w:spacing w:after="20" w:line="264" w:lineRule="auto"/>
        <w:jc w:val="center"/>
      </w:pPr>
      <w:r>
        <w:rPr>
          <w:rFonts w:ascii="Arial" w:hAnsi="Arial"/>
          <w:color w:val="1F1F1F"/>
          <w:sz w:val="21"/>
        </w:rPr>
        <w:br w:type="textWrapping"/>
      </w:r>
      <w:r>
        <w:rPr>
          <w:rFonts w:ascii="Arial" w:hAnsi="Arial"/>
          <w:color w:val="1F1F1F"/>
          <w:sz w:val="21"/>
        </w:rPr>
        <w:t>____________________________________________</w:t>
      </w:r>
    </w:p>
    <w:p w14:paraId="278FA048">
      <w:pPr>
        <w:spacing w:after="20" w:line="264" w:lineRule="auto"/>
        <w:jc w:val="center"/>
      </w:pPr>
      <w:r>
        <w:rPr>
          <w:rFonts w:ascii="Arial" w:hAnsi="Arial"/>
          <w:color w:val="1F1F1F"/>
          <w:sz w:val="21"/>
        </w:rPr>
        <w:t>[NOME - CARGO - MATRÍCULA]</w:t>
      </w:r>
    </w:p>
    <w:p w14:paraId="4448C2C1">
      <w:pPr>
        <w:spacing w:after="200" w:line="264" w:lineRule="auto"/>
        <w:jc w:val="center"/>
      </w:pPr>
      <w:r>
        <w:rPr>
          <w:rFonts w:ascii="Arial" w:hAnsi="Arial"/>
          <w:color w:val="1F1F1F"/>
          <w:sz w:val="21"/>
        </w:rPr>
        <w:t>RESPONSÁVEL PELA ELABORAÇÃO</w:t>
      </w:r>
    </w:p>
    <w:p w14:paraId="5956FC4C">
      <w:pPr>
        <w:spacing w:after="20" w:line="264" w:lineRule="auto"/>
        <w:jc w:val="center"/>
      </w:pPr>
      <w:r>
        <w:rPr>
          <w:rFonts w:ascii="Arial" w:hAnsi="Arial"/>
          <w:color w:val="1F1F1F"/>
          <w:sz w:val="21"/>
        </w:rPr>
        <w:br w:type="textWrapping"/>
      </w:r>
      <w:r>
        <w:rPr>
          <w:rFonts w:ascii="Arial" w:hAnsi="Arial"/>
          <w:color w:val="1F1F1F"/>
          <w:sz w:val="21"/>
        </w:rPr>
        <w:t>____________________________________________</w:t>
      </w:r>
    </w:p>
    <w:p w14:paraId="6E59B012">
      <w:pPr>
        <w:spacing w:after="20" w:line="264" w:lineRule="auto"/>
        <w:jc w:val="center"/>
      </w:pPr>
      <w:r>
        <w:rPr>
          <w:rFonts w:ascii="Arial" w:hAnsi="Arial"/>
          <w:color w:val="1F1F1F"/>
          <w:sz w:val="21"/>
        </w:rPr>
        <w:t>[NOME - CARGO - MATRÍCULA]</w:t>
      </w:r>
    </w:p>
    <w:p w14:paraId="41C9712A">
      <w:pPr>
        <w:spacing w:after="200" w:line="264" w:lineRule="auto"/>
        <w:jc w:val="center"/>
      </w:pPr>
      <w:r>
        <w:rPr>
          <w:rFonts w:ascii="Arial" w:hAnsi="Arial"/>
          <w:color w:val="1F1F1F"/>
          <w:sz w:val="21"/>
        </w:rPr>
        <w:t>AUTORIDADE/UNIDADE DEMANDANTE</w:t>
      </w:r>
    </w:p>
    <w:p w14:paraId="036DD817">
      <w:r>
        <w:br w:type="page"/>
      </w:r>
    </w:p>
    <w:p w14:paraId="40A36C7E">
      <w:pPr>
        <w:jc w:val="center"/>
      </w:pPr>
      <w:r>
        <w:rPr>
          <w:rFonts w:ascii="Arial" w:hAnsi="Arial"/>
          <w:b/>
          <w:color w:val="1F4E78"/>
          <w:sz w:val="28"/>
        </w:rPr>
        <w:t>ANEXO A - MODELO DE PROPOSTA DE PREÇOS</w:t>
      </w:r>
    </w:p>
    <w:p w14:paraId="19EC120C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À AUTARQUIA TERRITORIAL DISTRITO ESTADUAL DE FERNANDO DE NORONHA - ATDEFN</w:t>
      </w:r>
    </w:p>
    <w:p w14:paraId="37DDBCD5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Referência: Processo SEI nº</w:t>
      </w:r>
      <w:r>
        <w:rPr>
          <w:rFonts w:hint="default"/>
          <w:color w:val="1F1F1F"/>
          <w:sz w:val="21"/>
          <w:lang w:val="pt-BR"/>
        </w:rPr>
        <w:t>_____________</w:t>
      </w:r>
      <w:bookmarkStart w:id="0" w:name="_GoBack"/>
      <w:bookmarkEnd w:id="0"/>
      <w:r>
        <w:rPr>
          <w:rFonts w:ascii="Arial" w:hAnsi="Arial"/>
          <w:color w:val="1F1F1F"/>
          <w:sz w:val="21"/>
        </w:rPr>
        <w:br w:type="textWrapping"/>
      </w:r>
      <w:r>
        <w:rPr>
          <w:rFonts w:ascii="Arial" w:hAnsi="Arial"/>
          <w:color w:val="1F1F1F"/>
          <w:sz w:val="21"/>
        </w:rPr>
        <w:br w:type="textWrapping"/>
      </w:r>
      <w:r>
        <w:rPr>
          <w:rFonts w:ascii="Arial" w:hAnsi="Arial"/>
          <w:color w:val="1F1F1F"/>
          <w:sz w:val="21"/>
        </w:rPr>
        <w:t>Apresentamos nossa proposta para o fornecimento do objeto descrito no Termo de Referência, conforme quadro abaixo:</w:t>
      </w:r>
    </w:p>
    <w:tbl>
      <w:tblPr>
        <w:tblStyle w:val="48"/>
        <w:tblW w:w="9360" w:type="dxa"/>
        <w:tblInd w:w="120" w:type="dxa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4400"/>
        <w:gridCol w:w="850"/>
        <w:gridCol w:w="700"/>
        <w:gridCol w:w="1355"/>
        <w:gridCol w:w="1355"/>
      </w:tblGrid>
      <w:tr w14:paraId="6B5DE267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743030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Item</w:t>
            </w:r>
          </w:p>
        </w:tc>
        <w:tc>
          <w:tcPr>
            <w:tcW w:w="440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8C87BC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Descrição</w:t>
            </w:r>
          </w:p>
        </w:tc>
        <w:tc>
          <w:tcPr>
            <w:tcW w:w="85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170A19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Unid.</w:t>
            </w:r>
          </w:p>
        </w:tc>
        <w:tc>
          <w:tcPr>
            <w:tcW w:w="70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0C1E2F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Qtd.</w:t>
            </w:r>
          </w:p>
        </w:tc>
        <w:tc>
          <w:tcPr>
            <w:tcW w:w="1355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D7AD14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unitário</w:t>
            </w:r>
          </w:p>
        </w:tc>
        <w:tc>
          <w:tcPr>
            <w:tcW w:w="1355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2823FE"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total</w:t>
            </w:r>
          </w:p>
        </w:tc>
      </w:tr>
      <w:tr w14:paraId="19B88715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04B403">
            <w:pPr>
              <w:jc w:val="center"/>
            </w:pPr>
            <w:r>
              <w:rPr>
                <w:rFonts w:ascii="Arial" w:hAnsi="Arial"/>
                <w:color w:val="1F1F1F"/>
                <w:sz w:val="18"/>
              </w:rPr>
              <w:t>1</w:t>
            </w:r>
          </w:p>
        </w:tc>
        <w:tc>
          <w:tcPr>
            <w:tcW w:w="44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BD11F6">
            <w:pPr>
              <w:jc w:val="left"/>
            </w:pPr>
            <w:r>
              <w:rPr>
                <w:rFonts w:ascii="Arial" w:hAnsi="Arial"/>
                <w:color w:val="1F1F1F"/>
                <w:sz w:val="18"/>
              </w:rPr>
              <w:t>CorelDRAW Graphics Suite - assinatura individual por 36 meses.</w:t>
            </w:r>
          </w:p>
        </w:tc>
        <w:tc>
          <w:tcPr>
            <w:tcW w:w="8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247396">
            <w:pPr>
              <w:jc w:val="left"/>
            </w:pPr>
            <w:r>
              <w:rPr>
                <w:rFonts w:ascii="Arial" w:hAnsi="Arial"/>
                <w:color w:val="1F1F1F"/>
                <w:sz w:val="18"/>
              </w:rPr>
              <w:t>licença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A92D21">
            <w:pPr>
              <w:jc w:val="center"/>
            </w:pPr>
            <w:r>
              <w:rPr>
                <w:rFonts w:ascii="Arial" w:hAnsi="Arial"/>
                <w:color w:val="1F1F1F"/>
                <w:sz w:val="18"/>
              </w:rPr>
              <w:t>2</w:t>
            </w:r>
          </w:p>
        </w:tc>
        <w:tc>
          <w:tcPr>
            <w:tcW w:w="1355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EDD53A">
            <w:pPr>
              <w:jc w:val="center"/>
            </w:pPr>
            <w:r>
              <w:rPr>
                <w:rFonts w:ascii="Arial" w:hAnsi="Arial"/>
                <w:color w:val="1F1F1F"/>
                <w:sz w:val="18"/>
              </w:rPr>
              <w:t>R$ ______</w:t>
            </w:r>
          </w:p>
        </w:tc>
        <w:tc>
          <w:tcPr>
            <w:tcW w:w="1355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5C0013">
            <w:pPr>
              <w:jc w:val="center"/>
            </w:pPr>
            <w:r>
              <w:rPr>
                <w:rFonts w:ascii="Arial" w:hAnsi="Arial"/>
                <w:color w:val="1F1F1F"/>
                <w:sz w:val="18"/>
              </w:rPr>
              <w:t>R$ ______</w:t>
            </w:r>
          </w:p>
        </w:tc>
      </w:tr>
    </w:tbl>
    <w:p w14:paraId="66611CF5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Valor global da proposta: R$ ____________ (________________________________________).</w:t>
      </w:r>
    </w:p>
    <w:p w14:paraId="2C463EE0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Prazo de entrega: __________ dias corridos. Validade da proposta: __________ dias.</w:t>
      </w:r>
    </w:p>
    <w:p w14:paraId="71CE7BFA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Declaramos que os preços incluem todos os custos e que concordamos com as condições do Termo de Referência.</w:t>
      </w:r>
    </w:p>
    <w:p w14:paraId="6E930F0A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Local e data: __________________________________________</w:t>
      </w:r>
    </w:p>
    <w:p w14:paraId="4B3B2457">
      <w:pPr>
        <w:spacing w:after="20" w:line="264" w:lineRule="auto"/>
        <w:jc w:val="center"/>
      </w:pPr>
      <w:r>
        <w:rPr>
          <w:rFonts w:ascii="Arial" w:hAnsi="Arial"/>
          <w:color w:val="1F1F1F"/>
          <w:sz w:val="21"/>
        </w:rPr>
        <w:br w:type="textWrapping"/>
      </w:r>
      <w:r>
        <w:rPr>
          <w:rFonts w:ascii="Arial" w:hAnsi="Arial"/>
          <w:color w:val="1F1F1F"/>
          <w:sz w:val="21"/>
        </w:rPr>
        <w:t>____________________________________________</w:t>
      </w:r>
    </w:p>
    <w:p w14:paraId="120086E2">
      <w:pPr>
        <w:spacing w:after="120" w:line="264" w:lineRule="auto"/>
        <w:jc w:val="center"/>
      </w:pPr>
      <w:r>
        <w:rPr>
          <w:rFonts w:ascii="Arial" w:hAnsi="Arial"/>
          <w:color w:val="1F1F1F"/>
          <w:sz w:val="21"/>
        </w:rPr>
        <w:t>Representante legal / cargo / CNPJ</w:t>
      </w:r>
    </w:p>
    <w:p w14:paraId="23A61CDC">
      <w:r>
        <w:br w:type="page"/>
      </w:r>
    </w:p>
    <w:p w14:paraId="6AF72E48">
      <w:pPr>
        <w:jc w:val="center"/>
      </w:pPr>
      <w:r>
        <w:rPr>
          <w:rFonts w:ascii="Arial" w:hAnsi="Arial"/>
          <w:b/>
          <w:color w:val="1F4E78"/>
          <w:sz w:val="28"/>
        </w:rPr>
        <w:t>ANEXO B - MODELO DE ORDEM DE FORNECIMENTO</w:t>
      </w:r>
    </w:p>
    <w:p w14:paraId="6FA55F86">
      <w:pPr>
        <w:spacing w:after="120" w:line="264" w:lineRule="auto"/>
        <w:jc w:val="both"/>
      </w:pPr>
      <w:r>
        <w:rPr>
          <w:rFonts w:ascii="Arial" w:hAnsi="Arial"/>
          <w:b/>
          <w:color w:val="1F1F1F"/>
          <w:sz w:val="21"/>
        </w:rPr>
        <w:t>NOTA DE EMPENHO:</w:t>
      </w:r>
      <w:r>
        <w:rPr>
          <w:rFonts w:ascii="Arial" w:hAnsi="Arial"/>
          <w:color w:val="1F1F1F"/>
          <w:sz w:val="21"/>
        </w:rPr>
        <w:t xml:space="preserve"> [PREENCHER]</w:t>
      </w:r>
    </w:p>
    <w:p w14:paraId="0586C592">
      <w:pPr>
        <w:spacing w:after="120" w:line="264" w:lineRule="auto"/>
        <w:jc w:val="both"/>
      </w:pPr>
      <w:r>
        <w:rPr>
          <w:rFonts w:ascii="Arial" w:hAnsi="Arial"/>
          <w:b/>
          <w:color w:val="1F1F1F"/>
          <w:sz w:val="21"/>
        </w:rPr>
        <w:t>OBJETO:</w:t>
      </w:r>
      <w:r>
        <w:rPr>
          <w:rFonts w:ascii="Arial" w:hAnsi="Arial"/>
          <w:color w:val="1F1F1F"/>
          <w:sz w:val="21"/>
        </w:rPr>
        <w:t xml:space="preserve"> Fornecimento de 2 licenças CorelDRAW Graphics Suite, assinatura individual por 36 meses.</w:t>
      </w:r>
    </w:p>
    <w:p w14:paraId="22A49D83">
      <w:pPr>
        <w:spacing w:after="120" w:line="264" w:lineRule="auto"/>
        <w:jc w:val="both"/>
      </w:pPr>
      <w:r>
        <w:rPr>
          <w:rFonts w:ascii="Arial" w:hAnsi="Arial"/>
          <w:b/>
          <w:color w:val="1F1F1F"/>
          <w:sz w:val="21"/>
        </w:rPr>
        <w:t>VALOR:</w:t>
      </w:r>
      <w:r>
        <w:rPr>
          <w:rFonts w:ascii="Arial" w:hAnsi="Arial"/>
          <w:color w:val="1F1F1F"/>
          <w:sz w:val="21"/>
        </w:rPr>
        <w:t xml:space="preserve"> [PREENCHER]</w:t>
      </w:r>
    </w:p>
    <w:p w14:paraId="257AB775">
      <w:pPr>
        <w:spacing w:after="120" w:line="264" w:lineRule="auto"/>
        <w:jc w:val="both"/>
      </w:pPr>
      <w:r>
        <w:rPr>
          <w:rFonts w:ascii="Arial" w:hAnsi="Arial"/>
          <w:b/>
          <w:color w:val="1F1F1F"/>
          <w:sz w:val="21"/>
        </w:rPr>
        <w:t>PRAZO DE ENTREGA:</w:t>
      </w:r>
      <w:r>
        <w:rPr>
          <w:rFonts w:ascii="Arial" w:hAnsi="Arial"/>
          <w:color w:val="1F1F1F"/>
          <w:sz w:val="21"/>
        </w:rPr>
        <w:t xml:space="preserve"> Até 10 dias corridos.</w:t>
      </w:r>
    </w:p>
    <w:p w14:paraId="71B73EC5">
      <w:pPr>
        <w:spacing w:after="120" w:line="264" w:lineRule="auto"/>
        <w:jc w:val="both"/>
      </w:pPr>
      <w:r>
        <w:rPr>
          <w:rFonts w:ascii="Arial" w:hAnsi="Arial"/>
          <w:b/>
          <w:color w:val="1F1F1F"/>
          <w:sz w:val="21"/>
        </w:rPr>
        <w:t>FORMA DE ENTREGA:</w:t>
      </w:r>
      <w:r>
        <w:rPr>
          <w:rFonts w:ascii="Arial" w:hAnsi="Arial"/>
          <w:color w:val="1F1F1F"/>
          <w:sz w:val="21"/>
        </w:rPr>
        <w:t xml:space="preserve"> Eletrônica, ao e-mail institucional indicado pela GTI.</w:t>
      </w:r>
    </w:p>
    <w:p w14:paraId="1B577D40">
      <w:pPr>
        <w:spacing w:after="120" w:line="264" w:lineRule="auto"/>
        <w:jc w:val="both"/>
      </w:pPr>
      <w:r>
        <w:rPr>
          <w:rFonts w:ascii="Arial" w:hAnsi="Arial"/>
          <w:b/>
          <w:color w:val="1F1F1F"/>
          <w:sz w:val="21"/>
        </w:rPr>
        <w:t>SERVIDOR RESPONSÁVEL PELO RECEBIMENTO:</w:t>
      </w:r>
      <w:r>
        <w:rPr>
          <w:rFonts w:ascii="Arial" w:hAnsi="Arial"/>
          <w:color w:val="1F1F1F"/>
          <w:sz w:val="21"/>
        </w:rPr>
        <w:t xml:space="preserve"> [PREENCHER]</w:t>
      </w:r>
    </w:p>
    <w:p w14:paraId="2857D7D9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O objeto deverá ser entregue em conformidade com as especificações e condições do Termo de Referência e da proposta aceita, que integram esta Ordem independentemente de transcrição.</w:t>
      </w:r>
    </w:p>
    <w:p w14:paraId="7F4879D8">
      <w:pPr>
        <w:spacing w:after="120" w:line="264" w:lineRule="auto"/>
        <w:jc w:val="both"/>
      </w:pPr>
      <w:r>
        <w:rPr>
          <w:rFonts w:ascii="Arial" w:hAnsi="Arial"/>
          <w:color w:val="1F1F1F"/>
          <w:sz w:val="21"/>
        </w:rPr>
        <w:t>Local e data: __________________________________________</w:t>
      </w:r>
    </w:p>
    <w:p w14:paraId="3D02D8A1">
      <w:pPr>
        <w:spacing w:after="20" w:line="264" w:lineRule="auto"/>
        <w:jc w:val="center"/>
      </w:pPr>
      <w:r>
        <w:rPr>
          <w:rFonts w:ascii="Arial" w:hAnsi="Arial"/>
          <w:color w:val="1F1F1F"/>
          <w:sz w:val="21"/>
        </w:rPr>
        <w:br w:type="textWrapping"/>
      </w:r>
      <w:r>
        <w:rPr>
          <w:rFonts w:ascii="Arial" w:hAnsi="Arial"/>
          <w:color w:val="1F1F1F"/>
          <w:sz w:val="21"/>
        </w:rPr>
        <w:t>____________________________________________</w:t>
      </w:r>
    </w:p>
    <w:p w14:paraId="5CA6FA21">
      <w:pPr>
        <w:spacing w:after="120" w:line="264" w:lineRule="auto"/>
        <w:jc w:val="center"/>
      </w:pPr>
      <w:r>
        <w:rPr>
          <w:rFonts w:ascii="Arial" w:hAnsi="Arial"/>
          <w:color w:val="1F1F1F"/>
          <w:sz w:val="21"/>
        </w:rPr>
        <w:t>Servidor responsável</w:t>
      </w:r>
    </w:p>
    <w:sectPr>
      <w:headerReference r:id="rId5" w:type="default"/>
      <w:footerReference r:id="rId6" w:type="default"/>
      <w:pgSz w:w="11909" w:h="16834"/>
      <w:pgMar w:top="1080" w:right="1152" w:bottom="1008" w:left="1152" w:header="432" w:footer="432" w:gutter="0"/>
      <w:cols w:space="720" w:num="1"/>
      <w:formProt w:val="0"/>
      <w:docGrid w:linePitch="10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Liberation Serif">
    <w:panose1 w:val="02020603050405020304"/>
    <w:charset w:val="00"/>
    <w:family w:val="roman"/>
    <w:pitch w:val="default"/>
    <w:sig w:usb0="E0000AFF" w:usb1="500078FF" w:usb2="00000021" w:usb3="00000000" w:csb0="600001BF" w:csb1="DFF70000"/>
  </w:font>
  <w:font w:name="Mangal">
    <w:altName w:val="Liberation Mono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roman"/>
    <w:pitch w:val="default"/>
    <w:sig w:usb0="80000287" w:usb1="2ACF3C50" w:usb2="00000016" w:usb3="00000000" w:csb0="0004001F" w:csb1="00000000"/>
  </w:font>
  <w:font w:name="OpenSymbol">
    <w:panose1 w:val="05010000000000000000"/>
    <w:charset w:val="00"/>
    <w:family w:val="roman"/>
    <w:pitch w:val="default"/>
    <w:sig w:usb0="800000AF" w:usb1="1001ECEA" w:usb2="00000000" w:usb3="00000000" w:csb0="80000001" w:csb1="00000000"/>
  </w:font>
  <w:font w:name="Libre Franklin">
    <w:altName w:val="Liberation Mono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Franklin Gothic Book">
    <w:altName w:val="Miriam Mono CLM"/>
    <w:panose1 w:val="020B0503020102020204"/>
    <w:charset w:val="00"/>
    <w:family w:val="swiss"/>
    <w:pitch w:val="default"/>
    <w:sig w:usb0="00000000" w:usb1="00000000" w:usb2="00000000" w:usb3="00000000" w:csb0="0000009F" w:csb1="00000000"/>
  </w:font>
  <w:font w:name="Miriam Mono CLM">
    <w:panose1 w:val="02000503000000000000"/>
    <w:charset w:val="00"/>
    <w:family w:val="auto"/>
    <w:pitch w:val="default"/>
    <w:sig w:usb0="A000087F" w:usb1="50002042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CCD847">
    <w:pPr>
      <w:jc w:val="center"/>
    </w:pPr>
    <w:r>
      <w:rPr>
        <w:rFonts w:ascii="Arial" w:hAnsi="Arial"/>
        <w:color w:val="666666"/>
        <w:sz w:val="16"/>
      </w:rPr>
      <w:t xml:space="preserve">Processo SEI nº 0030900026.002701/2023-80  |  Página </w:t>
    </w:r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rPr>
        <w:rFonts w:ascii="Arial" w:hAnsi="Arial"/>
        <w:color w:val="666666"/>
        <w:sz w:val="16"/>
      </w:rPr>
      <w:t xml:space="preserve"> de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64" w:lineRule="auto"/>
      </w:pPr>
      <w:r>
        <w:separator/>
      </w:r>
    </w:p>
  </w:footnote>
  <w:footnote w:type="continuationSeparator" w:id="1">
    <w:p>
      <w:pPr>
        <w:spacing w:before="0" w:after="0" w:line="26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C1640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NotTrackMoves/>
  <w:documentProtection w:enforcement="0"/>
  <w:defaultTabStop w:val="709"/>
  <w:autoHyphenation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61A"/>
    <w:rsid w:val="000E027F"/>
    <w:rsid w:val="00323AEC"/>
    <w:rsid w:val="008B6853"/>
    <w:rsid w:val="0095331D"/>
    <w:rsid w:val="00B07BAF"/>
    <w:rsid w:val="00B30B96"/>
    <w:rsid w:val="00D644C5"/>
    <w:rsid w:val="00DC28C0"/>
    <w:rsid w:val="00EF4B37"/>
    <w:rsid w:val="00FC561A"/>
    <w:rsid w:val="07B93D28"/>
    <w:rsid w:val="0BBD1B53"/>
    <w:rsid w:val="20686A9C"/>
    <w:rsid w:val="36BF0C62"/>
    <w:rsid w:val="4F836083"/>
    <w:rsid w:val="6C2F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uppressAutoHyphens/>
      <w:spacing w:after="120" w:line="264" w:lineRule="auto"/>
      <w:textAlignment w:val="baseline"/>
    </w:pPr>
    <w:rPr>
      <w:rFonts w:ascii="Arial" w:hAnsi="Arial" w:eastAsia="NSimSun" w:cs="Arial"/>
      <w:color w:val="1F1F1F"/>
      <w:kern w:val="2"/>
      <w:sz w:val="21"/>
      <w:szCs w:val="24"/>
      <w:lang w:val="pt-BR" w:eastAsia="zh-CN" w:bidi="hi-IN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annotation reference"/>
    <w:semiHidden/>
    <w:unhideWhenUsed/>
    <w:qFormat/>
    <w:uiPriority w:val="99"/>
    <w:rPr>
      <w:sz w:val="16"/>
      <w:szCs w:val="16"/>
    </w:rPr>
  </w:style>
  <w:style w:type="character" w:styleId="6">
    <w:name w:val="footnote reference"/>
    <w:qFormat/>
    <w:uiPriority w:val="0"/>
    <w:rPr>
      <w:vertAlign w:val="superscript"/>
    </w:rPr>
  </w:style>
  <w:style w:type="character" w:styleId="7">
    <w:name w:val="Hyperlink"/>
    <w:qFormat/>
    <w:uiPriority w:val="0"/>
    <w:rPr>
      <w:color w:val="000080"/>
      <w:u w:val="single"/>
    </w:rPr>
  </w:style>
  <w:style w:type="paragraph" w:styleId="8">
    <w:name w:val="List"/>
    <w:basedOn w:val="9"/>
    <w:qFormat/>
    <w:uiPriority w:val="0"/>
  </w:style>
  <w:style w:type="paragraph" w:customStyle="1" w:styleId="9">
    <w:name w:val="Text body"/>
    <w:basedOn w:val="10"/>
    <w:qFormat/>
    <w:uiPriority w:val="0"/>
    <w:pPr>
      <w:spacing w:after="140" w:line="276" w:lineRule="auto"/>
    </w:pPr>
  </w:style>
  <w:style w:type="paragraph" w:customStyle="1" w:styleId="10">
    <w:name w:val="Standard"/>
    <w:qFormat/>
    <w:uiPriority w:val="0"/>
    <w:pPr>
      <w:suppressAutoHyphens/>
      <w:textAlignment w:val="baseline"/>
    </w:pPr>
    <w:rPr>
      <w:rFonts w:ascii="Liberation Serif" w:hAnsi="Liberation Serif" w:eastAsia="NSimSun" w:cs="Arial"/>
      <w:kern w:val="2"/>
      <w:sz w:val="24"/>
      <w:szCs w:val="24"/>
      <w:lang w:val="pt-BR" w:eastAsia="zh-CN" w:bidi="hi-IN"/>
    </w:rPr>
  </w:style>
  <w:style w:type="paragraph" w:styleId="11">
    <w:name w:val="Body Text"/>
    <w:basedOn w:val="1"/>
    <w:qFormat/>
    <w:uiPriority w:val="0"/>
    <w:pPr>
      <w:spacing w:after="140" w:line="276" w:lineRule="auto"/>
    </w:pPr>
  </w:style>
  <w:style w:type="paragraph" w:styleId="12">
    <w:name w:val="annotation text"/>
    <w:basedOn w:val="1"/>
    <w:link w:val="46"/>
    <w:semiHidden/>
    <w:unhideWhenUsed/>
    <w:uiPriority w:val="99"/>
    <w:rPr>
      <w:rFonts w:cs="Mangal"/>
      <w:sz w:val="20"/>
      <w:szCs w:val="18"/>
    </w:rPr>
  </w:style>
  <w:style w:type="paragraph" w:styleId="13">
    <w:name w:val="Title"/>
    <w:basedOn w:val="1"/>
    <w:next w:val="11"/>
    <w:qFormat/>
    <w:uiPriority w:val="0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14">
    <w:name w:val="header"/>
    <w:basedOn w:val="10"/>
    <w:qFormat/>
    <w:uiPriority w:val="0"/>
    <w:pPr>
      <w:tabs>
        <w:tab w:val="center" w:pos="4252"/>
        <w:tab w:val="right" w:pos="8504"/>
      </w:tabs>
    </w:pPr>
  </w:style>
  <w:style w:type="paragraph" w:styleId="15">
    <w:name w:val="footer"/>
    <w:basedOn w:val="1"/>
    <w:link w:val="47"/>
    <w:unhideWhenUsed/>
    <w:qFormat/>
    <w:uiPriority w:val="99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16">
    <w:name w:val="caption"/>
    <w:basedOn w:val="1"/>
    <w:qFormat/>
    <w:uiPriority w:val="0"/>
    <w:pPr>
      <w:suppressLineNumbers/>
      <w:spacing w:before="120" w:after="120"/>
    </w:pPr>
    <w:rPr>
      <w:i/>
      <w:iCs/>
    </w:rPr>
  </w:style>
  <w:style w:type="character" w:customStyle="1" w:styleId="17">
    <w:name w:val="Fonte parág. padrão1"/>
    <w:qFormat/>
    <w:uiPriority w:val="0"/>
  </w:style>
  <w:style w:type="character" w:customStyle="1" w:styleId="18">
    <w:name w:val="Strong Emphasis"/>
    <w:qFormat/>
    <w:uiPriority w:val="0"/>
    <w:rPr>
      <w:b/>
      <w:bCs/>
    </w:rPr>
  </w:style>
  <w:style w:type="character" w:customStyle="1" w:styleId="19">
    <w:name w:val="Internet link"/>
    <w:qFormat/>
    <w:uiPriority w:val="0"/>
    <w:rPr>
      <w:color w:val="000080"/>
      <w:u w:val="single"/>
    </w:rPr>
  </w:style>
  <w:style w:type="character" w:customStyle="1" w:styleId="20">
    <w:name w:val="Footnote Symbol"/>
    <w:qFormat/>
    <w:uiPriority w:val="0"/>
  </w:style>
  <w:style w:type="character" w:customStyle="1" w:styleId="21">
    <w:name w:val="Caracteres de nota de rodapé"/>
    <w:qFormat/>
    <w:uiPriority w:val="0"/>
    <w:rPr>
      <w:vertAlign w:val="superscript"/>
    </w:rPr>
  </w:style>
  <w:style w:type="character" w:customStyle="1" w:styleId="22">
    <w:name w:val="Marcadores"/>
    <w:qFormat/>
    <w:uiPriority w:val="0"/>
    <w:rPr>
      <w:rFonts w:ascii="OpenSymbol" w:hAnsi="OpenSymbol" w:eastAsia="OpenSymbol" w:cs="OpenSymbol"/>
    </w:rPr>
  </w:style>
  <w:style w:type="character" w:customStyle="1" w:styleId="23">
    <w:name w:val="Fonte parág. padrão11"/>
    <w:qFormat/>
    <w:uiPriority w:val="0"/>
  </w:style>
  <w:style w:type="character" w:customStyle="1" w:styleId="24">
    <w:name w:val="Ref. de comentário3"/>
    <w:qFormat/>
    <w:uiPriority w:val="0"/>
    <w:rPr>
      <w:sz w:val="16"/>
      <w:szCs w:val="16"/>
    </w:rPr>
  </w:style>
  <w:style w:type="character" w:customStyle="1" w:styleId="25">
    <w:name w:val="Fonte parág. padrão4"/>
    <w:qFormat/>
    <w:uiPriority w:val="0"/>
  </w:style>
  <w:style w:type="paragraph" w:customStyle="1" w:styleId="26">
    <w:name w:val="Índice"/>
    <w:basedOn w:val="10"/>
    <w:qFormat/>
    <w:uiPriority w:val="0"/>
    <w:pPr>
      <w:suppressLineNumbers/>
    </w:pPr>
  </w:style>
  <w:style w:type="paragraph" w:customStyle="1" w:styleId="27">
    <w:name w:val="Título1"/>
    <w:basedOn w:val="10"/>
    <w:next w:val="11"/>
    <w:qFormat/>
    <w:uiPriority w:val="0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customStyle="1" w:styleId="28">
    <w:name w:val="caption1"/>
    <w:basedOn w:val="1"/>
    <w:qFormat/>
    <w:uiPriority w:val="0"/>
    <w:pPr>
      <w:suppressLineNumbers/>
      <w:spacing w:before="120" w:after="120"/>
    </w:pPr>
    <w:rPr>
      <w:i/>
      <w:iCs/>
    </w:rPr>
  </w:style>
  <w:style w:type="paragraph" w:customStyle="1" w:styleId="29">
    <w:name w:val="caption11"/>
    <w:basedOn w:val="1"/>
    <w:qFormat/>
    <w:uiPriority w:val="0"/>
    <w:pPr>
      <w:suppressLineNumbers/>
      <w:spacing w:before="120" w:after="120"/>
    </w:pPr>
    <w:rPr>
      <w:i/>
      <w:iCs/>
    </w:rPr>
  </w:style>
  <w:style w:type="paragraph" w:customStyle="1" w:styleId="30">
    <w:name w:val="caption111"/>
    <w:basedOn w:val="10"/>
    <w:qFormat/>
    <w:uiPriority w:val="0"/>
    <w:pPr>
      <w:suppressLineNumbers/>
      <w:spacing w:before="120" w:after="120"/>
    </w:pPr>
    <w:rPr>
      <w:i/>
      <w:iCs/>
    </w:rPr>
  </w:style>
  <w:style w:type="paragraph" w:customStyle="1" w:styleId="31">
    <w:name w:val="Conteúdo da tabela"/>
    <w:basedOn w:val="10"/>
    <w:qFormat/>
    <w:uiPriority w:val="0"/>
    <w:pPr>
      <w:widowControl w:val="0"/>
      <w:suppressLineNumbers/>
    </w:pPr>
  </w:style>
  <w:style w:type="paragraph" w:customStyle="1" w:styleId="32">
    <w:name w:val="Título de tabela"/>
    <w:basedOn w:val="31"/>
    <w:qFormat/>
    <w:uiPriority w:val="0"/>
    <w:pPr>
      <w:jc w:val="center"/>
    </w:pPr>
    <w:rPr>
      <w:b/>
      <w:bCs/>
    </w:rPr>
  </w:style>
  <w:style w:type="paragraph" w:customStyle="1" w:styleId="33">
    <w:name w:val="LO-normal"/>
    <w:qFormat/>
    <w:uiPriority w:val="0"/>
    <w:pPr>
      <w:suppressAutoHyphens/>
      <w:spacing w:after="200" w:line="276" w:lineRule="auto"/>
      <w:textAlignment w:val="baseline"/>
    </w:pPr>
    <w:rPr>
      <w:rFonts w:ascii="Libre Franklin" w:hAnsi="Libre Franklin" w:eastAsia="Libre Franklin" w:cs="Libre Franklin"/>
      <w:sz w:val="22"/>
      <w:szCs w:val="22"/>
      <w:lang w:val="pt-BR" w:eastAsia="pt-BR" w:bidi="ar-SA"/>
    </w:rPr>
  </w:style>
  <w:style w:type="paragraph" w:customStyle="1" w:styleId="34">
    <w:name w:val="Parágrafo da Lista1"/>
    <w:basedOn w:val="10"/>
    <w:qFormat/>
    <w:uiPriority w:val="0"/>
    <w:pPr>
      <w:ind w:left="708"/>
    </w:pPr>
    <w:rPr>
      <w:rFonts w:ascii="Franklin Gothic Book" w:hAnsi="Franklin Gothic Book" w:eastAsia="Franklin Gothic Book" w:cs="Franklin Gothic Book"/>
    </w:rPr>
  </w:style>
  <w:style w:type="paragraph" w:customStyle="1" w:styleId="35">
    <w:name w:val="Normal1"/>
    <w:qFormat/>
    <w:uiPriority w:val="0"/>
    <w:pPr>
      <w:suppressAutoHyphens/>
      <w:spacing w:after="200" w:line="276" w:lineRule="auto"/>
      <w:textAlignment w:val="baseline"/>
    </w:pPr>
    <w:rPr>
      <w:rFonts w:ascii="Libre Franklin" w:hAnsi="Libre Franklin" w:eastAsia="Libre Franklin" w:cs="Libre Franklin"/>
      <w:sz w:val="22"/>
      <w:szCs w:val="22"/>
      <w:lang w:val="pt-BR" w:eastAsia="pt-BR" w:bidi="ar-SA"/>
    </w:rPr>
  </w:style>
  <w:style w:type="paragraph" w:customStyle="1" w:styleId="36">
    <w:name w:val="Normal3"/>
    <w:qFormat/>
    <w:uiPriority w:val="0"/>
    <w:pPr>
      <w:suppressAutoHyphens/>
      <w:spacing w:after="200" w:line="276" w:lineRule="auto"/>
      <w:textAlignment w:val="baseline"/>
    </w:pPr>
    <w:rPr>
      <w:rFonts w:ascii="Calibri" w:hAnsi="Calibri" w:eastAsia="Calibri" w:cs="Arial"/>
      <w:kern w:val="2"/>
      <w:sz w:val="22"/>
      <w:szCs w:val="22"/>
      <w:lang w:val="pt-BR" w:eastAsia="en-US" w:bidi="ar-SA"/>
    </w:rPr>
  </w:style>
  <w:style w:type="paragraph" w:customStyle="1" w:styleId="37">
    <w:name w:val="Cabeçalho e Rodapé"/>
    <w:basedOn w:val="10"/>
    <w:qFormat/>
    <w:uiPriority w:val="0"/>
    <w:pPr>
      <w:suppressLineNumbers/>
      <w:tabs>
        <w:tab w:val="center" w:pos="4819"/>
        <w:tab w:val="right" w:pos="9638"/>
      </w:tabs>
    </w:pPr>
  </w:style>
  <w:style w:type="paragraph" w:customStyle="1" w:styleId="38">
    <w:name w:val="Cabeçalho e rodapé1"/>
    <w:basedOn w:val="1"/>
    <w:qFormat/>
    <w:uiPriority w:val="0"/>
  </w:style>
  <w:style w:type="paragraph" w:customStyle="1" w:styleId="39">
    <w:name w:val="Cabeçalho e rodapé2"/>
    <w:basedOn w:val="1"/>
    <w:qFormat/>
    <w:uiPriority w:val="0"/>
  </w:style>
  <w:style w:type="paragraph" w:customStyle="1" w:styleId="40">
    <w:name w:val="Footnote"/>
    <w:basedOn w:val="10"/>
    <w:qFormat/>
    <w:uiPriority w:val="0"/>
    <w:pPr>
      <w:suppressLineNumbers/>
      <w:ind w:left="340" w:hanging="340"/>
    </w:pPr>
    <w:rPr>
      <w:sz w:val="20"/>
      <w:szCs w:val="20"/>
    </w:rPr>
  </w:style>
  <w:style w:type="paragraph" w:customStyle="1" w:styleId="41">
    <w:name w:val="LO-normal1"/>
    <w:qFormat/>
    <w:uiPriority w:val="0"/>
    <w:pPr>
      <w:suppressAutoHyphens/>
      <w:spacing w:after="200" w:line="276" w:lineRule="auto"/>
      <w:textAlignment w:val="baseline"/>
    </w:pPr>
    <w:rPr>
      <w:rFonts w:ascii="Libre Franklin" w:hAnsi="Libre Franklin" w:eastAsia="Libre Franklin" w:cs="Libre Franklin"/>
      <w:sz w:val="22"/>
      <w:szCs w:val="22"/>
      <w:lang w:val="pt-BR" w:eastAsia="pt-BR" w:bidi="ar-SA"/>
    </w:rPr>
  </w:style>
  <w:style w:type="paragraph" w:customStyle="1" w:styleId="42">
    <w:name w:val="Sem Espaçamento1"/>
    <w:qFormat/>
    <w:uiPriority w:val="0"/>
    <w:pPr>
      <w:suppressAutoHyphens/>
      <w:textAlignment w:val="baseline"/>
    </w:pPr>
    <w:rPr>
      <w:rFonts w:ascii="Calibri" w:hAnsi="Calibri" w:eastAsia="Calibri" w:cs="Times New Roman"/>
      <w:kern w:val="2"/>
      <w:lang w:val="pt-BR" w:eastAsia="pt-BR" w:bidi="ar-SA"/>
    </w:rPr>
  </w:style>
  <w:style w:type="paragraph" w:customStyle="1" w:styleId="43">
    <w:name w:val="Standard (WW)"/>
    <w:qFormat/>
    <w:uiPriority w:val="0"/>
    <w:pPr>
      <w:suppressAutoHyphens/>
      <w:spacing w:after="200" w:line="1" w:lineRule="atLeast"/>
      <w:ind w:left="-1" w:hanging="1"/>
      <w:textAlignment w:val="baseline"/>
      <w:outlineLvl w:val="0"/>
    </w:pPr>
    <w:rPr>
      <w:rFonts w:ascii="Times New Roman" w:hAnsi="Times New Roman" w:eastAsia="Times New Roman" w:cs="Arial"/>
      <w:kern w:val="2"/>
      <w:sz w:val="22"/>
      <w:szCs w:val="22"/>
      <w:lang w:val="pt-BR" w:eastAsia="zh-CN" w:bidi="ar-SA"/>
    </w:rPr>
  </w:style>
  <w:style w:type="paragraph" w:customStyle="1" w:styleId="44">
    <w:name w:val="_Style 4"/>
    <w:basedOn w:val="43"/>
    <w:qFormat/>
    <w:uiPriority w:val="0"/>
    <w:pPr>
      <w:spacing w:line="276" w:lineRule="auto"/>
      <w:ind w:left="720"/>
    </w:pPr>
    <w:rPr>
      <w:rFonts w:ascii="Franklin Gothic Book" w:hAnsi="Franklin Gothic Book" w:eastAsia="Franklin Gothic Book" w:cs="Franklin Gothic Book"/>
    </w:rPr>
  </w:style>
  <w:style w:type="paragraph" w:customStyle="1" w:styleId="45">
    <w:name w:val="Nivel 2"/>
    <w:basedOn w:val="10"/>
    <w:qFormat/>
    <w:uiPriority w:val="0"/>
    <w:pPr>
      <w:spacing w:before="120" w:after="120" w:line="276" w:lineRule="auto"/>
      <w:jc w:val="both"/>
    </w:pPr>
    <w:rPr>
      <w:rFonts w:ascii="Arial" w:hAnsi="Arial" w:eastAsia="Times New Roman"/>
      <w:color w:val="000000"/>
      <w:sz w:val="20"/>
      <w:szCs w:val="20"/>
    </w:rPr>
  </w:style>
  <w:style w:type="character" w:customStyle="1" w:styleId="46">
    <w:name w:val="Texto de comentário Char"/>
    <w:link w:val="12"/>
    <w:semiHidden/>
    <w:qFormat/>
    <w:uiPriority w:val="99"/>
    <w:rPr>
      <w:rFonts w:ascii="Liberation Serif" w:hAnsi="Liberation Serif" w:eastAsia="NSimSun" w:cs="Mangal"/>
      <w:kern w:val="2"/>
      <w:szCs w:val="18"/>
      <w:lang w:eastAsia="zh-CN" w:bidi="hi-IN"/>
    </w:rPr>
  </w:style>
  <w:style w:type="character" w:customStyle="1" w:styleId="47">
    <w:name w:val="Rodapé Char"/>
    <w:link w:val="15"/>
    <w:qFormat/>
    <w:uiPriority w:val="99"/>
    <w:rPr>
      <w:rFonts w:ascii="Liberation Serif" w:hAnsi="Liberation Serif" w:eastAsia="NSimSun" w:cs="Mangal"/>
      <w:kern w:val="2"/>
      <w:sz w:val="24"/>
      <w:szCs w:val="21"/>
      <w:lang w:eastAsia="zh-CN" w:bidi="hi-IN"/>
    </w:rPr>
  </w:style>
  <w:style w:type="table" w:customStyle="1" w:styleId="48">
    <w:name w:val="Table Grid"/>
    <w:qFormat/>
    <w:uiPriority w:val="0"/>
  </w:style>
  <w:style w:type="paragraph" w:customStyle="1" w:styleId="49">
    <w:name w:val="List Bullet"/>
    <w:qFormat/>
    <w:uiPriority w:val="0"/>
    <w:rPr>
      <w:rFonts w:ascii="Times New Roman" w:hAnsi="Times New Roman" w:eastAsia="Times New Roman" w:cs="Times New Roman"/>
      <w:lang w:val="pt-BR" w:eastAsia="pt-BR" w:bidi="ar-SA"/>
    </w:rPr>
  </w:style>
  <w:style w:type="paragraph" w:customStyle="1" w:styleId="50">
    <w:name w:val="List Number"/>
    <w:qFormat/>
    <w:uiPriority w:val="0"/>
    <w:rPr>
      <w:rFonts w:ascii="Times New Roman" w:hAnsi="Times New Roman" w:eastAsia="Times New Roman" w:cs="Times New Roman"/>
      <w:lang w:val="pt-BR" w:eastAsia="pt-BR" w:bidi="ar-SA"/>
    </w:rPr>
  </w:style>
  <w:style w:type="paragraph" w:customStyle="1" w:styleId="51">
    <w:name w:val="heading 1"/>
    <w:qFormat/>
    <w:uiPriority w:val="0"/>
    <w:pPr>
      <w:spacing w:before="240" w:after="100"/>
    </w:pPr>
    <w:rPr>
      <w:rFonts w:ascii="Arial" w:hAnsi="Arial" w:eastAsia="Times New Roman" w:cs="Times New Roman"/>
      <w:b/>
      <w:color w:val="1F4E78"/>
      <w:sz w:val="24"/>
      <w:lang w:val="pt-BR" w:eastAsia="pt-BR" w:bidi="ar-SA"/>
    </w:rPr>
  </w:style>
  <w:style w:type="paragraph" w:customStyle="1" w:styleId="52">
    <w:name w:val="heading 2"/>
    <w:qFormat/>
    <w:uiPriority w:val="0"/>
    <w:pPr>
      <w:spacing w:before="160" w:after="60"/>
    </w:pPr>
    <w:rPr>
      <w:rFonts w:ascii="Arial" w:hAnsi="Arial" w:eastAsia="Times New Roman" w:cs="Times New Roman"/>
      <w:b/>
      <w:color w:val="1F4E78"/>
      <w:sz w:val="21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</a:majorFont>
      <a:minorFont>
        <a:latin typeface="Aptos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1925</Words>
  <Characters>11879</Characters>
  <Lines>318</Lines>
  <Paragraphs>90</Paragraphs>
  <TotalTime>149</TotalTime>
  <ScaleCrop>false</ScaleCrop>
  <LinksUpToDate>false</LinksUpToDate>
  <CharactersWithSpaces>13658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2026-08-14T13:30:00Z</dcterms:created>
  <dc:creator>Autarquia Territorial Distrito Estadual de Fernando de Noronha</dc:creator>
  <cp:lastModifiedBy>vanessa.tubias</cp:lastModifiedBy>
  <cp:lastPrinted>2411-12-31T02:00:00Z</cp:lastPrinted>
  <dcterms:modified xsi:type="dcterms:W3CDTF">2026-09-03T17:13:29Z</dcterms:modified>
  <dc:subject>Aquisição de duas licenças CorelDRAW Graphics Suite por 36 meses</dc:subject>
  <dc:title>Termo de Referência - Aquisição de licenças CorelDRAW - 36 meses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eyJoZGlkIjoiODA5ZDc0MTRiODUwZDIxNmE2MGQ1OTI2ZWVhMTA3MzYifQ==</vt:lpwstr>
  </property>
  <property fmtid="{D5CDD505-2E9C-101B-9397-08002B2CF9AE}" pid="3" name="KSOProductBuildVer">
    <vt:lpwstr>1046-12.1.0.28032</vt:lpwstr>
  </property>
  <property fmtid="{D5CDD505-2E9C-101B-9397-08002B2CF9AE}" pid="4" name="ICV">
    <vt:lpwstr>BE7A5DE058214185A1D2BD220D2684BE_13</vt:lpwstr>
  </property>
</Properties>
</file>