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1"/>
        <w:spacing w:before="223" w:after="0"/>
        <w:ind w:left="135" w:right="52" w:hanging="0"/>
        <w:jc w:val="center"/>
        <w:rPr/>
      </w:pPr>
      <w:r>
        <w:rPr>
          <w:u w:val="single"/>
        </w:rPr>
        <w:t>TERMO DE REFERÊNCIA</w:t>
      </w:r>
    </w:p>
    <w:p>
      <w:pPr>
        <w:pStyle w:val="Normal"/>
        <w:spacing w:before="21" w:after="0"/>
        <w:rPr>
          <w:rFonts w:ascii="Arial" w:hAnsi="Arial" w:eastAsia="Arial" w:cs="Arial"/>
          <w:b/>
          <w:b/>
          <w:color w:val="000000"/>
          <w:sz w:val="20"/>
          <w:szCs w:val="20"/>
        </w:rPr>
      </w:pPr>
      <w:r>
        <w:rPr>
          <w:rFonts w:eastAsia="Arial" w:cs="Arial" w:ascii="Arial" w:hAnsi="Arial"/>
          <w:b/>
          <w:color w:val="000000"/>
          <w:sz w:val="20"/>
          <w:szCs w:val="20"/>
        </w:rPr>
        <mc:AlternateContent>
          <mc:Choice Requires="wps">
            <w:drawing>
              <wp:anchor behindDoc="0" distT="0" distB="0" distL="0" distR="0" simplePos="0" locked="0" layoutInCell="0" allowOverlap="1" relativeHeight="60">
                <wp:simplePos x="0" y="0"/>
                <wp:positionH relativeFrom="column">
                  <wp:posOffset>863600</wp:posOffset>
                </wp:positionH>
                <wp:positionV relativeFrom="paragraph">
                  <wp:posOffset>114300</wp:posOffset>
                </wp:positionV>
                <wp:extent cx="5428615" cy="398145"/>
                <wp:effectExtent l="0" t="0" r="0" b="0"/>
                <wp:wrapTopAndBottom/>
                <wp:docPr id="1" name="Figura1"/>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 DO OBJETO</w:t>
                            </w:r>
                          </w:p>
                        </w:txbxContent>
                      </wps:txbx>
                      <wps:bodyPr lIns="0" rIns="0" tIns="0" bIns="0" anchor="t">
                        <a:noAutofit/>
                      </wps:bodyPr>
                    </wps:wsp>
                  </a:graphicData>
                </a:graphic>
              </wp:anchor>
            </w:drawing>
          </mc:Choice>
          <mc:Fallback>
            <w:pict>
              <v:rect id="shape_0" ID="Figura1" path="m0,0l-2147483645,0l-2147483645,-2147483646l0,-2147483646xe" fillcolor="#f1f1f1" stroked="f" o:allowincell="f" style="position:absolute;margin-left:68pt;margin-top:9pt;width:427.4pt;height:31.3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 DO OBJETO</w:t>
                      </w:r>
                    </w:p>
                  </w:txbxContent>
                </v:textbox>
                <w10:wrap type="topAndBottom"/>
              </v:rect>
            </w:pict>
          </mc:Fallback>
        </mc:AlternateContent>
      </w:r>
    </w:p>
    <w:p>
      <w:pPr>
        <w:pStyle w:val="Normal"/>
        <w:spacing w:before="1" w:after="0"/>
        <w:ind w:left="1417" w:right="1382" w:hanging="0"/>
        <w:jc w:val="both"/>
        <w:rPr>
          <w:sz w:val="24"/>
          <w:szCs w:val="24"/>
        </w:rPr>
      </w:pPr>
      <w:r>
        <w:rPr>
          <w:sz w:val="24"/>
          <w:szCs w:val="24"/>
        </w:rPr>
        <w:t>L</w:t>
      </w:r>
      <w:r>
        <w:rPr>
          <w:color w:val="000000"/>
          <w:sz w:val="24"/>
          <w:szCs w:val="24"/>
        </w:rPr>
        <w:t>ocação d</w:t>
      </w:r>
      <w:r>
        <w:rPr>
          <w:sz w:val="24"/>
          <w:szCs w:val="24"/>
        </w:rPr>
        <w:t xml:space="preserve">e equipamentos do tipo </w:t>
      </w:r>
      <w:r>
        <w:rPr>
          <w:i/>
          <w:sz w:val="24"/>
          <w:szCs w:val="24"/>
        </w:rPr>
        <w:t xml:space="preserve">Point of Care Testing </w:t>
      </w:r>
      <w:r>
        <w:rPr>
          <w:sz w:val="24"/>
          <w:szCs w:val="24"/>
        </w:rPr>
        <w:t>(POCT), fornecimento de insumos, treinamento das equipes de coleta e</w:t>
      </w:r>
      <w:r>
        <w:rPr>
          <w:color w:val="000000"/>
          <w:sz w:val="24"/>
          <w:szCs w:val="24"/>
        </w:rPr>
        <w:t xml:space="preserve"> </w:t>
      </w:r>
      <w:r>
        <w:rPr>
          <w:sz w:val="24"/>
          <w:szCs w:val="24"/>
        </w:rPr>
        <w:t>c</w:t>
      </w:r>
      <w:r>
        <w:rPr>
          <w:color w:val="000000"/>
          <w:sz w:val="24"/>
          <w:szCs w:val="24"/>
        </w:rPr>
        <w:t>entral de laudos para assist</w:t>
      </w:r>
      <w:r>
        <w:rPr>
          <w:sz w:val="24"/>
          <w:szCs w:val="24"/>
        </w:rPr>
        <w:t>ência a</w:t>
      </w:r>
      <w:r>
        <w:rPr>
          <w:color w:val="000000"/>
          <w:sz w:val="24"/>
          <w:szCs w:val="24"/>
        </w:rPr>
        <w:t xml:space="preserve"> prestação de serviços laboratoriais </w:t>
      </w:r>
      <w:r>
        <w:rPr>
          <w:rFonts w:eastAsia="Arial" w:cs="Arial" w:ascii="Arial" w:hAnsi="Arial"/>
          <w:b/>
          <w:color w:val="000000"/>
          <w:sz w:val="24"/>
          <w:szCs w:val="24"/>
          <w:u w:val="single"/>
        </w:rPr>
        <w:t>na modalidade volante</w:t>
      </w:r>
      <w:r>
        <w:rPr>
          <w:color w:val="000000"/>
          <w:sz w:val="24"/>
          <w:szCs w:val="24"/>
        </w:rPr>
        <w:t xml:space="preserve"> com </w:t>
      </w:r>
      <w:r>
        <w:rPr>
          <w:rFonts w:eastAsia="Arial" w:cs="Arial" w:ascii="Arial" w:hAnsi="Arial"/>
          <w:b/>
          <w:color w:val="000000"/>
          <w:sz w:val="24"/>
          <w:szCs w:val="24"/>
          <w:u w:val="single"/>
        </w:rPr>
        <w:t>emissão de laudos e entrega de resultados imediata</w:t>
      </w:r>
      <w:r>
        <w:rPr>
          <w:rFonts w:eastAsia="Arial" w:cs="Arial" w:ascii="Arial" w:hAnsi="Arial"/>
          <w:b/>
          <w:color w:val="000000"/>
          <w:sz w:val="24"/>
          <w:szCs w:val="24"/>
        </w:rPr>
        <w:t xml:space="preserve">, </w:t>
      </w:r>
      <w:r>
        <w:rPr>
          <w:color w:val="000000"/>
          <w:sz w:val="24"/>
          <w:szCs w:val="24"/>
        </w:rPr>
        <w:t>possibilitando rapidez na identificação e controle d</w:t>
      </w:r>
      <w:r>
        <w:rPr>
          <w:sz w:val="24"/>
          <w:szCs w:val="24"/>
        </w:rPr>
        <w:t>os casos de arboviroses</w:t>
      </w:r>
      <w:r>
        <w:rPr>
          <w:color w:val="000000"/>
          <w:sz w:val="24"/>
          <w:szCs w:val="24"/>
        </w:rPr>
        <w:t xml:space="preserve">, </w:t>
      </w:r>
      <w:r>
        <w:rPr>
          <w:sz w:val="24"/>
          <w:szCs w:val="24"/>
        </w:rPr>
        <w:t xml:space="preserve">evitando possíveis </w:t>
      </w:r>
      <w:r>
        <w:rPr>
          <w:color w:val="000000"/>
          <w:sz w:val="24"/>
          <w:szCs w:val="24"/>
        </w:rPr>
        <w:t xml:space="preserve">endemias no município de </w:t>
      </w:r>
      <w:r>
        <w:rPr>
          <w:sz w:val="24"/>
          <w:szCs w:val="24"/>
        </w:rPr>
        <w:t>Angra dos Reis.</w:t>
      </w:r>
    </w:p>
    <w:p>
      <w:pPr>
        <w:pStyle w:val="Normal"/>
        <w:spacing w:before="1" w:after="0"/>
        <w:ind w:left="1417" w:right="1382" w:hanging="0"/>
        <w:jc w:val="both"/>
        <w:rPr>
          <w:sz w:val="24"/>
          <w:szCs w:val="24"/>
        </w:rPr>
      </w:pPr>
      <w:r>
        <w:rPr>
          <w:sz w:val="24"/>
          <w:szCs w:val="24"/>
        </w:rPr>
      </w:r>
    </w:p>
    <w:p>
      <w:pPr>
        <w:pStyle w:val="Normal"/>
        <w:spacing w:before="1" w:after="0"/>
        <w:ind w:left="1417" w:right="1382" w:hanging="0"/>
        <w:jc w:val="both"/>
        <w:rPr>
          <w:sz w:val="24"/>
          <w:szCs w:val="24"/>
        </w:rPr>
      </w:pPr>
      <w:r>
        <w:rPr>
          <w:sz w:val="24"/>
          <w:szCs w:val="24"/>
        </w:rPr>
      </w:r>
    </w:p>
    <w:p>
      <w:pPr>
        <w:pStyle w:val="Normal"/>
        <w:spacing w:before="21" w:after="0"/>
        <w:rPr>
          <w:sz w:val="24"/>
          <w:szCs w:val="24"/>
        </w:rPr>
      </w:pPr>
      <w:r>
        <w:rPr>
          <w:sz w:val="24"/>
          <w:szCs w:val="24"/>
        </w:rPr>
        <mc:AlternateContent>
          <mc:Choice Requires="wps">
            <w:drawing>
              <wp:anchor behindDoc="0" distT="0" distB="0" distL="0" distR="0" simplePos="0" locked="0" layoutInCell="0" allowOverlap="1" relativeHeight="46">
                <wp:simplePos x="0" y="0"/>
                <wp:positionH relativeFrom="column">
                  <wp:posOffset>863600</wp:posOffset>
                </wp:positionH>
                <wp:positionV relativeFrom="paragraph">
                  <wp:posOffset>114300</wp:posOffset>
                </wp:positionV>
                <wp:extent cx="5428615" cy="398145"/>
                <wp:effectExtent l="0" t="0" r="0" b="0"/>
                <wp:wrapTopAndBottom/>
                <wp:docPr id="3" name="Figura2"/>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2. DA JUSTIFICATIVA</w:t>
                            </w:r>
                          </w:p>
                        </w:txbxContent>
                      </wps:txbx>
                      <wps:bodyPr lIns="0" rIns="0" tIns="0" bIns="0" anchor="t">
                        <a:noAutofit/>
                      </wps:bodyPr>
                    </wps:wsp>
                  </a:graphicData>
                </a:graphic>
              </wp:anchor>
            </w:drawing>
          </mc:Choice>
          <mc:Fallback>
            <w:pict>
              <v:rect id="shape_0" ID="Figura2" path="m0,0l-2147483645,0l-2147483645,-2147483646l0,-2147483646xe" fillcolor="#f1f1f1" stroked="f" o:allowincell="f" style="position:absolute;margin-left:68pt;margin-top:9pt;width:427.4pt;height:31.3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2. DA JUSTIFICATIVA</w:t>
                      </w:r>
                    </w:p>
                  </w:txbxContent>
                </v:textbox>
                <w10:wrap type="topAndBottom"/>
              </v:rect>
            </w:pict>
          </mc:Fallback>
        </mc:AlternateContent>
      </w:r>
    </w:p>
    <w:p>
      <w:pPr>
        <w:pStyle w:val="Normal"/>
        <w:spacing w:before="1" w:after="0"/>
        <w:ind w:left="1440" w:right="1396" w:hanging="0"/>
        <w:jc w:val="both"/>
        <w:rPr>
          <w:sz w:val="24"/>
          <w:szCs w:val="24"/>
        </w:rPr>
      </w:pPr>
      <w:r>
        <w:rPr>
          <w:sz w:val="24"/>
          <w:szCs w:val="24"/>
        </w:rPr>
        <w:t>Angra dos Reis é uma cidade localizada no litoral sul do estado, na região da Baía da Ilha Grande onde predomina o clima tropical, fazendo limites com o município de Rio Claro (RJ), Bananal (SP), São José do Barreiro (SP), Cunha (SP), Paraty (RJ), Mangaratiba (RJ) e o Oceano Atlântico. Apresenta relevo muito escarpado com encostas bem próximas ao mar e cobertas pela Mata Atlântica. Na década de 90, a paisagem de Angra dos Reis foi completamente modificada pela urbanização acelerada e ocupação desordenada do território a partir da migração de pessoas de outras cidades atraídas pela oferta de emprego no município. A Área Territorial, de acordo com o IBGE 2010, corresponde a 825 Km² de extensão territorial, sendo 626 Km² situados no continente o que corresponde a 76,43% do total e 193 Km² de parte insular o que perfaz 23,57%. O território é dividido em 5 Distritos Sanitários (DS), sendo um deles a Ilha Grande.</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A população segundo o IBGE no ano 2021 foi estimada em 210.171 habitantes, sendo 105.178 homens, 104.993 mulheres. Apresenta população indígena, quilombola e caiçara. A população com idade superior a 60 anos está estimada em 26.496 pessoas, representando 12,61% da população. A população com idade inferior a 15 anos está estimada em 44.186 pessoas, o que representa 21,02% da população. O 2º Distrito Sanitário é o mais populoso, seguido em ordem decrescente pelos 4º DS, 3º DS, 1º DS e 5º DS.</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Diante do crescente desafio representado pelo aumento expressivo de casos de casos de arboviroses no Município de Angra dos Reis, a urgência de uma licitação emergencial para a implementação do Point-of-Care Testing (PoCT) ganha ainda mais respaldo quando enriquecida com argumentos adicionais.</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O "point-of-care testing" (PoCT), também conhecido como "teste próximo ao paciente", destaca-se por ser uma ferramenta de diagnóstico que permite a realização de testes de forma conveniente e próxima ao local de atendimento. Este método oferece uma abordagem inovadora ao possibilitar que os testes clínicos sejam conduzidos em diferentes ambientes, reduzindo a necessidade de encaminhamentos a laboratórios distantes. Além disso, os equipamentos de PoCT são projetados para serem de fácil manuseio, tornando-os acessíveis a diversos profissionais de saúde, como médicos, enfermeiros, farmacêuticos e outros especialistas. Para aqueles sem formação ou experiência específica na área laboratorial, a versatilidade do PoCT permite a realização de treinamentos, capacitando esses profissionais para operar eficazmente o equipamento. Essa característica não apenas amplia a disponibilidade desses testes, mas também promove a descentralização do diagnóstico, agilizando e simplificando o processo de obtenção de resultados clínicos.</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A considerável concentração demográfica em áreas urbanas e, ocasionalmente, em regiões mais remotas e de difícil acesso, impõe desafios adicionais ao sistema de saúde local. Dados demográficos revelam nuances nas demandas assistenciais, tornando imperativa a adoção de tecnologias versáteis, como o PoCT. Essa abordagem não apenas garante cobertura em centros urbanos, mas se estende a comunidades periféricas, assegurando uma resposta abrangente e equitativa às necessidades de saúde da população.</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highlight w:val="white"/>
        </w:rPr>
      </w:pPr>
      <w:r>
        <w:rPr>
          <w:sz w:val="24"/>
          <w:szCs w:val="24"/>
          <w:highlight w:val="white"/>
        </w:rPr>
        <w:t>O clima tropical de Angra dos Reis, caracterizado por temperaturas elevadas e períodos chuvosos, não apenas favorece a proliferação do Aedes aegypti. Considerando o papel do Aedes aegypti como vetor das arboviroses, a implementação ágil do Point-of-Care Testing (PoCT) torna-se ainda mais crucial. A resposta imediata, fundamentada nessas condições climáticas propícias à disseminação dessas doenças, reforça a eficácia preventiva do PoCT como uma ferramenta vital na contenção de surtos. A capacidade de realizar testes rápidos e próximos ao local de atendimento agiliza o diagnóstico das arboviroses, permitindo a implementação precoce de medidas de isolamento e rastreamento de contatos para conter a propagação do vírus. Essa abordagem integrada, que combina a detecção de múltiplas doenças em um único sistema de teste de PoCT, é fundamental para uma resposta eficaz e abrangente às emergências de saúde pública em Angra dos Reis.</w:t>
      </w:r>
    </w:p>
    <w:p>
      <w:pPr>
        <w:pStyle w:val="Normal"/>
        <w:spacing w:before="1" w:after="0"/>
        <w:ind w:left="1468" w:right="1396" w:hanging="0"/>
        <w:jc w:val="both"/>
        <w:rPr>
          <w:sz w:val="24"/>
          <w:szCs w:val="24"/>
          <w:highlight w:val="white"/>
        </w:rPr>
      </w:pPr>
      <w:r>
        <w:rPr>
          <w:sz w:val="24"/>
          <w:szCs w:val="24"/>
          <w:highlight w:val="white"/>
        </w:rPr>
      </w:r>
    </w:p>
    <w:p>
      <w:pPr>
        <w:pStyle w:val="Normal"/>
        <w:spacing w:before="1" w:after="0"/>
        <w:ind w:left="1468" w:right="1396" w:hanging="0"/>
        <w:jc w:val="both"/>
        <w:rPr>
          <w:sz w:val="24"/>
          <w:szCs w:val="24"/>
        </w:rPr>
      </w:pPr>
      <w:r>
        <w:rPr>
          <w:sz w:val="24"/>
          <w:szCs w:val="24"/>
        </w:rPr>
        <w:t>As distintas regiões geográficas, abrangendo áreas costeiras, urbanas e rurais, destacam a necessidade de uma abordagem flexível e adaptável. O PoCT, pela sua portabilidade, pode ser estrategicamente distribuído em diferentes pontos da região, ampliando significativamente o alcance dos serviços de diagnóstico. Essa flexibilidade é essencial para abranger não apenas os centros urbanos, mas também áreas periféricas, onde o acesso aos serviços de saúde pode ser mais desafiador.</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 xml:space="preserve">Ao incorporar esses elementos, a implementação do PoCT não apenas oferece eficácia no diagnóstico e controle das doenças, mas também se ajusta de maneira intrínseca à realidade demográfica, climática e geográfica específica de Angra dos Reis. A </w:t>
      </w:r>
      <w:r>
        <w:rPr>
          <w:sz w:val="24"/>
          <w:szCs w:val="24"/>
        </w:rPr>
        <w:t>contratação</w:t>
      </w:r>
      <w:r>
        <w:rPr>
          <w:sz w:val="24"/>
          <w:szCs w:val="24"/>
        </w:rPr>
        <w:t xml:space="preserve"> emergencial para esse serviço, portanto, transcende a urgência imediata, transformando-se em uma medida estratégica essencial para enfrentar as complexidades da região e salvaguardar a saúde da população de maneira abrangente e eficaz.</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A introdução do Point-of-Care Testing (PoCT) em Angra dos Reis não apenas agrega eficácia no diagnóstico das arboviroses, mas também desempenha um papel crucial na otimização do sistema de saúde local. A rapidez nos resultados oferecidos pelo PoCT é uma peça-chave para a tomada de decisões ágeis e assertivas no tratamento dos pacientes. Essa agilidade permite uma abordagem diferenciada na gestão de leitos hospitalares, direcionando para as unidades de saúde apenas os pacientes de maior gravidade, enquanto os casos menos críticos podem ser tratados em ambiente domiciliar com segurança. Essa estratégia não apenas preserva os recursos hospitalares para aqueles que mais necessitam, mas também contribui para a eficiência global do sistema de saúde, otimizando a alocação de leitos e garantindo uma resposta mais adequada às necessidades específicas da população de Angra dos Reis.</w:t>
      </w:r>
    </w:p>
    <w:p>
      <w:pPr>
        <w:pStyle w:val="Normal"/>
        <w:spacing w:before="1" w:after="0"/>
        <w:ind w:left="1468" w:right="1396" w:hanging="0"/>
        <w:jc w:val="both"/>
        <w:rPr>
          <w:sz w:val="24"/>
          <w:szCs w:val="24"/>
        </w:rPr>
      </w:pPr>
      <w:r>
        <w:rPr>
          <w:sz w:val="24"/>
          <w:szCs w:val="24"/>
        </w:rPr>
      </w:r>
    </w:p>
    <w:p>
      <w:pPr>
        <w:pStyle w:val="Normal"/>
        <w:spacing w:before="1" w:after="0"/>
        <w:ind w:left="1468" w:right="1396" w:hanging="0"/>
        <w:jc w:val="both"/>
        <w:rPr>
          <w:sz w:val="24"/>
          <w:szCs w:val="24"/>
        </w:rPr>
      </w:pPr>
      <w:r>
        <w:rPr>
          <w:sz w:val="24"/>
          <w:szCs w:val="24"/>
        </w:rPr>
        <w:tab/>
      </w:r>
    </w:p>
    <w:p>
      <w:pPr>
        <w:pStyle w:val="Normal"/>
        <w:spacing w:before="1" w:after="0"/>
        <w:ind w:left="1468" w:right="1396" w:hanging="0"/>
        <w:jc w:val="both"/>
        <w:rPr>
          <w:sz w:val="24"/>
          <w:szCs w:val="24"/>
          <w:highlight w:val="green"/>
        </w:rPr>
      </w:pPr>
      <w:r>
        <w:rPr>
          <w:sz w:val="24"/>
          <w:szCs w:val="24"/>
        </w:rPr>
        <w:t>Ao examinar os dados de notificações registradas durante o intervalo de 2019 a 2024, conforme apresentado na tabela a seguir, observamos uma notável incidência de 1009 casos suspeitos nos primeiros 27 dias de janeiro deste ano, em comparação com os 1733 casos registrados em 2023. Diante desses números, é imperativo considerar a implementação de medidas de contenção e reorganização da infraestrutura para enfrentar uma potencial epidemia que se avizinha.</w:t>
      </w:r>
    </w:p>
    <w:p>
      <w:pPr>
        <w:pStyle w:val="Normal"/>
        <w:spacing w:before="1" w:after="0"/>
        <w:ind w:left="0" w:right="1396" w:hanging="0"/>
        <w:jc w:val="both"/>
        <w:rPr>
          <w:sz w:val="24"/>
          <w:szCs w:val="24"/>
          <w:highlight w:val="green"/>
        </w:rPr>
      </w:pPr>
      <w:r>
        <w:rPr>
          <w:sz w:val="24"/>
          <w:szCs w:val="24"/>
          <w:highlight w:val="green"/>
        </w:rPr>
      </w:r>
    </w:p>
    <w:p>
      <w:pPr>
        <w:pStyle w:val="Normal"/>
        <w:spacing w:before="268" w:after="200"/>
        <w:ind w:left="1417" w:right="1352" w:hanging="0"/>
        <w:jc w:val="both"/>
        <w:rPr>
          <w:sz w:val="24"/>
          <w:szCs w:val="24"/>
        </w:rPr>
      </w:pPr>
      <w:r>
        <w:rPr>
          <w:sz w:val="24"/>
          <w:szCs w:val="24"/>
        </w:rPr>
        <w:t xml:space="preserve">Tabela 1. Casos de Dengue do município de Angra dos Reis por classificação final segundo ano de notificação. </w:t>
      </w:r>
    </w:p>
    <w:tbl>
      <w:tblPr>
        <w:tblStyle w:val="775"/>
        <w:tblpPr w:vertAnchor="text" w:horzAnchor="text" w:bottomFromText="180" w:leftFromText="180" w:rightFromText="180" w:topFromText="180" w:tblpX="765" w:tblpY="1"/>
        <w:tblW w:w="9645" w:type="dxa"/>
        <w:jc w:val="left"/>
        <w:tblInd w:w="-10" w:type="dxa"/>
        <w:tblLayout w:type="fixed"/>
        <w:tblCellMar>
          <w:top w:w="100" w:type="dxa"/>
          <w:left w:w="100" w:type="dxa"/>
          <w:bottom w:w="100" w:type="dxa"/>
          <w:right w:w="100" w:type="dxa"/>
        </w:tblCellMar>
        <w:tblLook w:firstRow="0" w:noVBand="1" w:lastRow="0" w:firstColumn="0" w:lastColumn="0" w:noHBand="1" w:val="0600"/>
      </w:tblPr>
      <w:tblGrid>
        <w:gridCol w:w="1664"/>
        <w:gridCol w:w="870"/>
        <w:gridCol w:w="1335"/>
        <w:gridCol w:w="1515"/>
        <w:gridCol w:w="975"/>
        <w:gridCol w:w="1217"/>
        <w:gridCol w:w="945"/>
        <w:gridCol w:w="1122"/>
      </w:tblGrid>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Ano Notificação</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Total</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Descartado</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Inconclusivo</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Dengue</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Dengue sinais de alarme</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Dengue grave</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center"/>
              <w:rPr>
                <w:b/>
                <w:b/>
                <w:sz w:val="18"/>
                <w:szCs w:val="18"/>
              </w:rPr>
            </w:pPr>
            <w:r>
              <w:rPr>
                <w:rFonts w:eastAsia="Arial MT" w:cs="Arial MT"/>
                <w:b/>
                <w:kern w:val="0"/>
                <w:sz w:val="18"/>
                <w:szCs w:val="18"/>
                <w:lang w:val="pt-PT" w:eastAsia="zh-CN" w:bidi="ar-SA"/>
              </w:rPr>
              <w:t>Ignorado/ Branco</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2019</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1.456</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793</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72</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590</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2020</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140</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107</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10</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2021</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49</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34</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11</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2022</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327</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146</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45</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136</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2023</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1.733</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628</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810</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261</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33</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2024 (até 27/01)</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1.009</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116</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106</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2</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784</w:t>
            </w:r>
          </w:p>
        </w:tc>
      </w:tr>
      <w:tr>
        <w:trPr/>
        <w:tc>
          <w:tcPr>
            <w:tcW w:w="1664"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Total</w:t>
            </w:r>
          </w:p>
        </w:tc>
        <w:tc>
          <w:tcPr>
            <w:tcW w:w="870"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4.714</w:t>
            </w:r>
          </w:p>
        </w:tc>
        <w:tc>
          <w:tcPr>
            <w:tcW w:w="133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1.737</w:t>
            </w:r>
          </w:p>
        </w:tc>
        <w:tc>
          <w:tcPr>
            <w:tcW w:w="151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1.037</w:t>
            </w:r>
          </w:p>
        </w:tc>
        <w:tc>
          <w:tcPr>
            <w:tcW w:w="97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1.114</w:t>
            </w:r>
          </w:p>
        </w:tc>
        <w:tc>
          <w:tcPr>
            <w:tcW w:w="1217"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w:t>
            </w:r>
          </w:p>
        </w:tc>
        <w:tc>
          <w:tcPr>
            <w:tcW w:w="945"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3</w:t>
            </w:r>
          </w:p>
        </w:tc>
        <w:tc>
          <w:tcPr>
            <w:tcW w:w="1122" w:type="dxa"/>
            <w:tcBorders>
              <w:top w:val="single" w:sz="8" w:space="0" w:color="000000"/>
              <w:left w:val="single" w:sz="8" w:space="0" w:color="000000"/>
              <w:bottom w:val="single" w:sz="8" w:space="0" w:color="000000"/>
              <w:right w:val="single" w:sz="8" w:space="0" w:color="000000"/>
            </w:tcBorders>
          </w:tcPr>
          <w:p>
            <w:pPr>
              <w:pStyle w:val="Normal"/>
              <w:widowControl w:val="false"/>
              <w:spacing w:before="0" w:after="0"/>
              <w:jc w:val="left"/>
              <w:rPr>
                <w:sz w:val="18"/>
                <w:szCs w:val="18"/>
              </w:rPr>
            </w:pPr>
            <w:r>
              <w:rPr>
                <w:rFonts w:eastAsia="Arial MT" w:cs="Arial MT"/>
                <w:kern w:val="0"/>
                <w:sz w:val="18"/>
                <w:szCs w:val="18"/>
                <w:lang w:val="pt-PT" w:eastAsia="zh-CN" w:bidi="ar-SA"/>
              </w:rPr>
              <w:t>820</w:t>
            </w:r>
          </w:p>
        </w:tc>
      </w:tr>
    </w:tbl>
    <w:p>
      <w:pPr>
        <w:pStyle w:val="Normal"/>
        <w:spacing w:before="268" w:after="0"/>
        <w:ind w:left="1417" w:right="1381" w:hanging="0"/>
        <w:jc w:val="both"/>
        <w:rPr>
          <w:sz w:val="24"/>
          <w:szCs w:val="24"/>
          <w:highlight w:val="yellow"/>
        </w:rPr>
      </w:pPr>
      <w:r/>
      <w:r>
        <w:rPr>
          <w:sz w:val="24"/>
          <w:szCs w:val="24"/>
        </w:rPr>
        <w:t>Fonte: Informação em Saúde SES-RJ, com dados SINAN</w:t>
      </w:r>
    </w:p>
    <w:p>
      <w:pPr>
        <w:pStyle w:val="Normal"/>
        <w:spacing w:before="0" w:after="0"/>
        <w:ind w:left="0" w:right="1381" w:hanging="0"/>
        <w:jc w:val="both"/>
        <w:rPr>
          <w:sz w:val="24"/>
          <w:szCs w:val="24"/>
          <w:highlight w:val="yellow"/>
        </w:rPr>
      </w:pPr>
      <w:r>
        <w:rPr>
          <w:sz w:val="24"/>
          <w:szCs w:val="24"/>
          <w:highlight w:val="yellow"/>
        </w:rPr>
      </w:r>
    </w:p>
    <w:p>
      <w:pPr>
        <w:pStyle w:val="Normal"/>
        <w:spacing w:before="21" w:after="0"/>
        <w:rPr>
          <w:color w:val="000000"/>
          <w:sz w:val="20"/>
          <w:szCs w:val="20"/>
        </w:rPr>
      </w:pPr>
      <w:r>
        <w:rPr>
          <w:color w:val="000000"/>
          <w:sz w:val="20"/>
          <w:szCs w:val="20"/>
        </w:rPr>
        <mc:AlternateContent>
          <mc:Choice Requires="wps">
            <w:drawing>
              <wp:anchor behindDoc="0" distT="0" distB="0" distL="0" distR="0" simplePos="0" locked="0" layoutInCell="0" allowOverlap="1" relativeHeight="44">
                <wp:simplePos x="0" y="0"/>
                <wp:positionH relativeFrom="column">
                  <wp:posOffset>863600</wp:posOffset>
                </wp:positionH>
                <wp:positionV relativeFrom="paragraph">
                  <wp:posOffset>114300</wp:posOffset>
                </wp:positionV>
                <wp:extent cx="5428615" cy="398145"/>
                <wp:effectExtent l="0" t="0" r="0" b="0"/>
                <wp:wrapTopAndBottom/>
                <wp:docPr id="5" name="Figura3"/>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3. DO RECURSO ORÇAMENTÁRIO</w:t>
                            </w:r>
                          </w:p>
                        </w:txbxContent>
                      </wps:txbx>
                      <wps:bodyPr lIns="0" rIns="0" tIns="0" bIns="0" anchor="t">
                        <a:noAutofit/>
                      </wps:bodyPr>
                    </wps:wsp>
                  </a:graphicData>
                </a:graphic>
              </wp:anchor>
            </w:drawing>
          </mc:Choice>
          <mc:Fallback>
            <w:pict>
              <v:rect id="shape_0" ID="Figura3" path="m0,0l-2147483645,0l-2147483645,-2147483646l0,-2147483646xe" fillcolor="#f1f1f1" stroked="f" o:allowincell="f" style="position:absolute;margin-left:68pt;margin-top:9pt;width:427.4pt;height:31.3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3. DO RECURSO ORÇAMENTÁRIO</w:t>
                      </w:r>
                    </w:p>
                  </w:txbxContent>
                </v:textbox>
                <w10:wrap type="topAndBottom"/>
              </v:rect>
            </w:pict>
          </mc:Fallback>
        </mc:AlternateContent>
      </w:r>
    </w:p>
    <w:p>
      <w:pPr>
        <w:pStyle w:val="Normal"/>
        <w:spacing w:before="1" w:after="0"/>
        <w:ind w:left="1417" w:right="1870" w:hanging="0"/>
        <w:rPr>
          <w:color w:val="000000"/>
          <w:sz w:val="24"/>
          <w:szCs w:val="24"/>
        </w:rPr>
      </w:pPr>
      <w:r>
        <w:rPr>
          <w:color w:val="000000"/>
          <w:sz w:val="24"/>
          <w:szCs w:val="24"/>
        </w:rPr>
        <w:t>A despesa decorrente desta contratação ocorrerá à conta da seguinte Fonte</w:t>
      </w:r>
    </w:p>
    <w:p>
      <w:pPr>
        <w:pStyle w:val="Normal"/>
        <w:ind w:left="1417" w:hanging="0"/>
        <w:rPr>
          <w:color w:val="000000"/>
          <w:sz w:val="24"/>
          <w:szCs w:val="24"/>
        </w:rPr>
      </w:pPr>
      <w:r>
        <w:rPr>
          <w:color w:val="000000"/>
          <w:sz w:val="24"/>
          <w:szCs w:val="24"/>
        </w:rPr>
        <w:t>Ficha</w:t>
      </w:r>
    </w:p>
    <w:p>
      <w:pPr>
        <w:pStyle w:val="Normal"/>
        <w:ind w:left="1417" w:hanging="0"/>
        <w:rPr>
          <w:sz w:val="20"/>
          <w:szCs w:val="20"/>
        </w:rPr>
      </w:pPr>
      <w:r>
        <w:rPr>
          <w:color w:val="000000"/>
          <w:sz w:val="24"/>
          <w:szCs w:val="24"/>
        </w:rPr>
        <w:t>Dotação orçamentária</w:t>
      </w:r>
    </w:p>
    <w:p>
      <w:pPr>
        <w:pStyle w:val="Normal"/>
        <w:ind w:left="1468" w:hanging="0"/>
        <w:rPr>
          <w:sz w:val="20"/>
          <w:szCs w:val="20"/>
        </w:rPr>
      </w:pPr>
      <w:r>
        <w:rPr>
          <w:sz w:val="20"/>
          <w:szCs w:val="20"/>
        </w:rPr>
      </w:r>
    </w:p>
    <w:p>
      <w:pPr>
        <w:pStyle w:val="Normal"/>
        <w:ind w:left="1468" w:hanging="0"/>
        <w:rPr>
          <w:color w:val="000000"/>
          <w:sz w:val="20"/>
          <w:szCs w:val="20"/>
        </w:rPr>
      </w:pPr>
      <w:r>
        <w:rPr/>
        <mc:AlternateContent>
          <mc:Choice Requires="wps">
            <w:drawing>
              <wp:inline distT="0" distB="0" distL="0" distR="0">
                <wp:extent cx="5428615" cy="398145"/>
                <wp:effectExtent l="0" t="0" r="0" b="0"/>
                <wp:docPr id="7" name="Forma4"/>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4. DAS ESPECIFICAÇÕES E QUANTIDADES</w:t>
                            </w:r>
                          </w:p>
                        </w:txbxContent>
                      </wps:txbx>
                      <wps:bodyPr lIns="0" rIns="0" tIns="0" bIns="0" anchor="t">
                        <a:noAutofit/>
                      </wps:bodyPr>
                    </wps:wsp>
                  </a:graphicData>
                </a:graphic>
              </wp:inline>
            </w:drawing>
          </mc:Choice>
          <mc:Fallback>
            <w:pict>
              <v:rect id="shape_0" ID="Forma4" path="m0,0l-2147483645,0l-2147483645,-2147483646l0,-2147483646xe" fillcolor="#f1f1f1" stroked="f" o:allowincell="f" style="position:absolute;margin-left:0pt;margin-top:-31.4pt;width:427.4pt;height:31.3pt;mso-wrap-style:square;v-text-anchor:top;mso-position-vertical: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4. DAS ESPECIFICAÇÕES E QUANTIDADES</w:t>
                      </w:r>
                    </w:p>
                  </w:txbxContent>
                </v:textbox>
                <w10:wrap type="square"/>
              </v:rect>
            </w:pict>
          </mc:Fallback>
        </mc:AlternateContent>
      </w:r>
    </w:p>
    <w:p>
      <w:pPr>
        <w:pStyle w:val="Normal"/>
        <w:numPr>
          <w:ilvl w:val="1"/>
          <w:numId w:val="6"/>
        </w:numPr>
        <w:tabs>
          <w:tab w:val="clear" w:pos="720"/>
          <w:tab w:val="left" w:pos="1934" w:leader="none"/>
        </w:tabs>
        <w:spacing w:before="259" w:after="0"/>
        <w:ind w:left="1934" w:hanging="465"/>
        <w:jc w:val="both"/>
        <w:rPr>
          <w:rFonts w:ascii="Arial" w:hAnsi="Arial" w:eastAsia="Arial" w:cs="Arial"/>
          <w:b/>
          <w:b/>
          <w:color w:val="000000"/>
          <w:sz w:val="24"/>
          <w:szCs w:val="24"/>
        </w:rPr>
      </w:pPr>
      <w:r>
        <w:rPr>
          <w:rFonts w:eastAsia="Arial" w:cs="Arial" w:ascii="Arial" w:hAnsi="Arial"/>
          <w:b/>
          <w:color w:val="000000"/>
          <w:sz w:val="24"/>
          <w:szCs w:val="24"/>
        </w:rPr>
        <w:t>Exames a serem ofertados</w:t>
      </w:r>
    </w:p>
    <w:p>
      <w:pPr>
        <w:pStyle w:val="Normal"/>
        <w:tabs>
          <w:tab w:val="clear" w:pos="720"/>
          <w:tab w:val="left" w:pos="2235" w:leader="none"/>
        </w:tabs>
        <w:ind w:left="1418" w:right="1340" w:hanging="0"/>
        <w:jc w:val="both"/>
        <w:rPr>
          <w:sz w:val="24"/>
          <w:szCs w:val="24"/>
        </w:rPr>
      </w:pPr>
      <w:r>
        <w:rPr>
          <w:sz w:val="24"/>
          <w:szCs w:val="24"/>
        </w:rPr>
        <w:t>Para determinar os tipos e quantidades de exames necessários, fundamentamo-nos no Plano Municipal de Contingência para Arboviroses 2022/2024. Conforme preconizado na página 22 do referido plano, onde “a capacidade operacional deve assegurar que toda a Rede Municipal de Saúde tenha acesso à coleta de exames, enfatizando que 100% dos casos suspeitos, tanto em âmbito ambulatorial quanto hospitalar, devem ser submetidos ao teste”.</w:t>
      </w:r>
    </w:p>
    <w:p>
      <w:pPr>
        <w:pStyle w:val="Normal"/>
        <w:tabs>
          <w:tab w:val="clear" w:pos="720"/>
          <w:tab w:val="left" w:pos="2235" w:leader="none"/>
        </w:tabs>
        <w:ind w:left="1418" w:right="1340" w:hanging="0"/>
        <w:jc w:val="both"/>
        <w:rPr>
          <w:sz w:val="24"/>
          <w:szCs w:val="24"/>
        </w:rPr>
      </w:pPr>
      <w:r>
        <w:rPr>
          <w:sz w:val="24"/>
          <w:szCs w:val="24"/>
        </w:rPr>
      </w:r>
    </w:p>
    <w:p>
      <w:pPr>
        <w:pStyle w:val="Normal"/>
        <w:tabs>
          <w:tab w:val="clear" w:pos="720"/>
          <w:tab w:val="left" w:pos="2235" w:leader="none"/>
        </w:tabs>
        <w:ind w:left="1418" w:right="1340" w:hanging="0"/>
        <w:jc w:val="both"/>
        <w:rPr>
          <w:sz w:val="24"/>
          <w:szCs w:val="24"/>
        </w:rPr>
      </w:pPr>
      <w:r>
        <w:rPr>
          <w:sz w:val="24"/>
          <w:szCs w:val="24"/>
        </w:rPr>
        <w:t>Como evidenciado no quadro acima, nos primeiros 27 dias do ano de 2024, foram notificados 1009 casos de arboviroses, superando significativamente os registros dos meses anteriores. Além disso, acrescentamos um percentil para abranger possíveis subnotificações, ficando estimado em 300 atendimentos por ponto de apoio abaixo citado (Oito), gerando um total de 2.400 atendimentos diários e um quantitativo mensal de 72.000 pacientes atendidos.</w:t>
      </w:r>
    </w:p>
    <w:p>
      <w:pPr>
        <w:pStyle w:val="Normal"/>
        <w:tabs>
          <w:tab w:val="clear" w:pos="720"/>
          <w:tab w:val="left" w:pos="2235" w:leader="none"/>
        </w:tabs>
        <w:ind w:left="1418" w:right="1340" w:hanging="0"/>
        <w:jc w:val="both"/>
        <w:rPr>
          <w:sz w:val="24"/>
          <w:szCs w:val="24"/>
        </w:rPr>
      </w:pPr>
      <w:r>
        <w:rPr>
          <w:sz w:val="24"/>
          <w:szCs w:val="24"/>
        </w:rPr>
      </w:r>
    </w:p>
    <w:p>
      <w:pPr>
        <w:pStyle w:val="Normal"/>
        <w:tabs>
          <w:tab w:val="clear" w:pos="720"/>
          <w:tab w:val="left" w:pos="2235" w:leader="none"/>
        </w:tabs>
        <w:ind w:left="1418" w:right="1340" w:hanging="0"/>
        <w:jc w:val="both"/>
        <w:rPr>
          <w:sz w:val="24"/>
          <w:szCs w:val="24"/>
        </w:rPr>
      </w:pPr>
      <w:r>
        <w:rPr>
          <w:sz w:val="24"/>
          <w:szCs w:val="24"/>
        </w:rPr>
        <w:t>Tendo em vista o acima exposto, foram elencados um grupo de exames estrategicamente para esse rastreio expressos na planilha abaixo.</w:t>
      </w:r>
    </w:p>
    <w:p>
      <w:pPr>
        <w:pStyle w:val="Normal"/>
        <w:tabs>
          <w:tab w:val="clear" w:pos="720"/>
          <w:tab w:val="left" w:pos="2235" w:leader="none"/>
        </w:tabs>
        <w:ind w:left="1418" w:right="1340" w:hanging="0"/>
        <w:jc w:val="both"/>
        <w:rPr>
          <w:sz w:val="24"/>
          <w:szCs w:val="24"/>
        </w:rPr>
      </w:pPr>
      <w:r>
        <w:rPr>
          <w:sz w:val="24"/>
          <w:szCs w:val="24"/>
        </w:rPr>
      </w:r>
    </w:p>
    <w:p>
      <w:pPr>
        <w:pStyle w:val="Normal"/>
        <w:tabs>
          <w:tab w:val="clear" w:pos="720"/>
          <w:tab w:val="left" w:pos="2235" w:leader="none"/>
        </w:tabs>
        <w:ind w:left="1418" w:right="1340" w:hanging="0"/>
        <w:jc w:val="both"/>
        <w:rPr>
          <w:sz w:val="24"/>
          <w:szCs w:val="24"/>
        </w:rPr>
      </w:pPr>
      <w:r>
        <w:rPr>
          <w:sz w:val="24"/>
          <w:szCs w:val="24"/>
        </w:rPr>
      </w:r>
    </w:p>
    <w:p>
      <w:pPr>
        <w:pStyle w:val="Normal"/>
        <w:tabs>
          <w:tab w:val="clear" w:pos="720"/>
          <w:tab w:val="left" w:pos="2235" w:leader="none"/>
        </w:tabs>
        <w:ind w:left="1418" w:right="1340" w:hanging="0"/>
        <w:jc w:val="both"/>
        <w:rPr>
          <w:sz w:val="24"/>
          <w:szCs w:val="24"/>
        </w:rPr>
      </w:pPr>
      <w:r>
        <w:rPr>
          <w:sz w:val="24"/>
          <w:szCs w:val="24"/>
        </w:rPr>
      </w:r>
    </w:p>
    <w:p>
      <w:pPr>
        <w:pStyle w:val="Normal"/>
        <w:spacing w:before="40" w:after="0"/>
        <w:rPr>
          <w:rFonts w:ascii="Arial" w:hAnsi="Arial" w:eastAsia="Arial" w:cs="Arial"/>
          <w:b/>
          <w:b/>
          <w:sz w:val="20"/>
          <w:szCs w:val="20"/>
        </w:rPr>
      </w:pPr>
      <w:r>
        <w:rPr>
          <w:rFonts w:eastAsia="Arial" w:cs="Arial" w:ascii="Arial" w:hAnsi="Arial"/>
          <w:b/>
          <w:sz w:val="20"/>
          <w:szCs w:val="20"/>
        </w:rPr>
      </w:r>
    </w:p>
    <w:tbl>
      <w:tblPr>
        <w:tblStyle w:val="776"/>
        <w:tblW w:w="8576" w:type="dxa"/>
        <w:jc w:val="left"/>
        <w:tblInd w:w="1484" w:type="dxa"/>
        <w:tblLayout w:type="fixed"/>
        <w:tblCellMar>
          <w:top w:w="0" w:type="dxa"/>
          <w:left w:w="5" w:type="dxa"/>
          <w:bottom w:w="0" w:type="dxa"/>
          <w:right w:w="5" w:type="dxa"/>
        </w:tblCellMar>
        <w:tblLook w:firstRow="0" w:noVBand="0" w:lastRow="0" w:firstColumn="0" w:lastColumn="0" w:noHBand="0" w:val="0000"/>
      </w:tblPr>
      <w:tblGrid>
        <w:gridCol w:w="4890"/>
        <w:gridCol w:w="3685"/>
      </w:tblGrid>
      <w:tr>
        <w:trPr>
          <w:trHeight w:val="586"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20" w:right="344" w:hanging="60"/>
              <w:jc w:val="left"/>
              <w:rPr>
                <w:b/>
                <w:b/>
                <w:color w:val="000000"/>
                <w:sz w:val="24"/>
                <w:szCs w:val="24"/>
              </w:rPr>
            </w:pPr>
            <w:r>
              <w:rPr>
                <w:rFonts w:eastAsia="Arial MT" w:cs="Arial MT"/>
                <w:b/>
                <w:color w:val="000000"/>
                <w:kern w:val="0"/>
                <w:sz w:val="24"/>
                <w:szCs w:val="24"/>
                <w:lang w:val="pt-PT" w:eastAsia="zh-CN" w:bidi="ar-SA"/>
              </w:rPr>
              <w:t>Exames</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right="344" w:hanging="0"/>
              <w:jc w:val="center"/>
              <w:rPr>
                <w:b/>
                <w:b/>
                <w:color w:val="000000"/>
                <w:sz w:val="24"/>
                <w:szCs w:val="24"/>
              </w:rPr>
            </w:pPr>
            <w:r>
              <w:rPr>
                <w:rFonts w:eastAsia="Arial MT" w:cs="Arial MT"/>
                <w:b/>
                <w:color w:val="000000"/>
                <w:kern w:val="0"/>
                <w:sz w:val="24"/>
                <w:szCs w:val="24"/>
                <w:lang w:val="pt-PT" w:eastAsia="zh-CN" w:bidi="ar-SA"/>
              </w:rPr>
              <w:t>Quantidade estimada  (unidades)</w:t>
            </w:r>
          </w:p>
        </w:tc>
      </w:tr>
      <w:tr>
        <w:trPr>
          <w:trHeight w:val="484"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420" w:right="344" w:hanging="357"/>
              <w:jc w:val="left"/>
              <w:rPr>
                <w:color w:val="000000"/>
                <w:sz w:val="24"/>
                <w:szCs w:val="24"/>
              </w:rPr>
            </w:pPr>
            <w:r>
              <w:rPr>
                <w:rFonts w:eastAsia="Arial MT" w:cs="Arial MT"/>
                <w:color w:val="000000"/>
                <w:kern w:val="0"/>
                <w:sz w:val="24"/>
                <w:szCs w:val="24"/>
                <w:lang w:val="pt-PT" w:eastAsia="zh-CN" w:bidi="ar-SA"/>
              </w:rPr>
              <w:t xml:space="preserve"> </w:t>
            </w:r>
            <w:r>
              <w:rPr>
                <w:rFonts w:eastAsia="Arial MT" w:cs="Arial MT"/>
                <w:color w:val="000000"/>
                <w:kern w:val="0"/>
                <w:sz w:val="24"/>
                <w:szCs w:val="24"/>
                <w:lang w:val="pt-PT" w:eastAsia="zh-CN" w:bidi="ar-SA"/>
              </w:rPr>
              <w:t>Dengue NS1</w:t>
            </w:r>
          </w:p>
        </w:tc>
        <w:tc>
          <w:tcPr>
            <w:tcW w:w="36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344" w:hanging="0"/>
              <w:jc w:val="center"/>
              <w:rPr>
                <w:color w:val="000000"/>
                <w:sz w:val="24"/>
                <w:szCs w:val="24"/>
              </w:rPr>
            </w:pPr>
            <w:r>
              <w:rPr>
                <w:rFonts w:eastAsia="Arial MT" w:cs="Arial MT"/>
                <w:kern w:val="0"/>
                <w:sz w:val="24"/>
                <w:szCs w:val="24"/>
                <w:lang w:val="pt-PT" w:eastAsia="zh-CN" w:bidi="ar-SA"/>
              </w:rPr>
              <w:t>5</w:t>
            </w:r>
            <w:r>
              <w:rPr>
                <w:rFonts w:eastAsia="Arial MT" w:cs="Arial MT"/>
                <w:kern w:val="0"/>
                <w:sz w:val="24"/>
                <w:szCs w:val="24"/>
                <w:lang w:val="pt-PT" w:eastAsia="zh-CN" w:bidi="ar-SA"/>
              </w:rPr>
              <w:t>.000</w:t>
            </w:r>
          </w:p>
        </w:tc>
      </w:tr>
      <w:tr>
        <w:trPr>
          <w:trHeight w:val="523"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ind w:left="122" w:hanging="59"/>
              <w:jc w:val="left"/>
              <w:rPr>
                <w:color w:val="000000"/>
                <w:sz w:val="24"/>
                <w:szCs w:val="24"/>
              </w:rPr>
            </w:pPr>
            <w:r>
              <w:rPr>
                <w:rFonts w:eastAsia="Arial MT" w:cs="Arial MT"/>
                <w:color w:val="000000"/>
                <w:kern w:val="0"/>
                <w:sz w:val="24"/>
                <w:szCs w:val="24"/>
                <w:lang w:val="pt-PT" w:eastAsia="zh-CN" w:bidi="ar-SA"/>
              </w:rPr>
              <w:t xml:space="preserve"> </w:t>
            </w:r>
            <w:r>
              <w:rPr>
                <w:rFonts w:eastAsia="Arial MT" w:cs="Arial MT"/>
                <w:color w:val="000000"/>
                <w:kern w:val="0"/>
                <w:sz w:val="24"/>
                <w:szCs w:val="24"/>
                <w:lang w:val="pt-PT" w:eastAsia="zh-CN" w:bidi="ar-SA"/>
              </w:rPr>
              <w:t>Chikungunya I</w:t>
            </w:r>
            <w:r>
              <w:rPr>
                <w:rFonts w:eastAsia="Arial MT" w:cs="Arial MT"/>
                <w:kern w:val="0"/>
                <w:sz w:val="24"/>
                <w:szCs w:val="24"/>
                <w:lang w:val="pt-PT" w:eastAsia="zh-CN" w:bidi="ar-SA"/>
              </w:rPr>
              <w:t>g</w:t>
            </w:r>
            <w:r>
              <w:rPr>
                <w:rFonts w:eastAsia="Arial MT" w:cs="Arial MT"/>
                <w:color w:val="000000"/>
                <w:kern w:val="0"/>
                <w:sz w:val="24"/>
                <w:szCs w:val="24"/>
                <w:lang w:val="pt-PT" w:eastAsia="zh-CN" w:bidi="ar-SA"/>
              </w:rPr>
              <w:t>G/ I</w:t>
            </w:r>
            <w:r>
              <w:rPr>
                <w:rFonts w:eastAsia="Arial MT" w:cs="Arial MT"/>
                <w:kern w:val="0"/>
                <w:sz w:val="24"/>
                <w:szCs w:val="24"/>
                <w:lang w:val="pt-PT" w:eastAsia="zh-CN" w:bidi="ar-SA"/>
              </w:rPr>
              <w:t>g</w:t>
            </w:r>
            <w:r>
              <w:rPr>
                <w:rFonts w:eastAsia="Arial MT" w:cs="Arial MT"/>
                <w:color w:val="000000"/>
                <w:kern w:val="0"/>
                <w:sz w:val="24"/>
                <w:szCs w:val="24"/>
                <w:lang w:val="pt-PT" w:eastAsia="zh-CN" w:bidi="ar-SA"/>
              </w:rPr>
              <w:t>M</w:t>
            </w:r>
          </w:p>
        </w:tc>
        <w:tc>
          <w:tcPr>
            <w:tcW w:w="36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344" w:hanging="0"/>
              <w:jc w:val="center"/>
              <w:rPr>
                <w:sz w:val="24"/>
                <w:szCs w:val="24"/>
              </w:rPr>
            </w:pPr>
            <w:r>
              <w:rPr>
                <w:rFonts w:eastAsia="Arial MT" w:cs="Arial MT"/>
                <w:kern w:val="0"/>
                <w:sz w:val="24"/>
                <w:szCs w:val="24"/>
                <w:lang w:val="pt-PT" w:eastAsia="zh-CN" w:bidi="ar-SA"/>
              </w:rPr>
              <w:t>1.</w:t>
            </w:r>
            <w:r>
              <w:rPr>
                <w:rFonts w:eastAsia="Arial MT" w:cs="Arial MT"/>
                <w:kern w:val="0"/>
                <w:sz w:val="24"/>
                <w:szCs w:val="24"/>
                <w:lang w:val="pt-PT" w:eastAsia="zh-CN" w:bidi="ar-SA"/>
              </w:rPr>
              <w:t>0</w:t>
            </w:r>
            <w:r>
              <w:rPr>
                <w:rFonts w:eastAsia="Arial MT" w:cs="Arial MT"/>
                <w:kern w:val="0"/>
                <w:sz w:val="24"/>
                <w:szCs w:val="24"/>
                <w:lang w:val="pt-PT" w:eastAsia="zh-CN" w:bidi="ar-SA"/>
              </w:rPr>
              <w:t>00</w:t>
            </w:r>
          </w:p>
        </w:tc>
      </w:tr>
      <w:tr>
        <w:trPr>
          <w:trHeight w:val="479"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ind w:firstLine="141"/>
              <w:jc w:val="left"/>
              <w:rPr>
                <w:color w:val="000000"/>
                <w:sz w:val="24"/>
                <w:szCs w:val="24"/>
              </w:rPr>
            </w:pPr>
            <w:r>
              <w:rPr>
                <w:rFonts w:eastAsia="Arial MT" w:cs="Arial MT"/>
                <w:kern w:val="0"/>
                <w:sz w:val="24"/>
                <w:szCs w:val="24"/>
                <w:lang w:val="pt-PT" w:eastAsia="zh-CN" w:bidi="ar-SA"/>
              </w:rPr>
              <w:t xml:space="preserve"> </w:t>
            </w:r>
            <w:r>
              <w:rPr>
                <w:rFonts w:eastAsia="Arial MT" w:cs="Arial MT"/>
                <w:kern w:val="0"/>
                <w:sz w:val="24"/>
                <w:szCs w:val="24"/>
                <w:lang w:val="pt-PT" w:eastAsia="zh-CN" w:bidi="ar-SA"/>
              </w:rPr>
              <w:t>Zika NS1</w:t>
            </w:r>
          </w:p>
        </w:tc>
        <w:tc>
          <w:tcPr>
            <w:tcW w:w="36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344" w:hanging="0"/>
              <w:jc w:val="center"/>
              <w:rPr>
                <w:sz w:val="24"/>
                <w:szCs w:val="24"/>
              </w:rPr>
            </w:pPr>
            <w:r>
              <w:rPr>
                <w:rFonts w:eastAsia="Arial MT" w:cs="Arial MT"/>
                <w:kern w:val="0"/>
                <w:sz w:val="24"/>
                <w:szCs w:val="24"/>
                <w:lang w:val="pt-PT" w:eastAsia="zh-CN" w:bidi="ar-SA"/>
              </w:rPr>
              <w:t>1.</w:t>
            </w:r>
            <w:r>
              <w:rPr>
                <w:rFonts w:eastAsia="Arial MT" w:cs="Arial MT"/>
                <w:kern w:val="0"/>
                <w:sz w:val="24"/>
                <w:szCs w:val="24"/>
                <w:lang w:val="pt-PT" w:eastAsia="zh-CN" w:bidi="ar-SA"/>
              </w:rPr>
              <w:t>0</w:t>
            </w:r>
            <w:r>
              <w:rPr>
                <w:rFonts w:eastAsia="Arial MT" w:cs="Arial MT"/>
                <w:kern w:val="0"/>
                <w:sz w:val="24"/>
                <w:szCs w:val="24"/>
                <w:lang w:val="pt-PT" w:eastAsia="zh-CN" w:bidi="ar-SA"/>
              </w:rPr>
              <w:t>00</w:t>
            </w:r>
          </w:p>
        </w:tc>
      </w:tr>
      <w:tr>
        <w:trPr>
          <w:trHeight w:val="695" w:hRule="atLeast"/>
        </w:trPr>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ind w:left="122" w:hanging="0"/>
              <w:jc w:val="left"/>
              <w:rPr>
                <w:sz w:val="24"/>
                <w:szCs w:val="24"/>
              </w:rPr>
            </w:pPr>
            <w:r>
              <w:rPr>
                <w:rFonts w:eastAsia="Arial MT" w:cs="Arial MT"/>
                <w:kern w:val="0"/>
                <w:sz w:val="24"/>
                <w:szCs w:val="24"/>
                <w:lang w:val="pt-PT" w:eastAsia="zh-CN" w:bidi="ar-SA"/>
              </w:rPr>
              <w:t>Hemograma Completo (Série Vermelha, Branca e Plaquetas) *</w:t>
            </w:r>
          </w:p>
        </w:tc>
        <w:tc>
          <w:tcPr>
            <w:tcW w:w="368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ind w:right="344" w:hanging="0"/>
              <w:jc w:val="center"/>
              <w:rPr>
                <w:sz w:val="24"/>
                <w:szCs w:val="24"/>
              </w:rPr>
            </w:pPr>
            <w:r>
              <w:rPr>
                <w:rFonts w:eastAsia="Arial MT" w:cs="Arial MT"/>
                <w:kern w:val="0"/>
                <w:sz w:val="24"/>
                <w:szCs w:val="24"/>
                <w:lang w:val="pt-PT" w:eastAsia="zh-CN" w:bidi="ar-SA"/>
              </w:rPr>
              <w:t>1</w:t>
            </w:r>
            <w:r>
              <w:rPr>
                <w:rFonts w:eastAsia="Arial MT" w:cs="Arial MT"/>
                <w:kern w:val="0"/>
                <w:sz w:val="24"/>
                <w:szCs w:val="24"/>
                <w:lang w:val="pt-PT" w:eastAsia="zh-CN" w:bidi="ar-SA"/>
              </w:rPr>
              <w:t>.</w:t>
            </w:r>
            <w:r>
              <w:rPr>
                <w:rFonts w:eastAsia="Arial MT" w:cs="Arial MT"/>
                <w:kern w:val="0"/>
                <w:sz w:val="24"/>
                <w:szCs w:val="24"/>
                <w:lang w:val="pt-PT" w:eastAsia="zh-CN" w:bidi="ar-SA"/>
              </w:rPr>
              <w:t>0</w:t>
            </w:r>
            <w:r>
              <w:rPr>
                <w:rFonts w:eastAsia="Arial MT" w:cs="Arial MT"/>
                <w:kern w:val="0"/>
                <w:sz w:val="24"/>
                <w:szCs w:val="24"/>
                <w:lang w:val="pt-PT" w:eastAsia="zh-CN" w:bidi="ar-SA"/>
              </w:rPr>
              <w:t>00</w:t>
            </w:r>
          </w:p>
        </w:tc>
      </w:tr>
    </w:tbl>
    <w:p>
      <w:pPr>
        <w:pStyle w:val="Normal"/>
        <w:tabs>
          <w:tab w:val="clear" w:pos="720"/>
          <w:tab w:val="left" w:pos="2235" w:leader="none"/>
        </w:tabs>
        <w:ind w:left="1418" w:right="1340" w:hanging="0"/>
        <w:jc w:val="both"/>
        <w:rPr>
          <w:color w:val="000000"/>
          <w:sz w:val="24"/>
          <w:szCs w:val="24"/>
        </w:rPr>
      </w:pPr>
      <w:r>
        <w:rPr>
          <w:color w:val="000000"/>
          <w:sz w:val="24"/>
          <w:szCs w:val="24"/>
        </w:rPr>
      </w:r>
    </w:p>
    <w:p>
      <w:pPr>
        <w:pStyle w:val="Normal"/>
        <w:tabs>
          <w:tab w:val="clear" w:pos="720"/>
          <w:tab w:val="left" w:pos="2235" w:leader="none"/>
        </w:tabs>
        <w:ind w:left="1418" w:right="1340" w:hanging="0"/>
        <w:jc w:val="both"/>
        <w:rPr>
          <w:sz w:val="24"/>
          <w:szCs w:val="24"/>
        </w:rPr>
      </w:pPr>
      <w:r>
        <w:rPr>
          <w:sz w:val="24"/>
          <w:szCs w:val="24"/>
        </w:rPr>
        <w:t>* Coleta capilar em ponta de dedo com resultado em até 5 minutos e sem reagentes externos.</w:t>
      </w:r>
    </w:p>
    <w:p>
      <w:pPr>
        <w:pStyle w:val="Normal"/>
        <w:tabs>
          <w:tab w:val="clear" w:pos="720"/>
          <w:tab w:val="left" w:pos="2235" w:leader="none"/>
        </w:tabs>
        <w:ind w:left="1418" w:right="1340" w:hanging="0"/>
        <w:jc w:val="both"/>
        <w:rPr>
          <w:sz w:val="24"/>
          <w:szCs w:val="24"/>
        </w:rPr>
      </w:pPr>
      <w:r>
        <w:rPr>
          <w:sz w:val="24"/>
          <w:szCs w:val="24"/>
        </w:rPr>
      </w:r>
    </w:p>
    <w:p>
      <w:pPr>
        <w:pStyle w:val="Normal"/>
        <w:tabs>
          <w:tab w:val="clear" w:pos="720"/>
          <w:tab w:val="left" w:pos="2235" w:leader="none"/>
        </w:tabs>
        <w:ind w:left="1418" w:right="1340" w:hanging="0"/>
        <w:jc w:val="both"/>
        <w:rPr>
          <w:rFonts w:ascii="Arial" w:hAnsi="Arial" w:eastAsia="Arial" w:cs="Arial"/>
          <w:b/>
          <w:b/>
          <w:sz w:val="20"/>
          <w:szCs w:val="20"/>
        </w:rPr>
      </w:pPr>
      <w:r>
        <w:rPr>
          <w:sz w:val="24"/>
          <w:szCs w:val="24"/>
        </w:rPr>
        <w:t xml:space="preserve">Os quantitativos de exames  são meramente estimativos, não havendo garantia de que serão realizados em sua totalidade e somente serão pagos aqueles efetivamente realizados. Os serviços deverão ser realizados de acordo com o cronograma definido pelo município. </w:t>
      </w:r>
    </w:p>
    <w:p>
      <w:pPr>
        <w:pStyle w:val="Normal"/>
        <w:tabs>
          <w:tab w:val="clear" w:pos="720"/>
          <w:tab w:val="left" w:pos="1934" w:leader="none"/>
        </w:tabs>
        <w:spacing w:before="1" w:after="0"/>
        <w:ind w:left="1935" w:hanging="0"/>
        <w:jc w:val="both"/>
        <w:rPr>
          <w:rFonts w:ascii="Arial" w:hAnsi="Arial" w:eastAsia="Arial" w:cs="Arial"/>
          <w:b/>
          <w:b/>
          <w:sz w:val="24"/>
          <w:szCs w:val="24"/>
        </w:rPr>
      </w:pPr>
      <w:r>
        <w:rPr>
          <w:rFonts w:eastAsia="Arial" w:cs="Arial" w:ascii="Arial" w:hAnsi="Arial"/>
          <w:b/>
          <w:sz w:val="24"/>
          <w:szCs w:val="24"/>
        </w:rPr>
      </w:r>
    </w:p>
    <w:p>
      <w:pPr>
        <w:pStyle w:val="Normal"/>
        <w:tabs>
          <w:tab w:val="clear" w:pos="720"/>
          <w:tab w:val="left" w:pos="1934" w:leader="none"/>
        </w:tabs>
        <w:spacing w:before="1" w:after="0"/>
        <w:ind w:left="1935" w:hanging="0"/>
        <w:jc w:val="both"/>
        <w:rPr>
          <w:rFonts w:ascii="Arial" w:hAnsi="Arial" w:eastAsia="Arial" w:cs="Arial"/>
          <w:b/>
          <w:b/>
          <w:sz w:val="24"/>
          <w:szCs w:val="24"/>
        </w:rPr>
      </w:pPr>
      <w:r>
        <w:rPr>
          <w:rFonts w:eastAsia="Arial" w:cs="Arial" w:ascii="Arial" w:hAnsi="Arial"/>
          <w:b/>
          <w:sz w:val="24"/>
          <w:szCs w:val="24"/>
        </w:rPr>
      </w:r>
    </w:p>
    <w:p>
      <w:pPr>
        <w:pStyle w:val="Normal"/>
        <w:numPr>
          <w:ilvl w:val="1"/>
          <w:numId w:val="6"/>
        </w:numPr>
        <w:tabs>
          <w:tab w:val="clear" w:pos="720"/>
          <w:tab w:val="left" w:pos="1934" w:leader="none"/>
        </w:tabs>
        <w:spacing w:before="1" w:after="0"/>
        <w:ind w:left="1934" w:hanging="465"/>
        <w:jc w:val="both"/>
        <w:rPr>
          <w:rFonts w:ascii="Arial" w:hAnsi="Arial" w:eastAsia="Arial" w:cs="Arial"/>
          <w:b/>
          <w:b/>
          <w:color w:val="000000"/>
          <w:sz w:val="24"/>
          <w:szCs w:val="24"/>
        </w:rPr>
      </w:pPr>
      <w:r>
        <w:rPr>
          <w:rFonts w:eastAsia="Arial" w:cs="Arial" w:ascii="Arial" w:hAnsi="Arial"/>
          <w:b/>
          <w:color w:val="000000"/>
          <w:sz w:val="24"/>
          <w:szCs w:val="24"/>
        </w:rPr>
        <w:t>Serviços Complementares</w:t>
      </w:r>
    </w:p>
    <w:p>
      <w:pPr>
        <w:pStyle w:val="Normal"/>
        <w:spacing w:before="12" w:after="0"/>
        <w:ind w:right="1635" w:hanging="0"/>
        <w:rPr>
          <w:rFonts w:ascii="Arial" w:hAnsi="Arial" w:eastAsia="Arial" w:cs="Arial"/>
          <w:b/>
          <w:b/>
          <w:color w:val="000000"/>
          <w:sz w:val="20"/>
          <w:szCs w:val="20"/>
        </w:rPr>
      </w:pPr>
      <w:r>
        <w:rPr>
          <w:rFonts w:eastAsia="Arial" w:cs="Arial" w:ascii="Arial" w:hAnsi="Arial"/>
          <w:b/>
          <w:color w:val="000000"/>
          <w:sz w:val="20"/>
          <w:szCs w:val="20"/>
        </w:rPr>
      </w:r>
    </w:p>
    <w:p>
      <w:pPr>
        <w:pStyle w:val="Normal"/>
        <w:ind w:left="1417" w:right="1635" w:hanging="0"/>
        <w:jc w:val="both"/>
        <w:rPr>
          <w:sz w:val="24"/>
          <w:szCs w:val="24"/>
        </w:rPr>
      </w:pPr>
      <w:r>
        <w:rPr>
          <w:b/>
          <w:sz w:val="24"/>
          <w:szCs w:val="24"/>
        </w:rPr>
        <w:t>Sistema digital:</w:t>
      </w:r>
      <w:r>
        <w:rPr>
          <w:sz w:val="24"/>
          <w:szCs w:val="24"/>
        </w:rPr>
        <w:t xml:space="preserve"> Sistema de dados próprio que ofereça interface com soluções da RNDS (Rede Nacional de Dados em Saúde) e o CONECTE SUS para entrega dos resultados.</w:t>
      </w:r>
    </w:p>
    <w:p>
      <w:pPr>
        <w:pStyle w:val="Normal"/>
        <w:ind w:left="1417" w:right="1635" w:hanging="0"/>
        <w:jc w:val="both"/>
        <w:rPr>
          <w:sz w:val="24"/>
          <w:szCs w:val="24"/>
        </w:rPr>
      </w:pPr>
      <w:r>
        <w:rPr>
          <w:sz w:val="24"/>
          <w:szCs w:val="24"/>
        </w:rPr>
      </w:r>
    </w:p>
    <w:p>
      <w:pPr>
        <w:pStyle w:val="Normal"/>
        <w:ind w:left="1417" w:right="1635" w:hanging="0"/>
        <w:jc w:val="both"/>
        <w:rPr>
          <w:sz w:val="24"/>
          <w:szCs w:val="24"/>
        </w:rPr>
      </w:pPr>
      <w:r>
        <w:rPr>
          <w:sz w:val="24"/>
          <w:szCs w:val="24"/>
        </w:rPr>
      </w:r>
    </w:p>
    <w:p>
      <w:pPr>
        <w:pStyle w:val="Normal"/>
        <w:ind w:left="1417" w:right="1635" w:hanging="0"/>
        <w:jc w:val="both"/>
        <w:rPr>
          <w:sz w:val="24"/>
          <w:szCs w:val="24"/>
        </w:rPr>
      </w:pPr>
      <w:r>
        <w:rPr>
          <w:b/>
          <w:sz w:val="24"/>
          <w:szCs w:val="24"/>
        </w:rPr>
        <w:t xml:space="preserve">Equipamento leitor e insumos: </w:t>
      </w:r>
      <w:r>
        <w:rPr>
          <w:sz w:val="24"/>
          <w:szCs w:val="24"/>
        </w:rPr>
        <w:t xml:space="preserve">Locação, manutenção e suporte de aparelho de POCT para leitura dos cassetes com amostra, e aquisição e fornecimento de insumos necessários à realização dos exames.  </w:t>
      </w:r>
    </w:p>
    <w:p>
      <w:pPr>
        <w:pStyle w:val="Normal"/>
        <w:ind w:left="1417" w:right="1635" w:hanging="0"/>
        <w:jc w:val="both"/>
        <w:rPr>
          <w:sz w:val="24"/>
          <w:szCs w:val="24"/>
        </w:rPr>
      </w:pPr>
      <w:r>
        <w:rPr>
          <w:sz w:val="24"/>
          <w:szCs w:val="24"/>
        </w:rPr>
      </w:r>
    </w:p>
    <w:p>
      <w:pPr>
        <w:pStyle w:val="Normal"/>
        <w:ind w:left="1417" w:right="1635" w:hanging="0"/>
        <w:jc w:val="both"/>
        <w:rPr>
          <w:sz w:val="24"/>
          <w:szCs w:val="24"/>
        </w:rPr>
      </w:pPr>
      <w:r>
        <w:rPr>
          <w:b/>
          <w:sz w:val="24"/>
          <w:szCs w:val="24"/>
        </w:rPr>
        <w:t>Central de laudos:</w:t>
      </w:r>
      <w:r>
        <w:rPr>
          <w:sz w:val="24"/>
          <w:szCs w:val="24"/>
        </w:rPr>
        <w:t xml:space="preserve"> Possuir equipe de suporte técnico e geração de laudos qualificada necessária à execução dos serviços alocados nas ações, 24h/dia, sete dias por semana, devidamente certificados pelos Conselhos de Classe. </w:t>
      </w:r>
    </w:p>
    <w:p>
      <w:pPr>
        <w:pStyle w:val="Normal"/>
        <w:ind w:left="1417" w:right="1635" w:hanging="0"/>
        <w:jc w:val="both"/>
        <w:rPr>
          <w:sz w:val="24"/>
          <w:szCs w:val="24"/>
        </w:rPr>
      </w:pPr>
      <w:r>
        <w:rPr>
          <w:sz w:val="24"/>
          <w:szCs w:val="24"/>
        </w:rPr>
      </w:r>
    </w:p>
    <w:p>
      <w:pPr>
        <w:pStyle w:val="Normal"/>
        <w:ind w:left="1417" w:right="1635" w:hanging="0"/>
        <w:jc w:val="both"/>
        <w:rPr>
          <w:sz w:val="24"/>
          <w:szCs w:val="24"/>
        </w:rPr>
      </w:pPr>
      <w:r>
        <w:rPr>
          <w:b/>
          <w:sz w:val="24"/>
          <w:szCs w:val="24"/>
        </w:rPr>
        <w:t xml:space="preserve">Treinamento de Equipes: </w:t>
      </w:r>
      <w:r>
        <w:rPr>
          <w:sz w:val="24"/>
          <w:szCs w:val="24"/>
        </w:rPr>
        <w:t>Treinamento regular das equipes da Secretaria de Saúde de Angra dos Reis para coleta e manuseio dos equipamentos de POCT.</w:t>
      </w:r>
    </w:p>
    <w:p>
      <w:pPr>
        <w:pStyle w:val="Ttulo2"/>
        <w:tabs>
          <w:tab w:val="clear" w:pos="720"/>
          <w:tab w:val="left" w:pos="1934" w:leader="none"/>
        </w:tabs>
        <w:spacing w:before="1" w:after="0"/>
        <w:ind w:left="0" w:hanging="0"/>
        <w:rPr>
          <w:color w:val="000009"/>
          <w:highlight w:val="green"/>
        </w:rPr>
      </w:pPr>
      <w:r>
        <w:rPr>
          <w:color w:val="000009"/>
          <w:highlight w:val="green"/>
        </w:rPr>
        <mc:AlternateContent>
          <mc:Choice Requires="wps">
            <w:drawing>
              <wp:anchor behindDoc="0" distT="0" distB="0" distL="0" distR="0" simplePos="0" locked="0" layoutInCell="0" allowOverlap="1" relativeHeight="58">
                <wp:simplePos x="0" y="0"/>
                <wp:positionH relativeFrom="column">
                  <wp:posOffset>889000</wp:posOffset>
                </wp:positionH>
                <wp:positionV relativeFrom="paragraph">
                  <wp:posOffset>241300</wp:posOffset>
                </wp:positionV>
                <wp:extent cx="5428615" cy="573405"/>
                <wp:effectExtent l="0" t="0" r="0" b="0"/>
                <wp:wrapTopAndBottom/>
                <wp:docPr id="9" name="Figura4"/>
                <a:graphic xmlns:a="http://schemas.openxmlformats.org/drawingml/2006/main">
                  <a:graphicData uri="http://schemas.microsoft.com/office/word/2010/wordprocessingShape">
                    <wps:wsp>
                      <wps:cNvSpPr/>
                      <wps:spPr>
                        <a:xfrm>
                          <a:off x="0" y="0"/>
                          <a:ext cx="5428440" cy="57348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0" w:after="0"/>
                              <w:ind w:left="0" w:right="0" w:hanging="0"/>
                              <w:jc w:val="left"/>
                              <w:rPr/>
                            </w:pPr>
                            <w:r>
                              <w:rPr/>
                            </w:r>
                          </w:p>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9"/>
                                <w:position w:val="0"/>
                                <w:sz w:val="24"/>
                                <w:sz w:val="24"/>
                                <w:vertAlign w:val="baseline"/>
                              </w:rPr>
                              <w:t>5. DOS LOCAIS DE EXECUÇÃO DO SERVIÇO</w:t>
                            </w:r>
                          </w:p>
                        </w:txbxContent>
                      </wps:txbx>
                      <wps:bodyPr lIns="0" rIns="0" tIns="0" bIns="0" anchor="t">
                        <a:noAutofit/>
                      </wps:bodyPr>
                    </wps:wsp>
                  </a:graphicData>
                </a:graphic>
              </wp:anchor>
            </w:drawing>
          </mc:Choice>
          <mc:Fallback>
            <w:pict>
              <v:rect id="shape_0" ID="Figura4" path="m0,0l-2147483645,0l-2147483645,-2147483646l0,-2147483646xe" fillcolor="#f1f1f1" stroked="f" o:allowincell="f" style="position:absolute;margin-left:70pt;margin-top:19pt;width:427.4pt;height:45.1pt;mso-wrap-style:square;v-text-anchor:top">
                <v:fill o:detectmouseclick="t" type="solid" color2="#0e0e0e"/>
                <v:stroke color="#3465a4" joinstyle="round" endcap="flat"/>
                <v:textbox>
                  <w:txbxContent>
                    <w:p>
                      <w:pPr>
                        <w:pStyle w:val="Contedodoquadro"/>
                        <w:spacing w:lineRule="auto" w:line="240" w:before="0" w:after="0"/>
                        <w:ind w:left="0" w:right="0" w:hanging="0"/>
                        <w:jc w:val="left"/>
                        <w:rPr/>
                      </w:pPr>
                      <w:r>
                        <w:rPr/>
                      </w:r>
                    </w:p>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9"/>
                          <w:position w:val="0"/>
                          <w:sz w:val="24"/>
                          <w:sz w:val="24"/>
                          <w:vertAlign w:val="baseline"/>
                        </w:rPr>
                        <w:t>5. DOS LOCAIS DE EXECUÇÃO DO SERVIÇO</w:t>
                      </w:r>
                    </w:p>
                  </w:txbxContent>
                </v:textbox>
                <w10:wrap type="topAndBottom"/>
              </v:rect>
            </w:pict>
          </mc:Fallback>
        </mc:AlternateContent>
      </w:r>
      <w:bookmarkStart w:id="0" w:name="_heading=h.5rme46fyk1x1"/>
      <w:bookmarkStart w:id="1" w:name="_heading=h.5rme46fyk1x1"/>
      <w:bookmarkEnd w:id="1"/>
    </w:p>
    <w:p>
      <w:pPr>
        <w:pStyle w:val="Normal"/>
        <w:tabs>
          <w:tab w:val="clear" w:pos="720"/>
          <w:tab w:val="left" w:pos="1934" w:leader="none"/>
        </w:tabs>
        <w:rPr/>
      </w:pPr>
      <w:r>
        <w:rPr/>
      </w:r>
    </w:p>
    <w:p>
      <w:pPr>
        <w:pStyle w:val="Ttulo2"/>
        <w:numPr>
          <w:ilvl w:val="1"/>
          <w:numId w:val="5"/>
        </w:numPr>
        <w:tabs>
          <w:tab w:val="clear" w:pos="720"/>
          <w:tab w:val="left" w:pos="1934" w:leader="none"/>
        </w:tabs>
        <w:spacing w:before="1" w:after="0"/>
        <w:ind w:left="1935" w:hanging="446"/>
        <w:rPr>
          <w:rFonts w:ascii="Arial" w:hAnsi="Arial" w:eastAsia="Arial" w:cs="Arial"/>
          <w:b/>
          <w:b/>
          <w:color w:val="000009"/>
          <w:sz w:val="24"/>
          <w:szCs w:val="24"/>
        </w:rPr>
      </w:pPr>
      <w:bookmarkStart w:id="2" w:name="_heading=h.6jp68djy7pcf"/>
      <w:bookmarkEnd w:id="2"/>
      <w:r>
        <w:rPr>
          <w:color w:val="000009"/>
        </w:rPr>
        <w:t>Pontos de Apoio</w:t>
      </w:r>
    </w:p>
    <w:p>
      <w:pPr>
        <w:pStyle w:val="Normal"/>
        <w:tabs>
          <w:tab w:val="clear" w:pos="720"/>
          <w:tab w:val="left" w:pos="1934" w:leader="none"/>
        </w:tabs>
        <w:rPr/>
      </w:pPr>
      <w:r>
        <w:rPr/>
      </w:r>
    </w:p>
    <w:p>
      <w:pPr>
        <w:pStyle w:val="Normal"/>
        <w:tabs>
          <w:tab w:val="clear" w:pos="720"/>
          <w:tab w:val="left" w:pos="1934" w:leader="none"/>
        </w:tabs>
        <w:ind w:left="1417" w:right="1407" w:hanging="0"/>
        <w:jc w:val="both"/>
        <w:rPr>
          <w:highlight w:val="white"/>
        </w:rPr>
      </w:pPr>
      <w:r>
        <w:rPr>
          <w:highlight w:val="white"/>
        </w:rPr>
        <w:t xml:space="preserve">Atualmente o Município já conta com 8 (oito) pontos de atendimento, sendo um laboratório móvel, que serão equipados com tecnologia, objeto deste Termo de Referência para melhor e mais efetivo acolhimento e conduta dos paciente com sintomas de Dengue, Zika, </w:t>
      </w:r>
      <w:r>
        <w:rPr>
          <w:sz w:val="24"/>
          <w:szCs w:val="24"/>
          <w:highlight w:val="white"/>
        </w:rPr>
        <w:t>Chikungunya</w:t>
      </w:r>
      <w:r>
        <w:rPr>
          <w:highlight w:val="white"/>
        </w:rPr>
        <w:t>, serão eles:</w:t>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t>1- Clínica da Família do Centro</w:t>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t xml:space="preserve">2 - Clínica da Família Belém </w:t>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t>3 - Clínica da Família Campo Belo</w:t>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t xml:space="preserve">4- Clínica da Família Jacuecanga </w:t>
      </w:r>
    </w:p>
    <w:p>
      <w:pPr>
        <w:pStyle w:val="Normal"/>
        <w:tabs>
          <w:tab w:val="clear" w:pos="720"/>
          <w:tab w:val="left" w:pos="2235" w:leader="none"/>
        </w:tabs>
        <w:spacing w:lineRule="auto" w:line="271"/>
        <w:ind w:left="1418" w:right="1545" w:hanging="0"/>
        <w:jc w:val="both"/>
        <w:rPr>
          <w:sz w:val="24"/>
          <w:szCs w:val="24"/>
          <w:highlight w:val="white"/>
        </w:rPr>
      </w:pPr>
      <w:r>
        <w:rPr>
          <w:sz w:val="24"/>
          <w:szCs w:val="24"/>
          <w:highlight w:val="white"/>
        </w:rPr>
        <w:t xml:space="preserve">5- Clínica da Família Frade </w:t>
      </w:r>
    </w:p>
    <w:p>
      <w:pPr>
        <w:pStyle w:val="Normal"/>
        <w:tabs>
          <w:tab w:val="clear" w:pos="720"/>
          <w:tab w:val="left" w:pos="2235" w:leader="none"/>
        </w:tabs>
        <w:spacing w:lineRule="auto" w:line="271"/>
        <w:ind w:left="1418" w:right="1545" w:hanging="0"/>
        <w:jc w:val="both"/>
        <w:rPr>
          <w:sz w:val="24"/>
          <w:szCs w:val="24"/>
          <w:highlight w:val="white"/>
        </w:rPr>
      </w:pPr>
      <w:r>
        <w:rPr>
          <w:sz w:val="24"/>
          <w:szCs w:val="24"/>
          <w:highlight w:val="white"/>
        </w:rPr>
        <w:t xml:space="preserve">6 - Clínica da Família Parque Mambucaba </w:t>
      </w:r>
    </w:p>
    <w:p>
      <w:pPr>
        <w:pStyle w:val="Normal"/>
        <w:tabs>
          <w:tab w:val="clear" w:pos="720"/>
          <w:tab w:val="left" w:pos="2235" w:leader="none"/>
        </w:tabs>
        <w:spacing w:lineRule="auto" w:line="271"/>
        <w:ind w:left="1418" w:right="1549" w:hanging="0"/>
        <w:jc w:val="both"/>
        <w:rPr>
          <w:sz w:val="24"/>
          <w:szCs w:val="24"/>
          <w:highlight w:val="white"/>
        </w:rPr>
      </w:pPr>
      <w:r>
        <w:rPr>
          <w:sz w:val="24"/>
          <w:szCs w:val="24"/>
          <w:highlight w:val="white"/>
        </w:rPr>
        <w:t>7- ESF Abraão</w:t>
      </w:r>
    </w:p>
    <w:p>
      <w:pPr>
        <w:pStyle w:val="Normal"/>
        <w:tabs>
          <w:tab w:val="clear" w:pos="720"/>
          <w:tab w:val="left" w:pos="2235" w:leader="none"/>
        </w:tabs>
        <w:spacing w:lineRule="auto" w:line="271"/>
        <w:ind w:left="1418" w:right="1549" w:hanging="0"/>
        <w:jc w:val="both"/>
        <w:rPr>
          <w:highlight w:val="white"/>
        </w:rPr>
      </w:pPr>
      <w:r>
        <w:rPr>
          <w:sz w:val="24"/>
          <w:szCs w:val="24"/>
          <w:highlight w:val="white"/>
        </w:rPr>
        <w:t>8- Laboratório Móvel</w:t>
      </w:r>
    </w:p>
    <w:p>
      <w:pPr>
        <w:pStyle w:val="Normal"/>
        <w:tabs>
          <w:tab w:val="clear" w:pos="720"/>
          <w:tab w:val="left" w:pos="2235" w:leader="none"/>
        </w:tabs>
        <w:spacing w:lineRule="auto" w:line="271"/>
        <w:ind w:left="1418" w:right="1549" w:hanging="0"/>
        <w:jc w:val="both"/>
        <w:rPr>
          <w:sz w:val="24"/>
          <w:szCs w:val="24"/>
        </w:rPr>
      </w:pPr>
      <w:r>
        <w:rPr>
          <w:sz w:val="24"/>
          <w:szCs w:val="24"/>
        </w:rPr>
        <w:t xml:space="preserve"> </w:t>
      </w:r>
    </w:p>
    <w:p>
      <w:pPr>
        <w:pStyle w:val="Normal"/>
        <w:tabs>
          <w:tab w:val="clear" w:pos="720"/>
          <w:tab w:val="left" w:pos="2235" w:leader="none"/>
        </w:tabs>
        <w:spacing w:lineRule="auto" w:line="271"/>
        <w:ind w:left="1418" w:right="1549" w:hanging="0"/>
        <w:jc w:val="both"/>
        <w:rPr>
          <w:sz w:val="24"/>
          <w:szCs w:val="24"/>
        </w:rPr>
      </w:pPr>
      <w:r>
        <w:rPr>
          <w:sz w:val="24"/>
          <w:szCs w:val="24"/>
        </w:rPr>
        <w:t xml:space="preserve">Nestes locais será fornecido energia elétrica, rede de internet, móvel de suporte para o equipamento, e equipe técnica para realização das coletas e análises. </w:t>
      </w:r>
    </w:p>
    <w:p>
      <w:pPr>
        <w:pStyle w:val="Ttulo2"/>
        <w:numPr>
          <w:ilvl w:val="1"/>
          <w:numId w:val="5"/>
        </w:numPr>
        <w:tabs>
          <w:tab w:val="clear" w:pos="720"/>
          <w:tab w:val="left" w:pos="1999" w:leader="none"/>
        </w:tabs>
        <w:spacing w:before="223" w:after="0"/>
        <w:ind w:left="1999" w:hanging="510"/>
        <w:rPr/>
      </w:pPr>
      <w:r>
        <w:rPr/>
        <w:t xml:space="preserve">Campanhas Emergenciais </w:t>
      </w:r>
    </w:p>
    <w:p>
      <w:pPr>
        <w:pStyle w:val="Normal"/>
        <w:numPr>
          <w:ilvl w:val="2"/>
          <w:numId w:val="5"/>
        </w:numPr>
        <w:tabs>
          <w:tab w:val="clear" w:pos="720"/>
          <w:tab w:val="left" w:pos="2161" w:leader="none"/>
        </w:tabs>
        <w:spacing w:before="276" w:after="0"/>
        <w:ind w:left="1468" w:right="1400" w:hanging="50"/>
        <w:jc w:val="both"/>
        <w:rPr>
          <w:sz w:val="24"/>
          <w:szCs w:val="24"/>
          <w:u w:val="none"/>
        </w:rPr>
      </w:pPr>
      <w:r>
        <w:rPr>
          <w:sz w:val="24"/>
          <w:szCs w:val="24"/>
        </w:rPr>
        <w:t>O laboratório móvel deverá atender as demandas emergenciais propostas pela Secretaria de Saúde do município de Angra dos Reis mediante planejamento prévio.</w:t>
      </w:r>
    </w:p>
    <w:p>
      <w:pPr>
        <w:pStyle w:val="Normal"/>
        <w:numPr>
          <w:ilvl w:val="2"/>
          <w:numId w:val="5"/>
        </w:numPr>
        <w:tabs>
          <w:tab w:val="clear" w:pos="720"/>
          <w:tab w:val="left" w:pos="2161" w:leader="none"/>
        </w:tabs>
        <w:spacing w:before="276" w:after="0"/>
        <w:ind w:left="1468" w:right="1400" w:hanging="0"/>
        <w:jc w:val="both"/>
        <w:rPr>
          <w:color w:val="000000"/>
          <w:sz w:val="24"/>
          <w:szCs w:val="24"/>
          <w:u w:val="none"/>
        </w:rPr>
      </w:pPr>
      <w:r>
        <w:rPr>
          <w:sz w:val="24"/>
          <w:szCs w:val="24"/>
        </w:rPr>
        <w:t>Novos locais poderão ser sugeridos para atendimento a comunidades identificadas como desassistidas ou na intervenção de doenças com rápida disseminação.</w:t>
      </w:r>
    </w:p>
    <w:p>
      <w:pPr>
        <w:pStyle w:val="Normal"/>
        <w:rPr>
          <w:color w:val="000000"/>
          <w:sz w:val="24"/>
          <w:szCs w:val="24"/>
        </w:rPr>
      </w:pPr>
      <w:r>
        <w:rPr>
          <w:color w:val="000000"/>
          <w:sz w:val="24"/>
          <w:szCs w:val="24"/>
        </w:rPr>
      </w:r>
    </w:p>
    <w:p>
      <w:pPr>
        <w:pStyle w:val="Ttulo1"/>
        <w:numPr>
          <w:ilvl w:val="0"/>
          <w:numId w:val="1"/>
        </w:numPr>
        <w:tabs>
          <w:tab w:val="clear" w:pos="720"/>
          <w:tab w:val="left" w:pos="1734" w:leader="none"/>
          <w:tab w:val="left" w:pos="9939" w:leader="none"/>
        </w:tabs>
        <w:ind w:left="1734" w:hanging="265"/>
        <w:jc w:val="both"/>
        <w:rPr>
          <w:shd w:fill="auto" w:val="clear"/>
        </w:rPr>
      </w:pPr>
      <w:r>
        <w:rPr>
          <w:color w:val="000000"/>
        </w:rPr>
        <w:t>DA PRESTAÇÃO DOS SERVIÇOS PELA CONTRATADA:</w:t>
        <w:tab/>
      </w:r>
    </w:p>
    <w:p>
      <w:pPr>
        <w:pStyle w:val="Normal"/>
        <w:rPr>
          <w:rFonts w:ascii="Arial" w:hAnsi="Arial" w:eastAsia="Arial" w:cs="Arial"/>
          <w:b/>
          <w:b/>
          <w:color w:val="000000"/>
          <w:sz w:val="24"/>
          <w:szCs w:val="24"/>
        </w:rPr>
      </w:pPr>
      <w:r>
        <w:rPr>
          <w:rFonts w:eastAsia="Arial" w:cs="Arial" w:ascii="Arial" w:hAnsi="Arial"/>
          <w:b/>
          <w:color w:val="000000"/>
          <w:sz w:val="24"/>
          <w:szCs w:val="24"/>
        </w:rPr>
      </w:r>
    </w:p>
    <w:p>
      <w:pPr>
        <w:pStyle w:val="Normal"/>
        <w:numPr>
          <w:ilvl w:val="1"/>
          <w:numId w:val="1"/>
        </w:numPr>
        <w:tabs>
          <w:tab w:val="clear" w:pos="720"/>
          <w:tab w:val="left" w:pos="1933" w:leader="none"/>
        </w:tabs>
        <w:ind w:left="1933" w:hanging="465"/>
        <w:jc w:val="both"/>
        <w:rPr>
          <w:color w:val="000000"/>
          <w:sz w:val="24"/>
          <w:szCs w:val="24"/>
        </w:rPr>
      </w:pPr>
      <w:r>
        <w:rPr>
          <w:rFonts w:eastAsia="Arial" w:cs="Arial" w:ascii="Arial" w:hAnsi="Arial"/>
          <w:b/>
          <w:sz w:val="24"/>
          <w:szCs w:val="24"/>
        </w:rPr>
        <w:tab/>
        <w:t>DA QUALIFICAÇÃO TÉCNICA</w:t>
      </w:r>
      <w:r>
        <w:rPr>
          <w:rFonts w:eastAsia="Arial" w:cs="Arial" w:ascii="Arial" w:hAnsi="Arial"/>
          <w:b/>
          <w:color w:val="000000"/>
          <w:sz w:val="24"/>
          <w:szCs w:val="24"/>
        </w:rPr>
        <w:t>:</w:t>
      </w:r>
    </w:p>
    <w:p>
      <w:pPr>
        <w:pStyle w:val="Normal"/>
        <w:spacing w:before="82" w:after="0"/>
        <w:rPr>
          <w:rFonts w:ascii="Arial" w:hAnsi="Arial" w:eastAsia="Arial" w:cs="Arial"/>
          <w:b/>
          <w:b/>
          <w:color w:val="000000"/>
          <w:sz w:val="24"/>
          <w:szCs w:val="24"/>
        </w:rPr>
      </w:pPr>
      <w:r>
        <w:rPr>
          <w:rFonts w:eastAsia="Arial" w:cs="Arial" w:ascii="Arial" w:hAnsi="Arial"/>
          <w:b/>
          <w:color w:val="000000"/>
          <w:sz w:val="24"/>
          <w:szCs w:val="24"/>
        </w:rPr>
      </w:r>
    </w:p>
    <w:p>
      <w:pPr>
        <w:pStyle w:val="Normal"/>
        <w:tabs>
          <w:tab w:val="clear" w:pos="720"/>
          <w:tab w:val="left" w:pos="2146" w:leader="none"/>
        </w:tabs>
        <w:spacing w:lineRule="auto" w:line="276"/>
        <w:ind w:left="1468" w:right="1382" w:hanging="0"/>
        <w:jc w:val="both"/>
        <w:rPr>
          <w:highlight w:val="none"/>
          <w:shd w:fill="auto" w:val="clear"/>
        </w:rPr>
      </w:pPr>
      <w:r>
        <w:rPr>
          <w:sz w:val="24"/>
          <w:szCs w:val="24"/>
          <w:shd w:fill="auto" w:val="clear"/>
        </w:rPr>
        <w:t xml:space="preserve">Para fins de comprovação de qualificação técnica, deverão ser apresentados os seguintes documentos: </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Prova de inscrição do laboratório licitante no Cadastro Nacional de Estabelecimentos de Saúde – CNES;</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Alvará Sanitário atualizado expedido pela Vigilância Sanitária Municipal;</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Atestado(s) de capacidade técnica, emitido(s), por pessoa jurídica de direito pública ou privada, devidamente registrada na entidade profissional competente, que comprove(m) aptidão pertinente compatível com o objeto da licitação;</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 xml:space="preserve">Comprovação e Regularidade do Responsável Técnico junto ao respectivo Conselho de Classe (CRBio, CRF ou CRM), o qual deverá ter possuir Titulação específica para o objeto contratado, regular quanto à validade anual; </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Declaração dos sócios e diretores de que não ocupam cargo ou função de chefia, assessoramento ou função de confiança no Sistema Único de Saúde;</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z w:val="24"/>
          <w:szCs w:val="24"/>
          <w:shd w:fill="auto" w:val="clear"/>
        </w:rPr>
        <w:t>Declaração de que possui máquinas e equipamentos essenciais para o cumprimento do objeto da licitação.</w:t>
      </w:r>
    </w:p>
    <w:p>
      <w:pPr>
        <w:pStyle w:val="Normal"/>
        <w:tabs>
          <w:tab w:val="clear" w:pos="720"/>
          <w:tab w:val="left" w:pos="2146" w:leader="none"/>
        </w:tabs>
        <w:spacing w:lineRule="auto" w:line="276"/>
        <w:ind w:left="1468" w:right="1382" w:hanging="0"/>
        <w:jc w:val="both"/>
        <w:rPr>
          <w:sz w:val="24"/>
          <w:szCs w:val="24"/>
          <w:highlight w:val="none"/>
          <w:shd w:fill="auto" w:val="clear"/>
        </w:rPr>
      </w:pPr>
      <w:r>
        <w:rPr>
          <w:sz w:val="24"/>
          <w:szCs w:val="24"/>
          <w:shd w:fill="auto" w:val="clear"/>
        </w:rPr>
      </w:r>
    </w:p>
    <w:p>
      <w:pPr>
        <w:pStyle w:val="Ttulo1"/>
        <w:numPr>
          <w:ilvl w:val="1"/>
          <w:numId w:val="1"/>
        </w:numPr>
        <w:tabs>
          <w:tab w:val="clear" w:pos="720"/>
          <w:tab w:val="left" w:pos="1934" w:leader="none"/>
        </w:tabs>
        <w:ind w:left="1934" w:hanging="465"/>
        <w:jc w:val="both"/>
        <w:rPr>
          <w:highlight w:val="none"/>
          <w:shd w:fill="auto" w:val="clear"/>
        </w:rPr>
      </w:pPr>
      <w:r>
        <w:rPr>
          <w:shd w:fill="auto" w:val="clear"/>
        </w:rPr>
        <w:t>DOS EQUIPAMENTOS:</w:t>
      </w:r>
    </w:p>
    <w:p>
      <w:pPr>
        <w:pStyle w:val="Normal"/>
        <w:tabs>
          <w:tab w:val="clear" w:pos="720"/>
          <w:tab w:val="left" w:pos="1934" w:leader="none"/>
        </w:tabs>
        <w:ind w:left="1934" w:hanging="0"/>
        <w:rPr>
          <w:highlight w:val="none"/>
          <w:shd w:fill="auto" w:val="clear"/>
        </w:rPr>
      </w:pPr>
      <w:r>
        <w:rPr>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hd w:fill="auto" w:val="clear"/>
        </w:rPr>
        <w:t xml:space="preserve">Possuir equipamentos necessários para realização dos exames, os quais ofereçam sistemas de informação compatíveis com os utilizados na Rede Municipal de Saúde/RMS; </w:t>
      </w:r>
    </w:p>
    <w:p>
      <w:pPr>
        <w:pStyle w:val="Normal"/>
        <w:tabs>
          <w:tab w:val="clear" w:pos="720"/>
          <w:tab w:val="left" w:pos="2146" w:leader="none"/>
        </w:tabs>
        <w:spacing w:lineRule="auto" w:line="276"/>
        <w:ind w:left="1468" w:right="1382" w:hanging="0"/>
        <w:jc w:val="both"/>
        <w:rPr>
          <w:highlight w:val="none"/>
          <w:shd w:fill="auto" w:val="clear"/>
        </w:rPr>
      </w:pPr>
      <w:r>
        <w:rPr>
          <w:shd w:fill="auto" w:val="clear"/>
        </w:rPr>
      </w:r>
    </w:p>
    <w:p>
      <w:pPr>
        <w:pStyle w:val="Normal"/>
        <w:numPr>
          <w:ilvl w:val="2"/>
          <w:numId w:val="1"/>
        </w:numPr>
        <w:tabs>
          <w:tab w:val="clear" w:pos="720"/>
          <w:tab w:val="left" w:pos="2146" w:leader="none"/>
        </w:tabs>
        <w:spacing w:lineRule="auto" w:line="276"/>
        <w:ind w:left="1468" w:right="1382" w:hanging="0"/>
        <w:jc w:val="both"/>
        <w:rPr>
          <w:highlight w:val="none"/>
          <w:shd w:fill="auto" w:val="clear"/>
        </w:rPr>
      </w:pPr>
      <w:r>
        <w:rPr>
          <w:shd w:fill="auto" w:val="clear"/>
        </w:rPr>
        <w:t xml:space="preserve">Realizar obrigatoriamente a manutenção preventiva e corretiva dos equipamentos com assistência técnica especializada, apresentando laudo técnico, no prazo máximo de 24h, devendo a mesma apresentar os laudos de manutenção para a CONTRATANTE sempre que solicitado. </w:t>
      </w:r>
    </w:p>
    <w:p>
      <w:pPr>
        <w:pStyle w:val="Normal"/>
        <w:tabs>
          <w:tab w:val="clear" w:pos="720"/>
          <w:tab w:val="left" w:pos="2146" w:leader="none"/>
        </w:tabs>
        <w:spacing w:lineRule="auto" w:line="276"/>
        <w:ind w:left="1468" w:right="1382" w:hanging="0"/>
        <w:jc w:val="both"/>
        <w:rPr>
          <w:highlight w:val="none"/>
          <w:shd w:fill="auto" w:val="clear"/>
        </w:rPr>
      </w:pPr>
      <w:r>
        <w:rPr>
          <w:shd w:fill="auto" w:val="clear"/>
        </w:rPr>
      </w:r>
    </w:p>
    <w:p>
      <w:pPr>
        <w:pStyle w:val="Normal"/>
        <w:numPr>
          <w:ilvl w:val="2"/>
          <w:numId w:val="1"/>
        </w:numPr>
        <w:tabs>
          <w:tab w:val="clear" w:pos="720"/>
          <w:tab w:val="left" w:pos="2146" w:leader="none"/>
        </w:tabs>
        <w:spacing w:lineRule="auto" w:line="276"/>
        <w:ind w:left="1468" w:right="1382" w:hanging="0"/>
        <w:jc w:val="both"/>
        <w:rPr>
          <w:shd w:fill="auto" w:val="clear"/>
        </w:rPr>
      </w:pPr>
      <w:r>
        <w:rPr/>
        <w:t>Oferecer treinamentos regulares à equipe de coleta da secretaria de saúde para protocolos de coleta e manuseio dos equipamentos leitores. Em caso de  mudanças na equipe de coleta um novo treinamento deve ser oferecido dentro do prazo de 7 dias.</w:t>
      </w:r>
    </w:p>
    <w:p>
      <w:pPr>
        <w:pStyle w:val="Ttulo1"/>
        <w:numPr>
          <w:ilvl w:val="1"/>
          <w:numId w:val="1"/>
        </w:numPr>
        <w:tabs>
          <w:tab w:val="clear" w:pos="720"/>
          <w:tab w:val="left" w:pos="2003" w:leader="none"/>
        </w:tabs>
        <w:spacing w:lineRule="auto" w:line="276" w:before="274" w:after="0"/>
        <w:ind w:left="1468" w:right="1381" w:hanging="0"/>
        <w:jc w:val="both"/>
        <w:rPr/>
      </w:pPr>
      <w:r>
        <w:rPr/>
        <w:t>DOS DADOS:</w:t>
      </w:r>
    </w:p>
    <w:p>
      <w:pPr>
        <w:pStyle w:val="Normal"/>
        <w:tabs>
          <w:tab w:val="clear" w:pos="720"/>
          <w:tab w:val="left" w:pos="2166" w:leader="none"/>
        </w:tabs>
        <w:ind w:left="0" w:right="1381" w:hanging="0"/>
        <w:jc w:val="both"/>
        <w:rPr>
          <w:sz w:val="24"/>
          <w:szCs w:val="24"/>
        </w:rPr>
      </w:pPr>
      <w:r>
        <w:rPr>
          <w:sz w:val="24"/>
          <w:szCs w:val="24"/>
        </w:rPr>
      </w:r>
    </w:p>
    <w:p>
      <w:pPr>
        <w:pStyle w:val="Normal"/>
        <w:numPr>
          <w:ilvl w:val="2"/>
          <w:numId w:val="1"/>
        </w:numPr>
        <w:tabs>
          <w:tab w:val="clear" w:pos="720"/>
          <w:tab w:val="left" w:pos="2166" w:leader="none"/>
        </w:tabs>
        <w:ind w:left="1468" w:right="1381" w:hanging="0"/>
        <w:jc w:val="both"/>
        <w:rPr>
          <w:sz w:val="24"/>
          <w:szCs w:val="24"/>
          <w:shd w:fill="auto" w:val="clear"/>
        </w:rPr>
      </w:pPr>
      <w:r>
        <w:rPr>
          <w:sz w:val="24"/>
          <w:szCs w:val="24"/>
        </w:rPr>
        <w:t xml:space="preserve">Garantir a confidencialidade dos dados e informações do paciente conforme disposto na Lei Geral de Proteção de Dados (LGPD); </w:t>
      </w:r>
    </w:p>
    <w:p>
      <w:pPr>
        <w:pStyle w:val="Normal"/>
        <w:tabs>
          <w:tab w:val="clear" w:pos="720"/>
          <w:tab w:val="left" w:pos="2166" w:leader="none"/>
        </w:tabs>
        <w:ind w:left="1468" w:right="1381" w:hanging="0"/>
        <w:jc w:val="both"/>
        <w:rPr>
          <w:sz w:val="24"/>
          <w:szCs w:val="24"/>
        </w:rPr>
      </w:pPr>
      <w:r>
        <w:rPr>
          <w:sz w:val="24"/>
          <w:szCs w:val="24"/>
        </w:rPr>
        <w:t xml:space="preserve"> </w:t>
      </w:r>
    </w:p>
    <w:p>
      <w:pPr>
        <w:pStyle w:val="Normal"/>
        <w:numPr>
          <w:ilvl w:val="2"/>
          <w:numId w:val="1"/>
        </w:numPr>
        <w:tabs>
          <w:tab w:val="clear" w:pos="720"/>
          <w:tab w:val="left" w:pos="2166" w:leader="none"/>
        </w:tabs>
        <w:ind w:left="1468" w:right="1381" w:hanging="0"/>
        <w:jc w:val="both"/>
        <w:rPr>
          <w:sz w:val="24"/>
          <w:szCs w:val="24"/>
          <w:shd w:fill="auto" w:val="clear"/>
        </w:rPr>
      </w:pPr>
      <w:r>
        <w:rPr>
          <w:sz w:val="24"/>
          <w:szCs w:val="24"/>
        </w:rPr>
        <w:t>Realizar backup regular dos dados;</w:t>
      </w:r>
    </w:p>
    <w:p>
      <w:pPr>
        <w:pStyle w:val="Normal"/>
        <w:tabs>
          <w:tab w:val="clear" w:pos="720"/>
          <w:tab w:val="left" w:pos="2166" w:leader="none"/>
        </w:tabs>
        <w:ind w:left="1468" w:right="1381" w:hanging="0"/>
        <w:jc w:val="both"/>
        <w:rPr>
          <w:sz w:val="24"/>
          <w:szCs w:val="24"/>
        </w:rPr>
      </w:pPr>
      <w:r>
        <w:rPr>
          <w:sz w:val="24"/>
          <w:szCs w:val="24"/>
        </w:rPr>
      </w:r>
    </w:p>
    <w:p>
      <w:pPr>
        <w:pStyle w:val="Normal"/>
        <w:numPr>
          <w:ilvl w:val="2"/>
          <w:numId w:val="1"/>
        </w:numPr>
        <w:tabs>
          <w:tab w:val="clear" w:pos="720"/>
          <w:tab w:val="left" w:pos="2166" w:leader="none"/>
        </w:tabs>
        <w:ind w:left="1468" w:right="1381" w:hanging="0"/>
        <w:jc w:val="both"/>
        <w:rPr>
          <w:sz w:val="24"/>
          <w:szCs w:val="24"/>
          <w:shd w:fill="auto" w:val="clear"/>
        </w:rPr>
      </w:pPr>
      <w:r>
        <w:rPr>
          <w:sz w:val="24"/>
          <w:szCs w:val="24"/>
        </w:rPr>
        <w:t>Os dados são de posse da Secretaria de Saúde do município de Angra dos Reis e devem ser entregues digitalmente sempre que requisitados.</w:t>
      </w:r>
    </w:p>
    <w:p>
      <w:pPr>
        <w:pStyle w:val="Normal"/>
        <w:rPr>
          <w:color w:val="000000"/>
          <w:sz w:val="24"/>
          <w:szCs w:val="24"/>
        </w:rPr>
      </w:pPr>
      <w:r>
        <w:rPr>
          <w:color w:val="000000"/>
          <w:sz w:val="24"/>
          <w:szCs w:val="24"/>
        </w:rPr>
      </w:r>
    </w:p>
    <w:p>
      <w:pPr>
        <w:pStyle w:val="Ttulo1"/>
        <w:numPr>
          <w:ilvl w:val="1"/>
          <w:numId w:val="1"/>
        </w:numPr>
        <w:tabs>
          <w:tab w:val="clear" w:pos="720"/>
          <w:tab w:val="left" w:pos="1934" w:leader="none"/>
        </w:tabs>
        <w:ind w:left="1934" w:hanging="465"/>
        <w:jc w:val="both"/>
        <w:rPr/>
      </w:pPr>
      <w:r>
        <w:rPr/>
        <w:t>- DOS PRAZOS/ LAUDOS:</w:t>
      </w:r>
    </w:p>
    <w:p>
      <w:pPr>
        <w:pStyle w:val="Normal"/>
        <w:rPr>
          <w:rFonts w:ascii="Arial" w:hAnsi="Arial" w:eastAsia="Arial" w:cs="Arial"/>
          <w:b/>
          <w:b/>
          <w:color w:val="000000"/>
          <w:sz w:val="24"/>
          <w:szCs w:val="24"/>
        </w:rPr>
      </w:pPr>
      <w:r>
        <w:rPr>
          <w:rFonts w:eastAsia="Arial" w:cs="Arial" w:ascii="Arial" w:hAnsi="Arial"/>
          <w:b/>
          <w:color w:val="000000"/>
          <w:sz w:val="24"/>
          <w:szCs w:val="24"/>
        </w:rPr>
      </w:r>
    </w:p>
    <w:p>
      <w:pPr>
        <w:pStyle w:val="Normal"/>
        <w:numPr>
          <w:ilvl w:val="2"/>
          <w:numId w:val="1"/>
        </w:numPr>
        <w:tabs>
          <w:tab w:val="clear" w:pos="720"/>
          <w:tab w:val="left" w:pos="2135" w:leader="none"/>
        </w:tabs>
        <w:ind w:left="1468" w:right="1388" w:hanging="0"/>
        <w:jc w:val="both"/>
        <w:rPr>
          <w:color w:val="000000"/>
          <w:sz w:val="24"/>
          <w:szCs w:val="24"/>
          <w:shd w:fill="auto" w:val="clear"/>
        </w:rPr>
      </w:pPr>
      <w:r>
        <w:rPr>
          <w:sz w:val="24"/>
          <w:szCs w:val="24"/>
        </w:rPr>
        <w:t>Entregar o resultado dos exames, por escrito/digitalizado, de maneira imediata, respeitando o prazo máximo de 15 minutos para a entrega;</w:t>
      </w:r>
    </w:p>
    <w:p>
      <w:pPr>
        <w:pStyle w:val="Normal"/>
        <w:tabs>
          <w:tab w:val="clear" w:pos="720"/>
          <w:tab w:val="left" w:pos="2135" w:leader="none"/>
        </w:tabs>
        <w:ind w:left="1468" w:right="1388" w:hanging="0"/>
        <w:jc w:val="both"/>
        <w:rPr>
          <w:sz w:val="24"/>
          <w:szCs w:val="24"/>
        </w:rPr>
      </w:pPr>
      <w:r>
        <w:rPr>
          <w:sz w:val="24"/>
          <w:szCs w:val="24"/>
        </w:rPr>
      </w:r>
    </w:p>
    <w:p>
      <w:pPr>
        <w:pStyle w:val="Normal"/>
        <w:numPr>
          <w:ilvl w:val="2"/>
          <w:numId w:val="1"/>
        </w:numPr>
        <w:tabs>
          <w:tab w:val="clear" w:pos="720"/>
          <w:tab w:val="left" w:pos="2135" w:leader="none"/>
        </w:tabs>
        <w:ind w:left="1468" w:right="1388" w:hanging="0"/>
        <w:jc w:val="both"/>
        <w:rPr>
          <w:sz w:val="24"/>
          <w:szCs w:val="24"/>
          <w:shd w:fill="auto" w:val="clear"/>
        </w:rPr>
      </w:pPr>
      <w:r>
        <w:rPr>
          <w:sz w:val="24"/>
          <w:szCs w:val="24"/>
        </w:rPr>
        <w:t xml:space="preserve">A CONTRATANTE poderá solicitar a alteração dos fluxos de entrega dos resultados de acordo com sua necessidade; </w:t>
      </w:r>
    </w:p>
    <w:p>
      <w:pPr>
        <w:pStyle w:val="Normal"/>
        <w:tabs>
          <w:tab w:val="clear" w:pos="720"/>
          <w:tab w:val="left" w:pos="2135" w:leader="none"/>
        </w:tabs>
        <w:ind w:left="1468" w:right="1388" w:hanging="0"/>
        <w:jc w:val="both"/>
        <w:rPr>
          <w:sz w:val="24"/>
          <w:szCs w:val="24"/>
        </w:rPr>
      </w:pPr>
      <w:r>
        <w:rPr>
          <w:sz w:val="24"/>
          <w:szCs w:val="24"/>
        </w:rPr>
      </w:r>
    </w:p>
    <w:p>
      <w:pPr>
        <w:pStyle w:val="Normal"/>
        <w:numPr>
          <w:ilvl w:val="2"/>
          <w:numId w:val="1"/>
        </w:numPr>
        <w:tabs>
          <w:tab w:val="clear" w:pos="720"/>
          <w:tab w:val="left" w:pos="2135" w:leader="none"/>
        </w:tabs>
        <w:ind w:left="1468" w:right="1388" w:hanging="0"/>
        <w:jc w:val="both"/>
        <w:rPr>
          <w:sz w:val="24"/>
          <w:szCs w:val="24"/>
          <w:shd w:fill="auto" w:val="clear"/>
        </w:rPr>
      </w:pPr>
      <w:r>
        <w:rPr>
          <w:sz w:val="24"/>
          <w:szCs w:val="24"/>
        </w:rPr>
        <w:t>Encaminhar, mensalmente, no 1º (primeiro) dia útil de cada mês, via e-mail epidemioangra@gmail.com, os resultados dos exames positivos das doenças de notificação compulsória, conforme a Portaria nº 204 de 17 de fevereiro de 2016, em forma de relatório com os dados do paciente, para investigação dos casos;</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Emitir os laudos conforme a RDC/ANVISA Nº. 302/2005, devendo a contratada proceder a recoleta e reprocessamento do material, quando requerida pelo profissional solicitante, sem ônus para a contratante.</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 xml:space="preserve">A CONTRATADA deverá dispor de sistema para envio dos laudos em meio físico e eletrônico compatíveis com os da Secretaria Municipal de Saúde de Angra dos Reis e disponibilizar acesso online para a liberação dos resultados aos profissionais e usuários SUS; </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Os laudos deverão ser detalhados, com descrição dos parâmetros de normalidades de acordo com as normas vigentes, contendo: nome do paciente, documento de identificação, sexo, idade, endereço do paciente, unidade de referência do paciente, médico solicitante, data e hora da coleta, data e hora da liberação do laudo e senha de autorização. Todos os laudos de exames deverão descrever que o serviço é custeado pela Rede Municipal de Saúde de Angra dos Reis;</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Os laudos deverão ser assinados por Responsável Técnico com especialização no objeto em questão reconhecido pelo CRM,CRBIO ou CFM;</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A CONTRATADA deve responsabilizar-se pelo arquivamento das informações relativas à produção (requisições e laudos) em seu estabelecimento, de acordo com a legislação vigente;</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 xml:space="preserve">A CONTRATADA deverá disponibilizar fluxo para comunicação com o Médico/Cirurgião Dentista em casos de resultados que se enquadrarem nos parâmetros estabelecidos como de “pânico”; </w:t>
      </w:r>
    </w:p>
    <w:p>
      <w:pPr>
        <w:pStyle w:val="Normal"/>
        <w:numPr>
          <w:ilvl w:val="2"/>
          <w:numId w:val="1"/>
        </w:numPr>
        <w:tabs>
          <w:tab w:val="clear" w:pos="720"/>
          <w:tab w:val="left" w:pos="2133" w:leader="none"/>
        </w:tabs>
        <w:spacing w:before="276" w:after="0"/>
        <w:ind w:left="1468" w:right="1394" w:hanging="0"/>
        <w:jc w:val="both"/>
        <w:rPr>
          <w:color w:val="000009"/>
          <w:sz w:val="24"/>
          <w:szCs w:val="24"/>
          <w:shd w:fill="auto" w:val="clear"/>
        </w:rPr>
      </w:pPr>
      <w:r>
        <w:rPr>
          <w:color w:val="000009"/>
          <w:sz w:val="24"/>
          <w:szCs w:val="24"/>
        </w:rPr>
        <w:t>A CONTRATADA deverá emitir, sem custos adicionais, a segunda via do laudo quando solicitado diretamente pela CONTRATANTE num prazo máximo de 01 (um) dia após a solicitação;</w:t>
      </w:r>
    </w:p>
    <w:p>
      <w:pPr>
        <w:pStyle w:val="Normal"/>
        <w:rPr>
          <w:sz w:val="24"/>
          <w:szCs w:val="24"/>
        </w:rPr>
      </w:pPr>
      <w:r>
        <w:rPr>
          <w:sz w:val="24"/>
          <w:szCs w:val="24"/>
        </w:rPr>
      </w:r>
    </w:p>
    <w:p>
      <w:pPr>
        <w:pStyle w:val="Ttulo1"/>
        <w:numPr>
          <w:ilvl w:val="0"/>
          <w:numId w:val="1"/>
        </w:numPr>
        <w:tabs>
          <w:tab w:val="clear" w:pos="720"/>
          <w:tab w:val="left" w:pos="1800" w:leader="none"/>
          <w:tab w:val="left" w:pos="9939" w:leader="none"/>
        </w:tabs>
        <w:ind w:left="1800" w:hanging="330"/>
        <w:jc w:val="both"/>
        <w:rPr>
          <w:shd w:fill="auto" w:val="clear"/>
        </w:rPr>
      </w:pPr>
      <w:r>
        <w:rPr>
          <w:color w:val="000000"/>
        </w:rPr>
        <w:t>DOS PRAZOS</w:t>
        <w:tab/>
      </w:r>
    </w:p>
    <w:p>
      <w:pPr>
        <w:pStyle w:val="Normal"/>
        <w:rPr>
          <w:rFonts w:ascii="Arial" w:hAnsi="Arial" w:eastAsia="Arial" w:cs="Arial"/>
          <w:b/>
          <w:b/>
          <w:color w:val="000000"/>
          <w:sz w:val="24"/>
          <w:szCs w:val="24"/>
        </w:rPr>
      </w:pPr>
      <w:r>
        <w:rPr>
          <w:rFonts w:eastAsia="Arial" w:cs="Arial" w:ascii="Arial" w:hAnsi="Arial"/>
          <w:b/>
          <w:color w:val="000000"/>
          <w:sz w:val="24"/>
          <w:szCs w:val="24"/>
        </w:rPr>
      </w:r>
    </w:p>
    <w:p>
      <w:pPr>
        <w:pStyle w:val="Normal"/>
        <w:numPr>
          <w:ilvl w:val="1"/>
          <w:numId w:val="1"/>
        </w:numPr>
        <w:tabs>
          <w:tab w:val="clear" w:pos="720"/>
          <w:tab w:val="left" w:pos="1932" w:leader="none"/>
        </w:tabs>
        <w:ind w:left="1932" w:hanging="464"/>
        <w:jc w:val="both"/>
        <w:rPr>
          <w:rFonts w:ascii="Arial" w:hAnsi="Arial" w:eastAsia="Arial" w:cs="Arial"/>
          <w:b/>
          <w:b/>
          <w:color w:val="000000"/>
          <w:sz w:val="24"/>
          <w:szCs w:val="24"/>
        </w:rPr>
      </w:pPr>
      <w:r>
        <w:rPr>
          <w:rFonts w:eastAsia="Arial" w:cs="Arial" w:ascii="Arial" w:hAnsi="Arial"/>
          <w:b/>
          <w:color w:val="000000"/>
          <w:sz w:val="24"/>
          <w:szCs w:val="24"/>
          <w:u w:val="single"/>
        </w:rPr>
        <w:t>DA VIGÊNCIA CONTRATUAL</w:t>
      </w:r>
    </w:p>
    <w:p>
      <w:pPr>
        <w:pStyle w:val="Normal"/>
        <w:rPr>
          <w:rFonts w:ascii="Arial" w:hAnsi="Arial" w:eastAsia="Arial" w:cs="Arial"/>
          <w:b/>
          <w:b/>
          <w:color w:val="000000"/>
          <w:sz w:val="24"/>
          <w:szCs w:val="24"/>
        </w:rPr>
      </w:pPr>
      <w:r>
        <w:rPr>
          <w:rFonts w:eastAsia="Arial" w:cs="Arial" w:ascii="Arial" w:hAnsi="Arial"/>
          <w:b/>
          <w:color w:val="000000"/>
          <w:sz w:val="24"/>
          <w:szCs w:val="24"/>
        </w:rPr>
      </w:r>
    </w:p>
    <w:p>
      <w:pPr>
        <w:pStyle w:val="Normal"/>
        <w:ind w:left="1468" w:right="1389" w:hanging="0"/>
        <w:jc w:val="both"/>
        <w:rPr>
          <w:color w:val="000000"/>
          <w:sz w:val="24"/>
          <w:szCs w:val="24"/>
        </w:rPr>
      </w:pPr>
      <w:r>
        <w:rPr>
          <w:color w:val="000000"/>
          <w:sz w:val="24"/>
          <w:szCs w:val="24"/>
        </w:rPr>
        <w:t xml:space="preserve">O prazo de vigência será de </w:t>
      </w:r>
      <w:r>
        <w:rPr>
          <w:rFonts w:eastAsia="Arial" w:cs="Arial" w:ascii="Arial" w:hAnsi="Arial"/>
          <w:b/>
          <w:color w:val="000000"/>
          <w:sz w:val="24"/>
          <w:szCs w:val="24"/>
        </w:rPr>
        <w:t>90 (noventa) dias</w:t>
      </w:r>
      <w:r>
        <w:rPr>
          <w:color w:val="000000"/>
          <w:sz w:val="24"/>
          <w:szCs w:val="24"/>
        </w:rPr>
        <w:t>, contados a partir do recebimento da Ordem de Serviço</w:t>
      </w:r>
      <w:r>
        <w:rPr>
          <w:sz w:val="24"/>
          <w:szCs w:val="24"/>
        </w:rPr>
        <w:t>.</w:t>
      </w:r>
    </w:p>
    <w:p>
      <w:pPr>
        <w:pStyle w:val="Normal"/>
        <w:rPr>
          <w:color w:val="000000"/>
          <w:sz w:val="24"/>
          <w:szCs w:val="24"/>
        </w:rPr>
      </w:pPr>
      <w:r>
        <w:rPr>
          <w:color w:val="000000"/>
          <w:sz w:val="24"/>
          <w:szCs w:val="24"/>
        </w:rPr>
      </w:r>
    </w:p>
    <w:p>
      <w:pPr>
        <w:pStyle w:val="Ttulo1"/>
        <w:numPr>
          <w:ilvl w:val="1"/>
          <w:numId w:val="1"/>
        </w:numPr>
        <w:tabs>
          <w:tab w:val="clear" w:pos="720"/>
          <w:tab w:val="left" w:pos="1932" w:leader="none"/>
        </w:tabs>
        <w:ind w:left="1932" w:hanging="464"/>
        <w:jc w:val="both"/>
        <w:rPr/>
      </w:pPr>
      <w:r>
        <w:rPr>
          <w:u w:val="single"/>
        </w:rPr>
        <w:t>DA EXECUÇÃO DO SERVIÇO</w:t>
      </w:r>
    </w:p>
    <w:p>
      <w:pPr>
        <w:pStyle w:val="Normal"/>
        <w:jc w:val="both"/>
        <w:rPr>
          <w:rFonts w:ascii="Arial" w:hAnsi="Arial" w:eastAsia="Arial" w:cs="Arial"/>
          <w:b/>
          <w:b/>
          <w:color w:val="000000"/>
          <w:sz w:val="24"/>
          <w:szCs w:val="24"/>
        </w:rPr>
      </w:pPr>
      <w:r>
        <w:rPr>
          <w:rFonts w:eastAsia="Arial" w:cs="Arial" w:ascii="Arial" w:hAnsi="Arial"/>
          <w:b/>
          <w:color w:val="000000"/>
          <w:sz w:val="24"/>
          <w:szCs w:val="24"/>
        </w:rPr>
      </w:r>
    </w:p>
    <w:p>
      <w:pPr>
        <w:pStyle w:val="Normal"/>
        <w:ind w:left="1468" w:right="1395" w:hanging="0"/>
        <w:jc w:val="both"/>
        <w:rPr>
          <w:color w:val="000000"/>
          <w:sz w:val="24"/>
          <w:szCs w:val="24"/>
        </w:rPr>
      </w:pPr>
      <w:r>
        <w:rPr>
          <w:color w:val="000000"/>
          <w:sz w:val="24"/>
          <w:szCs w:val="24"/>
        </w:rPr>
        <w:t>O prazo para início da execução do serviço será de até 15 (quinze) dias, contados a partir do recebimento da Ordem de Serviço.</w:t>
      </w:r>
    </w:p>
    <w:p>
      <w:pPr>
        <w:pStyle w:val="Normal"/>
        <w:jc w:val="both"/>
        <w:rPr>
          <w:color w:val="000000"/>
          <w:sz w:val="24"/>
          <w:szCs w:val="24"/>
        </w:rPr>
      </w:pPr>
      <w:r>
        <w:rPr>
          <w:color w:val="000000"/>
          <w:sz w:val="24"/>
          <w:szCs w:val="24"/>
        </w:rPr>
      </w:r>
    </w:p>
    <w:p>
      <w:pPr>
        <w:pStyle w:val="Ttulo1"/>
        <w:numPr>
          <w:ilvl w:val="1"/>
          <w:numId w:val="1"/>
        </w:numPr>
        <w:tabs>
          <w:tab w:val="clear" w:pos="720"/>
          <w:tab w:val="left" w:pos="1932" w:leader="none"/>
        </w:tabs>
        <w:ind w:left="1932" w:hanging="464"/>
        <w:jc w:val="both"/>
        <w:rPr/>
      </w:pPr>
      <w:r>
        <w:rPr>
          <w:u w:val="single"/>
        </w:rPr>
        <w:t>DA PROPOSTA</w:t>
      </w:r>
    </w:p>
    <w:p>
      <w:pPr>
        <w:pStyle w:val="Normal"/>
        <w:jc w:val="both"/>
        <w:rPr>
          <w:rFonts w:ascii="Arial" w:hAnsi="Arial" w:eastAsia="Arial" w:cs="Arial"/>
          <w:b/>
          <w:b/>
          <w:color w:val="000000"/>
          <w:sz w:val="24"/>
          <w:szCs w:val="24"/>
        </w:rPr>
      </w:pPr>
      <w:r>
        <w:rPr>
          <w:rFonts w:eastAsia="Arial" w:cs="Arial" w:ascii="Arial" w:hAnsi="Arial"/>
          <w:b/>
          <w:color w:val="000000"/>
          <w:sz w:val="24"/>
          <w:szCs w:val="24"/>
        </w:rPr>
      </w:r>
    </w:p>
    <w:p>
      <w:pPr>
        <w:pStyle w:val="Normal"/>
        <w:ind w:left="1468" w:right="1395" w:hanging="0"/>
        <w:jc w:val="both"/>
        <w:rPr>
          <w:sz w:val="24"/>
          <w:szCs w:val="24"/>
        </w:rPr>
      </w:pPr>
      <w:r>
        <w:rPr>
          <w:sz w:val="24"/>
          <w:szCs w:val="24"/>
        </w:rPr>
        <w:t xml:space="preserve">O prazo de validade será de </w:t>
      </w:r>
      <w:r>
        <w:rPr>
          <w:rFonts w:eastAsia="Arial" w:cs="Arial" w:ascii="Arial" w:hAnsi="Arial"/>
          <w:b/>
          <w:sz w:val="24"/>
          <w:szCs w:val="24"/>
        </w:rPr>
        <w:t>60 (sessenta) dias</w:t>
      </w:r>
      <w:r>
        <w:rPr>
          <w:sz w:val="24"/>
          <w:szCs w:val="24"/>
        </w:rPr>
        <w:t>, da data de entrega da proposta.</w:t>
      </w:r>
    </w:p>
    <w:p>
      <w:pPr>
        <w:pStyle w:val="Normal"/>
        <w:rPr>
          <w:color w:val="000000"/>
          <w:sz w:val="20"/>
          <w:szCs w:val="20"/>
        </w:rPr>
      </w:pPr>
      <w:r>
        <w:rPr>
          <w:color w:val="000000"/>
          <w:sz w:val="20"/>
          <w:szCs w:val="20"/>
        </w:rPr>
      </w:r>
    </w:p>
    <w:p>
      <w:pPr>
        <w:pStyle w:val="Normal"/>
        <w:spacing w:before="69" w:after="0"/>
        <w:rPr>
          <w:color w:val="000000"/>
          <w:sz w:val="20"/>
          <w:szCs w:val="20"/>
        </w:rPr>
      </w:pPr>
      <w:r>
        <w:rPr>
          <w:color w:val="000000"/>
          <w:sz w:val="20"/>
          <w:szCs w:val="20"/>
        </w:rPr>
        <mc:AlternateContent>
          <mc:Choice Requires="wps">
            <w:drawing>
              <wp:anchor behindDoc="0" distT="0" distB="0" distL="0" distR="0" simplePos="0" locked="0" layoutInCell="0" allowOverlap="1" relativeHeight="56">
                <wp:simplePos x="0" y="0"/>
                <wp:positionH relativeFrom="column">
                  <wp:posOffset>863600</wp:posOffset>
                </wp:positionH>
                <wp:positionV relativeFrom="paragraph">
                  <wp:posOffset>139700</wp:posOffset>
                </wp:positionV>
                <wp:extent cx="5428615" cy="398145"/>
                <wp:effectExtent l="0" t="0" r="0" b="0"/>
                <wp:wrapTopAndBottom/>
                <wp:docPr id="11" name="Figura5"/>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275"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8. OBRIGAÇÕES E RESPONSABILIDADES</w:t>
                            </w:r>
                          </w:p>
                        </w:txbxContent>
                      </wps:txbx>
                      <wps:bodyPr lIns="0" rIns="0" tIns="0" bIns="0" anchor="t">
                        <a:noAutofit/>
                      </wps:bodyPr>
                    </wps:wsp>
                  </a:graphicData>
                </a:graphic>
              </wp:anchor>
            </w:drawing>
          </mc:Choice>
          <mc:Fallback>
            <w:pict>
              <v:rect id="shape_0" ID="Figura5" path="m0,0l-2147483645,0l-2147483645,-2147483646l0,-2147483646xe" fillcolor="#f1f1f1" stroked="f" o:allowincell="f" style="position:absolute;margin-left:68pt;margin-top:11pt;width:427.4pt;height:31.3pt;mso-wrap-style:square;v-text-anchor:top">
                <v:fill o:detectmouseclick="t" type="solid" color2="#0e0e0e"/>
                <v:stroke color="#3465a4" joinstyle="round" endcap="flat"/>
                <v:textbox>
                  <w:txbxContent>
                    <w:p>
                      <w:pPr>
                        <w:pStyle w:val="Contedodoquadro"/>
                        <w:spacing w:lineRule="auto" w:line="240" w:before="275"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8. OBRIGAÇÕES E RESPONSABILIDADES</w:t>
                      </w:r>
                    </w:p>
                  </w:txbxContent>
                </v:textbox>
                <w10:wrap type="topAndBottom"/>
              </v:rect>
            </w:pict>
          </mc:Fallback>
        </mc:AlternateContent>
      </w:r>
    </w:p>
    <w:p>
      <w:pPr>
        <w:pStyle w:val="Normal"/>
        <w:spacing w:before="275" w:after="0"/>
        <w:ind w:left="1468" w:right="1395" w:hanging="0"/>
        <w:rPr>
          <w:color w:val="000000"/>
          <w:sz w:val="24"/>
          <w:szCs w:val="24"/>
        </w:rPr>
      </w:pPr>
      <w:r>
        <w:rPr>
          <w:color w:val="000000"/>
          <w:sz w:val="24"/>
          <w:szCs w:val="24"/>
        </w:rPr>
        <w:t>As partes devem cumprir as cláusulas avençadas neste Termo, respondendo pelas consequências de sua inexecução total ou parcial.</w:t>
      </w:r>
    </w:p>
    <w:p>
      <w:pPr>
        <w:pStyle w:val="Ttulo1"/>
        <w:numPr>
          <w:ilvl w:val="1"/>
          <w:numId w:val="4"/>
        </w:numPr>
        <w:tabs>
          <w:tab w:val="clear" w:pos="720"/>
          <w:tab w:val="left" w:pos="1932" w:leader="none"/>
        </w:tabs>
        <w:spacing w:before="223" w:after="0"/>
        <w:ind w:left="1932" w:hanging="464"/>
        <w:rPr/>
      </w:pPr>
      <w:bookmarkStart w:id="3" w:name="_heading=h.2i0w5mugdal8"/>
      <w:bookmarkEnd w:id="3"/>
      <w:r>
        <w:rPr>
          <w:u w:val="single"/>
        </w:rPr>
        <w:t>DA CONTRATADA</w:t>
      </w:r>
    </w:p>
    <w:p>
      <w:pPr>
        <w:pStyle w:val="Normal"/>
        <w:numPr>
          <w:ilvl w:val="2"/>
          <w:numId w:val="4"/>
        </w:numPr>
        <w:tabs>
          <w:tab w:val="clear" w:pos="720"/>
          <w:tab w:val="left" w:pos="2228" w:leader="none"/>
        </w:tabs>
        <w:spacing w:before="276" w:after="0"/>
        <w:ind w:left="1468" w:right="1383" w:firstLine="91"/>
        <w:jc w:val="both"/>
        <w:rPr/>
      </w:pPr>
      <w:r>
        <w:rPr>
          <w:sz w:val="24"/>
          <w:szCs w:val="24"/>
        </w:rPr>
        <w:t>Responsabilizar-se pela emissão e impressão dos laudos/resultados assim como inserção dos resultados no sistema disponibilizado pelos Contratantes. Incluindo papéis, envelopes, cartuchos e toners para impressoras, bem como a manutenção de todos os equipamentos de informática, sem ônus para a contratante;</w:t>
      </w:r>
    </w:p>
    <w:p>
      <w:pPr>
        <w:pStyle w:val="Normal"/>
        <w:numPr>
          <w:ilvl w:val="2"/>
          <w:numId w:val="4"/>
        </w:numPr>
        <w:tabs>
          <w:tab w:val="clear" w:pos="720"/>
          <w:tab w:val="left" w:pos="2228" w:leader="none"/>
        </w:tabs>
        <w:spacing w:before="276" w:after="0"/>
        <w:ind w:left="1468" w:right="1383" w:firstLine="91"/>
        <w:jc w:val="both"/>
        <w:rPr/>
      </w:pPr>
      <w:r>
        <w:rPr>
          <w:sz w:val="24"/>
          <w:szCs w:val="24"/>
        </w:rPr>
        <w:t>Manter durante a vigência contratual, em compatibilidade com as obrigações por ele assumidas, todas as condições de habilitação e qualificação exigidas no ato da contratação, devendo comunicar ao CONTRATANTE a superveniência de fatos impeditivos da manutenção dessas condições.</w:t>
      </w:r>
    </w:p>
    <w:p>
      <w:pPr>
        <w:pStyle w:val="Normal"/>
        <w:rPr>
          <w:sz w:val="24"/>
          <w:szCs w:val="24"/>
        </w:rPr>
      </w:pPr>
      <w:r>
        <w:rPr>
          <w:sz w:val="24"/>
          <w:szCs w:val="24"/>
        </w:rPr>
      </w:r>
    </w:p>
    <w:p>
      <w:pPr>
        <w:pStyle w:val="Normal"/>
        <w:numPr>
          <w:ilvl w:val="2"/>
          <w:numId w:val="4"/>
        </w:numPr>
        <w:tabs>
          <w:tab w:val="clear" w:pos="720"/>
          <w:tab w:val="left" w:pos="2261" w:leader="none"/>
        </w:tabs>
        <w:ind w:left="1468" w:right="1396" w:firstLine="91"/>
        <w:jc w:val="both"/>
        <w:rPr/>
      </w:pPr>
      <w:r>
        <w:rPr>
          <w:sz w:val="24"/>
          <w:szCs w:val="24"/>
        </w:rPr>
        <w:t>Prestar o serviço de forma condizente ao objeto deste Termo promovendo por sua conta despesas com impostos, tributos de qualquer natureza, encargos previdenciários e trabalhistas decorrentes do pessoal utilizado na prestação do serviço.</w:t>
      </w:r>
    </w:p>
    <w:p>
      <w:pPr>
        <w:pStyle w:val="Normal"/>
        <w:rPr>
          <w:sz w:val="24"/>
          <w:szCs w:val="24"/>
        </w:rPr>
      </w:pPr>
      <w:r>
        <w:rPr>
          <w:sz w:val="24"/>
          <w:szCs w:val="24"/>
        </w:rPr>
      </w:r>
    </w:p>
    <w:p>
      <w:pPr>
        <w:pStyle w:val="Normal"/>
        <w:numPr>
          <w:ilvl w:val="2"/>
          <w:numId w:val="4"/>
        </w:numPr>
        <w:tabs>
          <w:tab w:val="clear" w:pos="720"/>
          <w:tab w:val="left" w:pos="2169" w:leader="none"/>
        </w:tabs>
        <w:ind w:left="1468" w:right="1384" w:firstLine="91"/>
        <w:jc w:val="both"/>
        <w:rPr/>
      </w:pPr>
      <w:r>
        <w:rPr>
          <w:sz w:val="24"/>
          <w:szCs w:val="24"/>
        </w:rPr>
        <w:t>Nomear preposto para, durante o período de vigência da contratação, representá-lo na execução do serviço.</w:t>
      </w:r>
    </w:p>
    <w:p>
      <w:pPr>
        <w:pStyle w:val="Normal"/>
        <w:rPr>
          <w:sz w:val="24"/>
          <w:szCs w:val="24"/>
        </w:rPr>
      </w:pPr>
      <w:r>
        <w:rPr>
          <w:sz w:val="24"/>
          <w:szCs w:val="24"/>
        </w:rPr>
      </w:r>
    </w:p>
    <w:p>
      <w:pPr>
        <w:pStyle w:val="Normal"/>
        <w:numPr>
          <w:ilvl w:val="2"/>
          <w:numId w:val="4"/>
        </w:numPr>
        <w:tabs>
          <w:tab w:val="clear" w:pos="720"/>
          <w:tab w:val="left" w:pos="2181" w:leader="none"/>
        </w:tabs>
        <w:ind w:left="1468" w:right="1396" w:firstLine="91"/>
        <w:jc w:val="both"/>
        <w:rPr/>
      </w:pPr>
      <w:r>
        <w:rPr>
          <w:sz w:val="24"/>
          <w:szCs w:val="24"/>
        </w:rPr>
        <w:t>Prestar todo e qualquer esclarecimento ou informação solicitada pela fiscalização do CONTRATANTE.</w:t>
      </w:r>
    </w:p>
    <w:p>
      <w:pPr>
        <w:pStyle w:val="Normal"/>
        <w:rPr>
          <w:sz w:val="24"/>
          <w:szCs w:val="24"/>
        </w:rPr>
      </w:pPr>
      <w:r>
        <w:rPr>
          <w:sz w:val="24"/>
          <w:szCs w:val="24"/>
        </w:rPr>
      </w:r>
    </w:p>
    <w:p>
      <w:pPr>
        <w:pStyle w:val="Normal"/>
        <w:numPr>
          <w:ilvl w:val="2"/>
          <w:numId w:val="4"/>
        </w:numPr>
        <w:tabs>
          <w:tab w:val="clear" w:pos="720"/>
          <w:tab w:val="left" w:pos="2145" w:leader="none"/>
        </w:tabs>
        <w:ind w:left="1468" w:right="1403" w:firstLine="91"/>
        <w:jc w:val="both"/>
        <w:rPr/>
      </w:pPr>
      <w:r>
        <w:rPr>
          <w:sz w:val="24"/>
          <w:szCs w:val="24"/>
        </w:rPr>
        <w:t>Respeitar o prazo da execução do serviço, bem como, cumprir todas as demais exigências impostas neste Termo.</w:t>
      </w:r>
    </w:p>
    <w:p>
      <w:pPr>
        <w:pStyle w:val="Normal"/>
        <w:rPr>
          <w:sz w:val="24"/>
          <w:szCs w:val="24"/>
        </w:rPr>
      </w:pPr>
      <w:r>
        <w:rPr>
          <w:sz w:val="24"/>
          <w:szCs w:val="24"/>
        </w:rPr>
      </w:r>
    </w:p>
    <w:p>
      <w:pPr>
        <w:pStyle w:val="Normal"/>
        <w:numPr>
          <w:ilvl w:val="2"/>
          <w:numId w:val="4"/>
        </w:numPr>
        <w:tabs>
          <w:tab w:val="clear" w:pos="720"/>
          <w:tab w:val="left" w:pos="2145" w:leader="none"/>
        </w:tabs>
        <w:ind w:left="1468" w:right="1396" w:firstLine="91"/>
        <w:jc w:val="both"/>
        <w:rPr/>
      </w:pPr>
      <w:r>
        <w:rPr>
          <w:sz w:val="24"/>
          <w:szCs w:val="24"/>
        </w:rPr>
        <w:t>Responder pelos danos causados diretamente ao CONTRATANTE ou a terceiros, decorrentes de sua culpa ou dolo durante a execução do serviço, respondendo por si e por seus sucessores.</w:t>
      </w:r>
    </w:p>
    <w:p>
      <w:pPr>
        <w:pStyle w:val="Normal"/>
        <w:rPr>
          <w:sz w:val="24"/>
          <w:szCs w:val="24"/>
        </w:rPr>
      </w:pPr>
      <w:r>
        <w:rPr>
          <w:sz w:val="24"/>
          <w:szCs w:val="24"/>
        </w:rPr>
      </w:r>
    </w:p>
    <w:p>
      <w:pPr>
        <w:pStyle w:val="Normal"/>
        <w:numPr>
          <w:ilvl w:val="2"/>
          <w:numId w:val="4"/>
        </w:numPr>
        <w:tabs>
          <w:tab w:val="clear" w:pos="720"/>
          <w:tab w:val="left" w:pos="2222" w:leader="none"/>
          <w:tab w:val="left" w:pos="2268" w:leader="none"/>
        </w:tabs>
        <w:ind w:left="1468" w:right="1399" w:firstLine="91"/>
        <w:jc w:val="both"/>
        <w:rPr/>
      </w:pPr>
      <w:r>
        <w:rPr>
          <w:sz w:val="24"/>
          <w:szCs w:val="24"/>
        </w:rPr>
        <w:t>Corrigir, prontamente, quaisquer erros ou imperfeições, atendendo, assim, as reclamações, exigências ou observações feitas pela fiscalização do CONTRATANTE.</w:t>
      </w:r>
    </w:p>
    <w:p>
      <w:pPr>
        <w:pStyle w:val="Normal"/>
        <w:rPr>
          <w:sz w:val="24"/>
          <w:szCs w:val="24"/>
        </w:rPr>
      </w:pPr>
      <w:r>
        <w:rPr>
          <w:sz w:val="24"/>
          <w:szCs w:val="24"/>
        </w:rPr>
      </w:r>
    </w:p>
    <w:p>
      <w:pPr>
        <w:pStyle w:val="Normal"/>
        <w:numPr>
          <w:ilvl w:val="2"/>
          <w:numId w:val="4"/>
        </w:numPr>
        <w:tabs>
          <w:tab w:val="clear" w:pos="720"/>
          <w:tab w:val="left" w:pos="2135" w:leader="none"/>
        </w:tabs>
        <w:ind w:left="1468" w:right="1399" w:firstLine="91"/>
        <w:jc w:val="both"/>
        <w:rPr/>
      </w:pPr>
      <w:r>
        <w:rPr>
          <w:sz w:val="24"/>
          <w:szCs w:val="24"/>
        </w:rPr>
        <w:t>Comunicar o CONTRATANTE, por escrito, no prazo máximo de 24 (vinte e quatro) horas que antecede o prazo de execução do serviço, os motivos que impossibilitem o seu cumprimento.</w:t>
      </w:r>
    </w:p>
    <w:p>
      <w:pPr>
        <w:pStyle w:val="Normal"/>
        <w:rPr>
          <w:sz w:val="24"/>
          <w:szCs w:val="24"/>
        </w:rPr>
      </w:pPr>
      <w:r>
        <w:rPr>
          <w:sz w:val="24"/>
          <w:szCs w:val="24"/>
        </w:rPr>
      </w:r>
    </w:p>
    <w:p>
      <w:pPr>
        <w:pStyle w:val="Normal"/>
        <w:numPr>
          <w:ilvl w:val="2"/>
          <w:numId w:val="4"/>
        </w:numPr>
        <w:tabs>
          <w:tab w:val="clear" w:pos="720"/>
          <w:tab w:val="left" w:pos="2147" w:leader="none"/>
          <w:tab w:val="left" w:pos="2268" w:leader="none"/>
        </w:tabs>
        <w:ind w:left="1468" w:right="1394" w:firstLine="91"/>
        <w:jc w:val="both"/>
        <w:rPr/>
      </w:pPr>
      <w:r>
        <w:rPr>
          <w:sz w:val="24"/>
          <w:szCs w:val="24"/>
        </w:rPr>
        <w:t>Em hipótese alguma a CONTRATADA poderá subcontratar ou transferir a outrem, no todo ou em parte, objeto da contratação definida neste Termo, sem prévia anuência do CONTRATANTE.</w:t>
      </w:r>
    </w:p>
    <w:p>
      <w:pPr>
        <w:pStyle w:val="Normal"/>
        <w:ind w:left="1468" w:hanging="0"/>
        <w:jc w:val="both"/>
        <w:rPr>
          <w:sz w:val="24"/>
          <w:szCs w:val="24"/>
        </w:rPr>
      </w:pPr>
      <w:r>
        <w:rPr>
          <w:sz w:val="24"/>
          <w:szCs w:val="24"/>
        </w:rPr>
      </w:r>
    </w:p>
    <w:p>
      <w:pPr>
        <w:pStyle w:val="Normal"/>
        <w:numPr>
          <w:ilvl w:val="2"/>
          <w:numId w:val="4"/>
        </w:numPr>
        <w:tabs>
          <w:tab w:val="clear" w:pos="720"/>
          <w:tab w:val="left" w:pos="2127" w:leader="none"/>
          <w:tab w:val="left" w:pos="2268" w:leader="none"/>
        </w:tabs>
        <w:ind w:left="1468" w:right="1394" w:firstLine="91"/>
        <w:jc w:val="both"/>
        <w:rPr/>
      </w:pPr>
      <w:r>
        <w:rPr>
          <w:sz w:val="24"/>
          <w:szCs w:val="24"/>
        </w:rPr>
        <w:t>É vedada a contratada efetuar a cobrança de qualquer quantia, a qualquer título, dos serviços prestados aos usuários do SUS, ficando a contratada responsabilizada por qualquer cobrança indevida feita a usuário;</w:t>
      </w:r>
    </w:p>
    <w:p>
      <w:pPr>
        <w:pStyle w:val="Normal"/>
        <w:rPr>
          <w:sz w:val="24"/>
          <w:szCs w:val="24"/>
        </w:rPr>
      </w:pPr>
      <w:r>
        <w:rPr>
          <w:sz w:val="24"/>
          <w:szCs w:val="24"/>
        </w:rPr>
      </w:r>
    </w:p>
    <w:p>
      <w:pPr>
        <w:pStyle w:val="Normal"/>
        <w:numPr>
          <w:ilvl w:val="2"/>
          <w:numId w:val="4"/>
        </w:numPr>
        <w:tabs>
          <w:tab w:val="clear" w:pos="720"/>
          <w:tab w:val="left" w:pos="2285" w:leader="none"/>
        </w:tabs>
        <w:ind w:left="1468" w:right="1393" w:firstLine="91"/>
        <w:jc w:val="both"/>
        <w:rPr/>
      </w:pPr>
      <w:r>
        <w:rPr>
          <w:color w:val="000009"/>
          <w:sz w:val="24"/>
          <w:szCs w:val="24"/>
        </w:rPr>
        <w:t xml:space="preserve">No prazo de até 30 (trinta) dias após a implantação do serviço deverá ser lavrado um termo na assunção e término do contrato entre a CONTRATANTE e a CONTRATADA em que constará o arrolamento total da área física, equipamentos e mobiliários. Deverá constar a descrição do estado </w:t>
      </w:r>
      <w:r>
        <w:rPr>
          <w:color w:val="000009"/>
        </w:rPr>
        <w:t>de conservação e funcionamento com atesto de ambas as partes.</w:t>
      </w:r>
    </w:p>
    <w:p>
      <w:pPr>
        <w:pStyle w:val="Normal"/>
        <w:tabs>
          <w:tab w:val="clear" w:pos="720"/>
          <w:tab w:val="left" w:pos="2285" w:leader="none"/>
        </w:tabs>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color w:val="000009"/>
        </w:rPr>
      </w:pPr>
      <w:r>
        <w:rPr>
          <w:color w:val="000009"/>
          <w:sz w:val="24"/>
          <w:szCs w:val="24"/>
        </w:rPr>
        <w:t>Manter durante toda a vigência do contrato, em compatibilidade com as obrigações assumidas, todas as condições de habilitação e qualificação exigidas no edital, apresentando com a fatura mensal, e sempre que solicitado, os comprovantes de regularidade fiscal, social e trabalhista;</w:t>
      </w:r>
    </w:p>
    <w:p>
      <w:pPr>
        <w:pStyle w:val="Normal"/>
        <w:tabs>
          <w:tab w:val="clear" w:pos="720"/>
          <w:tab w:val="left" w:pos="2304" w:leader="none"/>
        </w:tabs>
        <w:spacing w:before="1" w:after="0"/>
        <w:ind w:right="1400" w:hanging="0"/>
        <w:rPr>
          <w:color w:val="000009"/>
          <w:sz w:val="24"/>
          <w:szCs w:val="24"/>
        </w:rPr>
      </w:pPr>
      <w:r>
        <w:rPr>
          <w:color w:val="000009"/>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A CONTRATADA deverá enviar mensalmente relatório de produtividade e os demais relatórios solicitados pela CONTRATANTE;</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Assegurar condições necessárias ao acompanhamento, à supervisão, ao controle, a fiscalização e auditoria da execução do objeto contratado, permitindo o livre acesso dos servidores sempre que solicitado e indicados pela administração;</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Manter arquivo do resultado dos exames por, no mínimo 05 (cinco) anos, sem prejuízo das regras gerais de controle e avaliação, referentes à comprovação de prestação dos serviços, de acordo com os fluxos estabelecidos pela CONTRATANTE; ressalvados os prazos diferenciados previstos em Lei;</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A CONTRATADA deverá submeter-se aos fluxos das ações determinados pela Secretaria Municipal de Saúde de Angra dos Reis/RJ;</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Caso não haja a possibilidade de atendimento do fluxo, a CONTRATADA, deverá comunicar a impossibilidade através de documento timbrado;</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Possuir o Procedimento Operacional Padrão (POP) e adotar um Programa Interno de Qualidade, atendendo as normas da ANVISA e em acordo com a Secretaria Municipal de Saúde de Angra dos Reis;</w:t>
      </w:r>
    </w:p>
    <w:p>
      <w:pPr>
        <w:pStyle w:val="Normal"/>
        <w:tabs>
          <w:tab w:val="clear" w:pos="720"/>
          <w:tab w:val="left" w:pos="2285" w:leader="none"/>
        </w:tabs>
        <w:ind w:left="1468" w:hanging="0"/>
        <w:jc w:val="both"/>
        <w:rPr>
          <w:sz w:val="24"/>
          <w:szCs w:val="24"/>
        </w:rPr>
      </w:pPr>
      <w:r>
        <w:rPr>
          <w:sz w:val="24"/>
          <w:szCs w:val="24"/>
        </w:rPr>
      </w:r>
    </w:p>
    <w:p>
      <w:pPr>
        <w:pStyle w:val="Normal"/>
        <w:numPr>
          <w:ilvl w:val="2"/>
          <w:numId w:val="4"/>
        </w:numPr>
        <w:tabs>
          <w:tab w:val="clear" w:pos="720"/>
          <w:tab w:val="left" w:pos="2304" w:leader="none"/>
        </w:tabs>
        <w:spacing w:before="1" w:after="0"/>
        <w:ind w:left="1468" w:right="1400" w:firstLine="91"/>
        <w:jc w:val="both"/>
        <w:rPr/>
      </w:pPr>
      <w:r>
        <w:rPr>
          <w:sz w:val="24"/>
          <w:szCs w:val="24"/>
        </w:rPr>
        <w:t>Apresentar, no prazo de 30 dias após a assinatura do contrato, o Certificado anual de participação em Programa Nacional de Controle de Qualidade, com classificação máxima de desempenho (excelência), expedido por empresa certificada pela ANVISA e Cadastro Nacional de Estabelecimentos de Saúde no município de Angra dos Reis.</w:t>
      </w:r>
    </w:p>
    <w:p>
      <w:pPr>
        <w:pStyle w:val="Normal"/>
        <w:tabs>
          <w:tab w:val="clear" w:pos="720"/>
          <w:tab w:val="left" w:pos="2304" w:leader="none"/>
        </w:tabs>
        <w:spacing w:before="1" w:after="0"/>
        <w:ind w:left="1934" w:right="1400" w:hanging="0"/>
        <w:jc w:val="both"/>
        <w:rPr/>
      </w:pPr>
      <w:r>
        <w:rPr/>
      </w:r>
    </w:p>
    <w:p>
      <w:pPr>
        <w:pStyle w:val="Normal"/>
        <w:tabs>
          <w:tab w:val="clear" w:pos="720"/>
          <w:tab w:val="left" w:pos="2304" w:leader="none"/>
        </w:tabs>
        <w:spacing w:before="1" w:after="0"/>
        <w:ind w:right="1400" w:hanging="0"/>
        <w:jc w:val="both"/>
        <w:rPr>
          <w:sz w:val="24"/>
          <w:szCs w:val="24"/>
        </w:rPr>
      </w:pPr>
      <w:r>
        <w:rPr>
          <w:sz w:val="24"/>
          <w:szCs w:val="24"/>
        </w:rPr>
        <mc:AlternateContent>
          <mc:Choice Requires="wps">
            <w:drawing>
              <wp:anchor behindDoc="0" distT="0" distB="0" distL="0" distR="0" simplePos="0" locked="0" layoutInCell="0" allowOverlap="1" relativeHeight="52">
                <wp:simplePos x="0" y="0"/>
                <wp:positionH relativeFrom="column">
                  <wp:posOffset>866775</wp:posOffset>
                </wp:positionH>
                <wp:positionV relativeFrom="paragraph">
                  <wp:posOffset>104140</wp:posOffset>
                </wp:positionV>
                <wp:extent cx="5428615" cy="398145"/>
                <wp:effectExtent l="0" t="0" r="0" b="0"/>
                <wp:wrapTopAndBottom/>
                <wp:docPr id="13" name="Figura6"/>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9. DO CONTRATANTE</w:t>
                            </w:r>
                          </w:p>
                        </w:txbxContent>
                      </wps:txbx>
                      <wps:bodyPr lIns="0" rIns="0" tIns="0" bIns="0" anchor="t">
                        <a:noAutofit/>
                      </wps:bodyPr>
                    </wps:wsp>
                  </a:graphicData>
                </a:graphic>
              </wp:anchor>
            </w:drawing>
          </mc:Choice>
          <mc:Fallback>
            <w:pict>
              <v:rect id="shape_0" ID="Figura6" path="m0,0l-2147483645,0l-2147483645,-2147483646l0,-2147483646xe" fillcolor="#f1f1f1" stroked="f" o:allowincell="f" style="position:absolute;margin-left:68.25pt;margin-top:8.2pt;width:427.4pt;height:31.3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9. DO CONTRATANTE</w:t>
                      </w:r>
                    </w:p>
                  </w:txbxContent>
                </v:textbox>
                <w10:wrap type="topAndBottom"/>
              </v:rect>
            </w:pict>
          </mc:Fallback>
        </mc:AlternateContent>
      </w:r>
    </w:p>
    <w:p>
      <w:pPr>
        <w:pStyle w:val="Normal"/>
        <w:numPr>
          <w:ilvl w:val="1"/>
          <w:numId w:val="2"/>
        </w:numPr>
        <w:tabs>
          <w:tab w:val="clear" w:pos="720"/>
          <w:tab w:val="left" w:pos="1975" w:leader="none"/>
        </w:tabs>
        <w:spacing w:before="1" w:after="0"/>
        <w:ind w:left="1468" w:right="1384" w:hanging="0"/>
        <w:jc w:val="both"/>
        <w:rPr>
          <w:color w:val="000000"/>
          <w:sz w:val="24"/>
          <w:szCs w:val="24"/>
        </w:rPr>
      </w:pPr>
      <w:r>
        <w:rPr>
          <w:color w:val="000000"/>
          <w:sz w:val="24"/>
          <w:szCs w:val="24"/>
        </w:rPr>
        <w:t>Promover o acompanhamento e fiscalização durante o fornecimento do objeto contratado, de forma que sejam mantidas as condições de habilitação e qualificação exigidas da CONTRATADA.</w:t>
      </w:r>
    </w:p>
    <w:p>
      <w:pPr>
        <w:pStyle w:val="Normal"/>
        <w:tabs>
          <w:tab w:val="clear" w:pos="720"/>
          <w:tab w:val="left" w:pos="1975" w:leader="none"/>
        </w:tabs>
        <w:spacing w:before="1" w:after="0"/>
        <w:ind w:left="1468" w:right="1384" w:hanging="0"/>
        <w:jc w:val="both"/>
        <w:rPr>
          <w:color w:val="000000"/>
          <w:sz w:val="24"/>
          <w:szCs w:val="24"/>
        </w:rPr>
      </w:pPr>
      <w:r>
        <w:rPr>
          <w:color w:val="000000"/>
          <w:sz w:val="24"/>
          <w:szCs w:val="24"/>
        </w:rPr>
      </w:r>
    </w:p>
    <w:p>
      <w:pPr>
        <w:pStyle w:val="Normal"/>
        <w:numPr>
          <w:ilvl w:val="1"/>
          <w:numId w:val="2"/>
        </w:numPr>
        <w:tabs>
          <w:tab w:val="clear" w:pos="720"/>
          <w:tab w:val="left" w:pos="1975" w:leader="none"/>
        </w:tabs>
        <w:spacing w:before="0" w:after="240"/>
        <w:ind w:left="1468" w:right="1384" w:hanging="0"/>
        <w:jc w:val="both"/>
        <w:rPr>
          <w:color w:val="000000"/>
          <w:sz w:val="24"/>
          <w:szCs w:val="24"/>
        </w:rPr>
      </w:pPr>
      <w:r>
        <w:rPr>
          <w:color w:val="000000"/>
          <w:sz w:val="24"/>
          <w:szCs w:val="24"/>
        </w:rPr>
        <w:t xml:space="preserve"> </w:t>
      </w:r>
      <w:r>
        <w:rPr>
          <w:color w:val="000000"/>
          <w:sz w:val="24"/>
          <w:szCs w:val="24"/>
        </w:rPr>
        <w:t>Acompanhar e fiscalizar a conformidade da prestação dos serviços e da alocação dos recursos necessários, de forma a assegurar o perfeito cumprimento do ajuste, por meio de um representante especialmente designado, na forma da lei.</w:t>
      </w:r>
    </w:p>
    <w:p>
      <w:pPr>
        <w:pStyle w:val="Normal"/>
        <w:tabs>
          <w:tab w:val="clear" w:pos="720"/>
          <w:tab w:val="left" w:pos="1975" w:leader="none"/>
        </w:tabs>
        <w:ind w:left="1468" w:right="1384" w:hanging="0"/>
        <w:rPr>
          <w:sz w:val="24"/>
          <w:szCs w:val="24"/>
        </w:rPr>
      </w:pPr>
      <w:r>
        <w:rPr>
          <w:sz w:val="24"/>
          <w:szCs w:val="24"/>
        </w:rPr>
      </w:r>
    </w:p>
    <w:p>
      <w:pPr>
        <w:pStyle w:val="Normal"/>
        <w:numPr>
          <w:ilvl w:val="1"/>
          <w:numId w:val="2"/>
        </w:numPr>
        <w:tabs>
          <w:tab w:val="clear" w:pos="720"/>
          <w:tab w:val="left" w:pos="1934" w:leader="none"/>
        </w:tabs>
        <w:ind w:left="1934" w:hanging="465"/>
        <w:jc w:val="both"/>
        <w:rPr>
          <w:color w:val="000000"/>
          <w:sz w:val="24"/>
          <w:szCs w:val="24"/>
        </w:rPr>
      </w:pPr>
      <w:r>
        <w:rPr>
          <w:color w:val="000000"/>
          <w:sz w:val="24"/>
          <w:szCs w:val="24"/>
        </w:rPr>
        <w:t>Aplicar as penalidades por descumprimento do pactuado neste Termo.</w:t>
      </w:r>
    </w:p>
    <w:p>
      <w:pPr>
        <w:pStyle w:val="Normal"/>
        <w:tabs>
          <w:tab w:val="clear" w:pos="720"/>
          <w:tab w:val="left" w:pos="1934" w:leader="none"/>
        </w:tabs>
        <w:rPr>
          <w:sz w:val="24"/>
          <w:szCs w:val="24"/>
        </w:rPr>
      </w:pPr>
      <w:r>
        <w:rPr>
          <w:sz w:val="24"/>
          <w:szCs w:val="24"/>
        </w:rPr>
      </w:r>
    </w:p>
    <w:p>
      <w:pPr>
        <w:pStyle w:val="Normal"/>
        <w:numPr>
          <w:ilvl w:val="1"/>
          <w:numId w:val="2"/>
        </w:numPr>
        <w:tabs>
          <w:tab w:val="clear" w:pos="720"/>
          <w:tab w:val="left" w:pos="1560" w:leader="none"/>
          <w:tab w:val="left" w:pos="1985" w:leader="none"/>
        </w:tabs>
        <w:ind w:left="1560" w:right="1407" w:hanging="140"/>
        <w:jc w:val="both"/>
        <w:rPr>
          <w:color w:val="000000"/>
          <w:sz w:val="24"/>
          <w:szCs w:val="24"/>
        </w:rPr>
      </w:pPr>
      <w:r>
        <w:rPr>
          <w:color w:val="000000"/>
          <w:sz w:val="24"/>
          <w:szCs w:val="24"/>
        </w:rPr>
        <w:t>Durante a vigência do contrato, a execução dos serviços será acompanhada e fiscalizada, pelo fiscal do contrato e pelo gestor do contrato, devendo manter elevado o padrão de qualidade dos serviços e frequente contato com o preposto da contratada, para solução de eventuais problemas e /ou esclarecimentos;</w:t>
      </w:r>
    </w:p>
    <w:p>
      <w:pPr>
        <w:pStyle w:val="Normal"/>
        <w:tabs>
          <w:tab w:val="clear" w:pos="720"/>
          <w:tab w:val="left" w:pos="1560" w:leader="none"/>
          <w:tab w:val="left" w:pos="1985" w:leader="none"/>
        </w:tabs>
        <w:ind w:right="1407" w:hanging="0"/>
        <w:rPr>
          <w:sz w:val="24"/>
          <w:szCs w:val="24"/>
        </w:rPr>
      </w:pPr>
      <w:r>
        <w:rPr>
          <w:sz w:val="24"/>
          <w:szCs w:val="24"/>
        </w:rPr>
      </w:r>
    </w:p>
    <w:p>
      <w:pPr>
        <w:pStyle w:val="Normal"/>
        <w:numPr>
          <w:ilvl w:val="1"/>
          <w:numId w:val="2"/>
        </w:numPr>
        <w:tabs>
          <w:tab w:val="clear" w:pos="720"/>
          <w:tab w:val="left" w:pos="1560" w:leader="none"/>
          <w:tab w:val="left" w:pos="1985" w:leader="none"/>
        </w:tabs>
        <w:ind w:left="1560" w:right="1407" w:hanging="140"/>
        <w:jc w:val="both"/>
        <w:rPr>
          <w:color w:val="000000"/>
          <w:sz w:val="24"/>
          <w:szCs w:val="24"/>
        </w:rPr>
      </w:pPr>
      <w:r>
        <w:rPr>
          <w:color w:val="000000"/>
          <w:sz w:val="24"/>
          <w:szCs w:val="24"/>
        </w:rPr>
        <w:t>Registrar e notificar todas as ocorrências relacionadas a execução do contrato, indicando dia, mês e ano, adotando as providências necessárias ao fiel cumprimento das cláusulas contratuais e comunicando a autoridade competente, quando for o caso;</w:t>
      </w:r>
    </w:p>
    <w:p>
      <w:pPr>
        <w:pStyle w:val="Normal"/>
        <w:tabs>
          <w:tab w:val="clear" w:pos="720"/>
          <w:tab w:val="left" w:pos="1560" w:leader="none"/>
          <w:tab w:val="left" w:pos="1985" w:leader="none"/>
        </w:tabs>
        <w:ind w:right="1407" w:hanging="0"/>
        <w:rPr>
          <w:sz w:val="24"/>
          <w:szCs w:val="24"/>
        </w:rPr>
      </w:pPr>
      <w:r>
        <w:rPr>
          <w:sz w:val="24"/>
          <w:szCs w:val="24"/>
        </w:rPr>
      </w:r>
    </w:p>
    <w:p>
      <w:pPr>
        <w:pStyle w:val="Normal"/>
        <w:numPr>
          <w:ilvl w:val="1"/>
          <w:numId w:val="2"/>
        </w:numPr>
        <w:tabs>
          <w:tab w:val="clear" w:pos="720"/>
          <w:tab w:val="left" w:pos="1962" w:leader="none"/>
        </w:tabs>
        <w:spacing w:before="1" w:after="0"/>
        <w:ind w:left="1468" w:right="1392" w:hanging="0"/>
        <w:jc w:val="both"/>
        <w:rPr>
          <w:color w:val="000000"/>
          <w:sz w:val="24"/>
          <w:szCs w:val="24"/>
        </w:rPr>
      </w:pPr>
      <w:r>
        <w:rPr>
          <w:color w:val="000000"/>
          <w:sz w:val="24"/>
          <w:szCs w:val="24"/>
        </w:rPr>
        <w:t>Efetuar o pagamento à CONTRATADA, de acordo com as condições de preços e prazos estabelecidos neste Termo.</w:t>
      </w:r>
    </w:p>
    <w:p>
      <w:pPr>
        <w:pStyle w:val="Normal"/>
        <w:tabs>
          <w:tab w:val="clear" w:pos="720"/>
          <w:tab w:val="left" w:pos="1962" w:leader="none"/>
        </w:tabs>
        <w:spacing w:before="1" w:after="0"/>
        <w:ind w:right="1392" w:hanging="0"/>
        <w:rPr>
          <w:sz w:val="24"/>
          <w:szCs w:val="24"/>
        </w:rPr>
      </w:pPr>
      <w:r>
        <w:rPr>
          <w:sz w:val="24"/>
          <w:szCs w:val="24"/>
        </w:rPr>
      </w:r>
    </w:p>
    <w:p>
      <w:pPr>
        <w:pStyle w:val="Normal"/>
        <w:numPr>
          <w:ilvl w:val="1"/>
          <w:numId w:val="2"/>
        </w:numPr>
        <w:tabs>
          <w:tab w:val="clear" w:pos="720"/>
          <w:tab w:val="left" w:pos="1998" w:leader="none"/>
        </w:tabs>
        <w:ind w:left="1468" w:right="1384" w:hanging="0"/>
        <w:jc w:val="both"/>
        <w:rPr>
          <w:color w:val="000000"/>
          <w:sz w:val="24"/>
          <w:szCs w:val="24"/>
        </w:rPr>
      </w:pPr>
      <w:r>
        <w:rPr>
          <w:color w:val="000000"/>
          <w:sz w:val="24"/>
          <w:szCs w:val="24"/>
        </w:rPr>
        <w:t>Expedir a Ordem de Serviço por qualquer meio de comunicação que possibilite a comprovação do respectivo recebimento por parte da CONTRATADA.</w:t>
      </w:r>
    </w:p>
    <w:p>
      <w:pPr>
        <w:pStyle w:val="Normal"/>
        <w:ind w:left="1468" w:hanging="0"/>
        <w:jc w:val="both"/>
        <w:rPr>
          <w:color w:val="000000"/>
          <w:sz w:val="24"/>
          <w:szCs w:val="24"/>
        </w:rPr>
      </w:pPr>
      <w:r>
        <w:rPr>
          <w:color w:val="000000"/>
          <w:sz w:val="24"/>
          <w:szCs w:val="24"/>
        </w:rPr>
      </w:r>
    </w:p>
    <w:p>
      <w:pPr>
        <w:pStyle w:val="Normal"/>
        <w:numPr>
          <w:ilvl w:val="1"/>
          <w:numId w:val="2"/>
        </w:numPr>
        <w:tabs>
          <w:tab w:val="clear" w:pos="720"/>
          <w:tab w:val="left" w:pos="1998" w:leader="none"/>
        </w:tabs>
        <w:ind w:left="1468" w:right="1384" w:hanging="0"/>
        <w:jc w:val="both"/>
        <w:rPr>
          <w:color w:val="000000"/>
          <w:sz w:val="24"/>
          <w:szCs w:val="24"/>
        </w:rPr>
      </w:pPr>
      <w:r>
        <w:rPr>
          <w:color w:val="000000"/>
          <w:sz w:val="24"/>
          <w:szCs w:val="24"/>
        </w:rPr>
        <w:t>Debitar da fatura correspondente os procedimentos indevidos, impróprios ou rejeitados;</w:t>
      </w:r>
    </w:p>
    <w:p>
      <w:pPr>
        <w:pStyle w:val="Normal"/>
        <w:tabs>
          <w:tab w:val="clear" w:pos="720"/>
          <w:tab w:val="left" w:pos="1998" w:leader="none"/>
        </w:tabs>
        <w:ind w:right="1384" w:hanging="0"/>
        <w:rPr>
          <w:sz w:val="24"/>
          <w:szCs w:val="24"/>
        </w:rPr>
      </w:pPr>
      <w:r>
        <w:rPr>
          <w:sz w:val="24"/>
          <w:szCs w:val="24"/>
        </w:rPr>
      </w:r>
    </w:p>
    <w:p>
      <w:pPr>
        <w:pStyle w:val="Normal"/>
        <w:numPr>
          <w:ilvl w:val="1"/>
          <w:numId w:val="2"/>
        </w:numPr>
        <w:tabs>
          <w:tab w:val="clear" w:pos="720"/>
          <w:tab w:val="left" w:pos="1998" w:leader="none"/>
        </w:tabs>
        <w:ind w:left="1468" w:right="1384" w:hanging="0"/>
        <w:jc w:val="both"/>
        <w:rPr>
          <w:color w:val="000000"/>
          <w:sz w:val="24"/>
          <w:szCs w:val="24"/>
        </w:rPr>
      </w:pPr>
      <w:r>
        <w:rPr>
          <w:color w:val="000000"/>
          <w:sz w:val="24"/>
          <w:szCs w:val="24"/>
        </w:rPr>
        <w:t>Garantir a CONTRATADA o pagamento na próxima fatura caso haja erro ou falta de processamento das contas;</w:t>
      </w:r>
    </w:p>
    <w:p>
      <w:pPr>
        <w:pStyle w:val="Normal"/>
        <w:rPr>
          <w:color w:val="000000"/>
          <w:sz w:val="24"/>
          <w:szCs w:val="24"/>
        </w:rPr>
      </w:pPr>
      <w:r>
        <w:rPr>
          <w:color w:val="000000"/>
          <w:sz w:val="24"/>
          <w:szCs w:val="24"/>
        </w:rPr>
      </w:r>
    </w:p>
    <w:p>
      <w:pPr>
        <w:pStyle w:val="Normal"/>
        <w:numPr>
          <w:ilvl w:val="1"/>
          <w:numId w:val="2"/>
        </w:numPr>
        <w:tabs>
          <w:tab w:val="clear" w:pos="720"/>
          <w:tab w:val="left" w:pos="2122" w:leader="none"/>
        </w:tabs>
        <w:ind w:left="1468" w:right="1384" w:hanging="0"/>
        <w:jc w:val="both"/>
        <w:rPr>
          <w:color w:val="000000"/>
          <w:sz w:val="24"/>
          <w:szCs w:val="24"/>
        </w:rPr>
      </w:pPr>
      <w:r>
        <w:rPr>
          <w:color w:val="000000"/>
          <w:sz w:val="24"/>
          <w:szCs w:val="24"/>
        </w:rPr>
        <w:t>Prestar as informações e os esclarecimentos solicitados pela CONTRATADA para o fiel cumprimento das obrigações.</w:t>
      </w:r>
    </w:p>
    <w:p>
      <w:pPr>
        <w:pStyle w:val="Normal"/>
        <w:rPr>
          <w:color w:val="000000"/>
          <w:sz w:val="24"/>
          <w:szCs w:val="24"/>
        </w:rPr>
      </w:pPr>
      <w:r>
        <w:rPr>
          <w:color w:val="000000"/>
          <w:sz w:val="24"/>
          <w:szCs w:val="24"/>
        </w:rPr>
      </w:r>
    </w:p>
    <w:p>
      <w:pPr>
        <w:pStyle w:val="Normal"/>
        <w:numPr>
          <w:ilvl w:val="1"/>
          <w:numId w:val="2"/>
        </w:numPr>
        <w:tabs>
          <w:tab w:val="clear" w:pos="720"/>
          <w:tab w:val="left" w:pos="1968" w:leader="none"/>
        </w:tabs>
        <w:ind w:left="1468" w:right="1382" w:hanging="0"/>
        <w:jc w:val="both"/>
        <w:rPr>
          <w:color w:val="000000"/>
          <w:sz w:val="24"/>
          <w:szCs w:val="24"/>
        </w:rPr>
      </w:pPr>
      <w:r>
        <w:rPr>
          <w:color w:val="000000"/>
          <w:sz w:val="24"/>
          <w:szCs w:val="24"/>
        </w:rPr>
        <w:t>Notificar a CONTRATADA, caso constate que as características básicas não correspondem às exigências do presente Termo, que providenciará a correção, no prazo determinado pela CONTRATANTE, sem qualquer ônus para o CONTRATANTE, independentemente da aplicação das penalidades cabíveis.</w:t>
      </w:r>
    </w:p>
    <w:p>
      <w:pPr>
        <w:pStyle w:val="Normal"/>
        <w:rPr>
          <w:color w:val="000000"/>
          <w:sz w:val="24"/>
          <w:szCs w:val="24"/>
        </w:rPr>
      </w:pPr>
      <w:r>
        <w:rPr>
          <w:color w:val="000000"/>
          <w:sz w:val="24"/>
          <w:szCs w:val="24"/>
        </w:rPr>
      </w:r>
    </w:p>
    <w:p>
      <w:pPr>
        <w:pStyle w:val="Normal"/>
        <w:numPr>
          <w:ilvl w:val="1"/>
          <w:numId w:val="2"/>
        </w:numPr>
        <w:tabs>
          <w:tab w:val="clear" w:pos="720"/>
          <w:tab w:val="left" w:pos="1960" w:leader="none"/>
        </w:tabs>
        <w:ind w:left="1468" w:right="1406" w:hanging="0"/>
        <w:jc w:val="both"/>
        <w:rPr>
          <w:color w:val="000000"/>
          <w:sz w:val="24"/>
          <w:szCs w:val="24"/>
        </w:rPr>
      </w:pPr>
      <w:r>
        <w:rPr>
          <w:color w:val="000000"/>
          <w:sz w:val="24"/>
          <w:szCs w:val="24"/>
        </w:rPr>
        <w:t>As despesas relativas à utilização de energia elétrica e água ficarão sob responsabilidade da CONTRATANTE.</w:t>
      </w:r>
    </w:p>
    <w:p>
      <w:pPr>
        <w:pStyle w:val="Normal"/>
        <w:ind w:left="1468" w:hanging="0"/>
        <w:jc w:val="both"/>
        <w:rPr>
          <w:color w:val="000000"/>
          <w:sz w:val="24"/>
          <w:szCs w:val="24"/>
        </w:rPr>
      </w:pPr>
      <w:r>
        <w:rPr>
          <w:color w:val="000000"/>
          <w:sz w:val="24"/>
          <w:szCs w:val="24"/>
        </w:rPr>
      </w:r>
    </w:p>
    <w:p>
      <w:pPr>
        <w:pStyle w:val="Normal"/>
        <w:numPr>
          <w:ilvl w:val="1"/>
          <w:numId w:val="2"/>
        </w:numPr>
        <w:tabs>
          <w:tab w:val="clear" w:pos="720"/>
          <w:tab w:val="left" w:pos="1960" w:leader="none"/>
        </w:tabs>
        <w:ind w:left="1468" w:right="1406" w:hanging="0"/>
        <w:jc w:val="both"/>
        <w:rPr>
          <w:color w:val="000000"/>
          <w:sz w:val="24"/>
          <w:szCs w:val="24"/>
        </w:rPr>
      </w:pPr>
      <w:r>
        <w:rPr>
          <w:color w:val="000000"/>
          <w:sz w:val="24"/>
          <w:szCs w:val="24"/>
        </w:rPr>
        <w:t>Aplicar as penalidades por descumprimento do pactuado no Termo de Referência/TR e no Edital;</w:t>
      </w:r>
    </w:p>
    <w:p>
      <w:pPr>
        <w:pStyle w:val="Normal"/>
        <w:ind w:left="1468" w:hanging="0"/>
        <w:jc w:val="both"/>
        <w:rPr>
          <w:color w:val="000000"/>
          <w:sz w:val="24"/>
          <w:szCs w:val="24"/>
        </w:rPr>
      </w:pPr>
      <w:r>
        <w:rPr>
          <w:color w:val="000000"/>
          <w:sz w:val="24"/>
          <w:szCs w:val="24"/>
        </w:rPr>
      </w:r>
    </w:p>
    <w:p>
      <w:pPr>
        <w:pStyle w:val="Normal"/>
        <w:numPr>
          <w:ilvl w:val="1"/>
          <w:numId w:val="2"/>
        </w:numPr>
        <w:tabs>
          <w:tab w:val="clear" w:pos="720"/>
          <w:tab w:val="left" w:pos="1960" w:leader="none"/>
        </w:tabs>
        <w:ind w:left="1468" w:right="1406" w:hanging="0"/>
        <w:jc w:val="both"/>
        <w:rPr>
          <w:color w:val="000000"/>
          <w:sz w:val="24"/>
          <w:szCs w:val="24"/>
        </w:rPr>
      </w:pPr>
      <w:r>
        <w:rPr>
          <w:color w:val="000000"/>
          <w:sz w:val="24"/>
          <w:szCs w:val="24"/>
        </w:rPr>
        <w:t>Impedir a duplicidade de faturamento por meio de procedimentos de controle e avaliação da Secretaria Municipal de Saúde</w:t>
      </w:r>
    </w:p>
    <w:p>
      <w:pPr>
        <w:pStyle w:val="Normal"/>
        <w:ind w:left="1468" w:hanging="0"/>
        <w:jc w:val="both"/>
        <w:rPr>
          <w:color w:val="000000"/>
          <w:sz w:val="24"/>
          <w:szCs w:val="24"/>
        </w:rPr>
      </w:pPr>
      <w:r>
        <w:rPr>
          <w:color w:val="000000"/>
          <w:sz w:val="24"/>
          <w:szCs w:val="24"/>
        </w:rPr>
      </w:r>
    </w:p>
    <w:p>
      <w:pPr>
        <w:pStyle w:val="Normal"/>
        <w:numPr>
          <w:ilvl w:val="1"/>
          <w:numId w:val="2"/>
        </w:numPr>
        <w:tabs>
          <w:tab w:val="clear" w:pos="720"/>
          <w:tab w:val="left" w:pos="1960" w:leader="none"/>
        </w:tabs>
        <w:ind w:left="1468" w:right="1406" w:hanging="0"/>
        <w:jc w:val="both"/>
        <w:rPr>
          <w:color w:val="000000"/>
          <w:sz w:val="24"/>
          <w:szCs w:val="24"/>
        </w:rPr>
      </w:pPr>
      <w:r>
        <w:rPr>
          <w:color w:val="000000"/>
          <w:sz w:val="24"/>
          <w:szCs w:val="24"/>
        </w:rPr>
        <w:t>Enviar a versão atualizada do Guia de Vigilância Epidemiológica do Ministério da Saúde.</w:t>
      </w:r>
    </w:p>
    <w:p>
      <w:pPr>
        <w:pStyle w:val="Normal"/>
        <w:tabs>
          <w:tab w:val="clear" w:pos="720"/>
          <w:tab w:val="left" w:pos="1960" w:leader="none"/>
        </w:tabs>
        <w:ind w:right="1406" w:hanging="0"/>
        <w:jc w:val="both"/>
        <w:rPr>
          <w:sz w:val="24"/>
          <w:szCs w:val="24"/>
        </w:rPr>
      </w:pPr>
      <w:r>
        <w:rPr>
          <w:sz w:val="24"/>
          <w:szCs w:val="24"/>
        </w:rPr>
        <mc:AlternateContent>
          <mc:Choice Requires="wps">
            <w:drawing>
              <wp:anchor behindDoc="0" distT="0" distB="0" distL="0" distR="0" simplePos="0" locked="0" layoutInCell="0" allowOverlap="1" relativeHeight="50">
                <wp:simplePos x="0" y="0"/>
                <wp:positionH relativeFrom="column">
                  <wp:posOffset>863600</wp:posOffset>
                </wp:positionH>
                <wp:positionV relativeFrom="paragraph">
                  <wp:posOffset>139700</wp:posOffset>
                </wp:positionV>
                <wp:extent cx="5428615" cy="398145"/>
                <wp:effectExtent l="0" t="0" r="0" b="0"/>
                <wp:wrapTopAndBottom/>
                <wp:docPr id="15" name="Figura7"/>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10. DO PAGAMENTO:</w:t>
                            </w:r>
                          </w:p>
                        </w:txbxContent>
                      </wps:txbx>
                      <wps:bodyPr lIns="0" rIns="0" tIns="0" bIns="0" anchor="t">
                        <a:noAutofit/>
                      </wps:bodyPr>
                    </wps:wsp>
                  </a:graphicData>
                </a:graphic>
              </wp:anchor>
            </w:drawing>
          </mc:Choice>
          <mc:Fallback>
            <w:pict>
              <v:rect id="shape_0" ID="Figura7" path="m0,0l-2147483645,0l-2147483645,-2147483646l0,-2147483646xe" fillcolor="#f1f1f1" stroked="f" o:allowincell="f" style="position:absolute;margin-left:68pt;margin-top:11pt;width:427.4pt;height:31.3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10. DO PAGAMENTO:</w:t>
                      </w:r>
                    </w:p>
                  </w:txbxContent>
                </v:textbox>
                <w10:wrap type="topAndBottom"/>
              </v:rect>
            </w:pict>
          </mc:Fallback>
        </mc:AlternateContent>
      </w:r>
    </w:p>
    <w:p>
      <w:pPr>
        <w:pStyle w:val="Normal"/>
        <w:numPr>
          <w:ilvl w:val="1"/>
          <w:numId w:val="7"/>
        </w:numPr>
        <w:tabs>
          <w:tab w:val="clear" w:pos="720"/>
          <w:tab w:val="left" w:pos="2137" w:leader="none"/>
        </w:tabs>
        <w:spacing w:before="1" w:after="0"/>
        <w:ind w:left="1468" w:right="1395" w:hanging="0"/>
        <w:jc w:val="both"/>
        <w:rPr>
          <w:color w:val="000000"/>
          <w:sz w:val="24"/>
          <w:szCs w:val="24"/>
        </w:rPr>
      </w:pPr>
      <w:r>
        <w:rPr>
          <w:color w:val="000000"/>
          <w:sz w:val="24"/>
          <w:szCs w:val="24"/>
        </w:rPr>
        <w:t>Os pagamentos dar-se-ão mediante apresentação de nota/fatura em duas vias atestada pelo fiscal de contrato, bem como relatório mensal devidamente preenchido, relativos aos serviços prestados.</w:t>
      </w:r>
    </w:p>
    <w:p>
      <w:pPr>
        <w:pStyle w:val="Normal"/>
        <w:rPr>
          <w:color w:val="000000"/>
          <w:sz w:val="24"/>
          <w:szCs w:val="24"/>
        </w:rPr>
      </w:pPr>
      <w:r>
        <w:rPr>
          <w:color w:val="000000"/>
          <w:sz w:val="24"/>
          <w:szCs w:val="24"/>
        </w:rPr>
      </w:r>
    </w:p>
    <w:p>
      <w:pPr>
        <w:pStyle w:val="Normal"/>
        <w:numPr>
          <w:ilvl w:val="1"/>
          <w:numId w:val="7"/>
        </w:numPr>
        <w:tabs>
          <w:tab w:val="clear" w:pos="720"/>
          <w:tab w:val="left" w:pos="2087" w:leader="none"/>
        </w:tabs>
        <w:ind w:left="1468" w:right="1397" w:hanging="0"/>
        <w:jc w:val="both"/>
        <w:rPr>
          <w:color w:val="000000"/>
          <w:sz w:val="24"/>
          <w:szCs w:val="24"/>
        </w:rPr>
      </w:pPr>
      <w:r>
        <w:rPr>
          <w:color w:val="000000"/>
          <w:sz w:val="24"/>
          <w:szCs w:val="24"/>
        </w:rPr>
        <w:t>A nota fiscal será emitida após a conferência das planilhas fornecidas mensalmente. Esta conferência poderá ser realizada entre o 1º (primeiro) ao 3º (terceiro) dia útil do mês posterior pelo fiscal do contrato.</w:t>
      </w:r>
    </w:p>
    <w:p>
      <w:pPr>
        <w:pStyle w:val="Normal"/>
        <w:rPr>
          <w:color w:val="000000"/>
          <w:sz w:val="24"/>
          <w:szCs w:val="24"/>
        </w:rPr>
      </w:pPr>
      <w:r>
        <w:rPr>
          <w:color w:val="000000"/>
          <w:sz w:val="24"/>
          <w:szCs w:val="24"/>
        </w:rPr>
      </w:r>
    </w:p>
    <w:p>
      <w:pPr>
        <w:pStyle w:val="Normal"/>
        <w:numPr>
          <w:ilvl w:val="1"/>
          <w:numId w:val="7"/>
        </w:numPr>
        <w:tabs>
          <w:tab w:val="clear" w:pos="720"/>
          <w:tab w:val="left" w:pos="2117" w:leader="none"/>
        </w:tabs>
        <w:ind w:left="1468" w:right="1396" w:hanging="0"/>
        <w:jc w:val="both"/>
        <w:rPr>
          <w:color w:val="000000"/>
          <w:sz w:val="24"/>
          <w:szCs w:val="24"/>
        </w:rPr>
      </w:pPr>
      <w:r>
        <w:rPr>
          <w:color w:val="000000"/>
          <w:sz w:val="24"/>
          <w:szCs w:val="24"/>
        </w:rPr>
        <w:t>Nenhum pagamento será efetuado à CONTRATADA enquanto estiver pendente de liquidação, por obrigação financeira imposta à mesma em virtude de inadimplência contratual.</w:t>
      </w:r>
    </w:p>
    <w:p>
      <w:pPr>
        <w:pStyle w:val="Normal"/>
        <w:rPr>
          <w:color w:val="000000"/>
          <w:sz w:val="24"/>
          <w:szCs w:val="24"/>
        </w:rPr>
      </w:pPr>
      <w:r>
        <w:rPr>
          <w:color w:val="000000"/>
          <w:sz w:val="24"/>
          <w:szCs w:val="24"/>
        </w:rPr>
      </w:r>
    </w:p>
    <w:p>
      <w:pPr>
        <w:pStyle w:val="Normal"/>
        <w:numPr>
          <w:ilvl w:val="1"/>
          <w:numId w:val="7"/>
        </w:numPr>
        <w:tabs>
          <w:tab w:val="clear" w:pos="720"/>
          <w:tab w:val="left" w:pos="2091" w:leader="none"/>
        </w:tabs>
        <w:ind w:left="1468" w:right="1397" w:hanging="0"/>
        <w:jc w:val="both"/>
        <w:rPr>
          <w:color w:val="000000"/>
          <w:sz w:val="24"/>
          <w:szCs w:val="24"/>
        </w:rPr>
      </w:pPr>
      <w:r>
        <w:rPr>
          <w:color w:val="000000"/>
          <w:sz w:val="24"/>
          <w:szCs w:val="24"/>
        </w:rPr>
        <w:t>Havendo devolução de nota fiscal/fatura pela CONTRATANTE devido a incorreção, o prazo constante contará a partir da data de reapresentação da nota fiscal/fatura.</w:t>
      </w:r>
    </w:p>
    <w:p>
      <w:pPr>
        <w:pStyle w:val="Normal"/>
        <w:rPr>
          <w:color w:val="000000"/>
          <w:sz w:val="24"/>
          <w:szCs w:val="24"/>
        </w:rPr>
      </w:pPr>
      <w:r>
        <w:rPr>
          <w:color w:val="000000"/>
          <w:sz w:val="24"/>
          <w:szCs w:val="24"/>
        </w:rPr>
      </w:r>
    </w:p>
    <w:p>
      <w:pPr>
        <w:pStyle w:val="Normal"/>
        <w:numPr>
          <w:ilvl w:val="1"/>
          <w:numId w:val="7"/>
        </w:numPr>
        <w:tabs>
          <w:tab w:val="clear" w:pos="720"/>
          <w:tab w:val="left" w:pos="2071" w:leader="none"/>
        </w:tabs>
        <w:ind w:left="1468" w:right="1406" w:hanging="0"/>
        <w:jc w:val="both"/>
        <w:rPr>
          <w:color w:val="000000"/>
          <w:sz w:val="24"/>
          <w:szCs w:val="24"/>
        </w:rPr>
      </w:pPr>
      <w:r>
        <w:rPr>
          <w:color w:val="000000"/>
          <w:sz w:val="24"/>
          <w:szCs w:val="24"/>
        </w:rPr>
        <w:t>Será feita a retenção, calculada sobre o valor a ser pago, de impostos ou taxas, de acordo com a legislação vigente no momento da liquidação.</w:t>
      </w:r>
    </w:p>
    <w:p>
      <w:pPr>
        <w:pStyle w:val="Normal"/>
        <w:rPr>
          <w:color w:val="000000"/>
          <w:sz w:val="24"/>
          <w:szCs w:val="24"/>
        </w:rPr>
      </w:pPr>
      <w:r>
        <w:rPr>
          <w:color w:val="000000"/>
          <w:sz w:val="24"/>
          <w:szCs w:val="24"/>
        </w:rPr>
      </w:r>
    </w:p>
    <w:p>
      <w:pPr>
        <w:pStyle w:val="Normal"/>
        <w:numPr>
          <w:ilvl w:val="1"/>
          <w:numId w:val="7"/>
        </w:numPr>
        <w:tabs>
          <w:tab w:val="clear" w:pos="720"/>
          <w:tab w:val="left" w:pos="2077" w:leader="none"/>
        </w:tabs>
        <w:ind w:left="1468" w:right="1399" w:hanging="0"/>
        <w:jc w:val="both"/>
        <w:rPr>
          <w:color w:val="000000"/>
          <w:sz w:val="24"/>
          <w:szCs w:val="24"/>
        </w:rPr>
      </w:pPr>
      <w:r>
        <w:rPr>
          <w:color w:val="000000"/>
          <w:sz w:val="24"/>
          <w:szCs w:val="24"/>
        </w:rPr>
        <w:t>Os pagamentos estão condicionados à verificação de regularidade fiscal, bem como outras, que se fizerem necessárias, tendo em vista a legislação.</w:t>
      </w:r>
    </w:p>
    <w:p>
      <w:pPr>
        <w:pStyle w:val="Normal"/>
        <w:jc w:val="both"/>
        <w:rPr>
          <w:sz w:val="24"/>
          <w:szCs w:val="24"/>
        </w:rPr>
      </w:pPr>
      <w:r>
        <w:rPr>
          <w:sz w:val="24"/>
          <w:szCs w:val="24"/>
        </w:rPr>
      </w:r>
    </w:p>
    <w:p>
      <w:pPr>
        <w:pStyle w:val="Normal"/>
        <w:numPr>
          <w:ilvl w:val="2"/>
          <w:numId w:val="7"/>
        </w:numPr>
        <w:tabs>
          <w:tab w:val="clear" w:pos="720"/>
          <w:tab w:val="left" w:pos="2282" w:leader="none"/>
        </w:tabs>
        <w:spacing w:before="223" w:after="0"/>
        <w:ind w:left="1468" w:right="1397" w:hanging="0"/>
        <w:jc w:val="both"/>
        <w:rPr>
          <w:color w:val="000000"/>
          <w:sz w:val="24"/>
          <w:szCs w:val="24"/>
        </w:rPr>
      </w:pPr>
      <w:r>
        <w:rPr>
          <w:color w:val="000000"/>
          <w:sz w:val="24"/>
          <w:szCs w:val="24"/>
        </w:rPr>
        <w:t xml:space="preserve">Para fins de conferência do quantitativo de </w:t>
      </w:r>
      <w:r>
        <w:rPr>
          <w:sz w:val="24"/>
          <w:szCs w:val="24"/>
        </w:rPr>
        <w:t>exames realizados</w:t>
      </w:r>
      <w:r>
        <w:rPr>
          <w:color w:val="000000"/>
          <w:sz w:val="24"/>
          <w:szCs w:val="24"/>
        </w:rPr>
        <w:t>, serão utilizados formulários com discriminação d</w:t>
      </w:r>
      <w:r>
        <w:rPr>
          <w:sz w:val="24"/>
          <w:szCs w:val="24"/>
        </w:rPr>
        <w:t>os exames</w:t>
      </w:r>
      <w:r>
        <w:rPr>
          <w:color w:val="000000"/>
          <w:sz w:val="24"/>
          <w:szCs w:val="24"/>
        </w:rPr>
        <w:t xml:space="preserve"> ofertad</w:t>
      </w:r>
      <w:r>
        <w:rPr>
          <w:sz w:val="24"/>
          <w:szCs w:val="24"/>
        </w:rPr>
        <w:t>o</w:t>
      </w:r>
      <w:r>
        <mc:AlternateContent>
          <mc:Choice Requires="wps">
            <w:drawing>
              <wp:anchor behindDoc="0" distT="6350" distB="6350" distL="5715" distR="6350" simplePos="0" locked="0" layoutInCell="0" allowOverlap="1" relativeHeight="48">
                <wp:simplePos x="0" y="0"/>
                <wp:positionH relativeFrom="column">
                  <wp:posOffset>863600</wp:posOffset>
                </wp:positionH>
                <wp:positionV relativeFrom="paragraph">
                  <wp:posOffset>939800</wp:posOffset>
                </wp:positionV>
                <wp:extent cx="5428615" cy="290830"/>
                <wp:effectExtent l="635" t="0" r="0" b="0"/>
                <wp:wrapTopAndBottom/>
                <wp:docPr id="17" name="Figura8"/>
                <a:graphic xmlns:a="http://schemas.openxmlformats.org/drawingml/2006/main">
                  <a:graphicData uri="http://schemas.microsoft.com/office/word/2010/wordprocessingShape">
                    <wps:wsp>
                      <wps:cNvSpPr/>
                      <wps:spPr>
                        <a:xfrm>
                          <a:off x="0" y="0"/>
                          <a:ext cx="5428440" cy="29088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11. DA FISCALIZAÇÃO</w:t>
                            </w:r>
                          </w:p>
                        </w:txbxContent>
                      </wps:txbx>
                      <wps:bodyPr lIns="0" rIns="0" tIns="0" bIns="0" anchor="t">
                        <a:noAutofit/>
                      </wps:bodyPr>
                    </wps:wsp>
                  </a:graphicData>
                </a:graphic>
              </wp:anchor>
            </w:drawing>
          </mc:Choice>
          <mc:Fallback>
            <w:pict>
              <v:rect id="shape_0" ID="Figura8" path="m0,0l-2147483645,0l-2147483645,-2147483646l0,-2147483646xe" fillcolor="#f1f1f1" stroked="f" o:allowincell="f" style="position:absolute;margin-left:68pt;margin-top:74pt;width:427.4pt;height:22.85pt;mso-wrap-style:square;v-text-anchor: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11. DA FISCALIZAÇÃO</w:t>
                      </w:r>
                    </w:p>
                  </w:txbxContent>
                </v:textbox>
                <w10:wrap type="topAndBottom"/>
              </v:rect>
            </w:pict>
          </mc:Fallback>
        </mc:AlternateContent>
      </w:r>
      <w:r>
        <w:rPr>
          <w:color w:val="000000"/>
          <w:sz w:val="24"/>
          <w:szCs w:val="24"/>
        </w:rPr>
        <w:t>s a serem preenchidos pelo contratante e contratada, que deverão ser devidamente consolidados e conferidos junto à fiscalização.</w:t>
      </w:r>
    </w:p>
    <w:p>
      <w:pPr>
        <w:pStyle w:val="Normal"/>
        <w:numPr>
          <w:ilvl w:val="1"/>
          <w:numId w:val="3"/>
        </w:numPr>
        <w:tabs>
          <w:tab w:val="clear" w:pos="720"/>
          <w:tab w:val="left" w:pos="2093" w:leader="none"/>
        </w:tabs>
        <w:spacing w:before="1" w:after="0"/>
        <w:ind w:left="1468" w:right="1385" w:hanging="0"/>
        <w:jc w:val="both"/>
        <w:rPr>
          <w:sz w:val="24"/>
          <w:szCs w:val="24"/>
        </w:rPr>
      </w:pPr>
      <w:r>
        <w:rPr>
          <w:sz w:val="24"/>
          <w:szCs w:val="24"/>
        </w:rPr>
        <w:t>O acompanhamento e a fiscalização do contrato, será realizado por fiscais nomeados por designação do secretário publicada em BO, que determinará o que for necessário para regularização de faltas ou defeitos, e, sua falta ou impedimento, pelo seu substituto.</w:t>
      </w:r>
    </w:p>
    <w:p>
      <w:pPr>
        <w:pStyle w:val="Normal"/>
        <w:numPr>
          <w:ilvl w:val="0"/>
          <w:numId w:val="0"/>
        </w:numPr>
        <w:tabs>
          <w:tab w:val="clear" w:pos="720"/>
          <w:tab w:val="left" w:pos="2093" w:leader="none"/>
        </w:tabs>
        <w:spacing w:before="1" w:after="0"/>
        <w:ind w:left="1468" w:right="1385" w:hanging="0"/>
        <w:jc w:val="both"/>
        <w:rPr>
          <w:sz w:val="24"/>
          <w:szCs w:val="24"/>
        </w:rPr>
      </w:pPr>
      <w:r>
        <w:rPr/>
      </w:r>
    </w:p>
    <w:p>
      <w:pPr>
        <w:pStyle w:val="Normal"/>
        <w:tabs>
          <w:tab w:val="clear" w:pos="720"/>
          <w:tab w:val="left" w:pos="2093" w:leader="none"/>
        </w:tabs>
        <w:ind w:left="1466" w:hanging="0"/>
        <w:rPr/>
      </w:pPr>
      <w:r>
        <w:rPr/>
        <mc:AlternateContent>
          <mc:Choice Requires="wps">
            <w:drawing>
              <wp:inline distT="0" distB="0" distL="0" distR="0">
                <wp:extent cx="5428615" cy="398145"/>
                <wp:effectExtent l="0" t="0" r="0" b="0"/>
                <wp:docPr id="19" name="Forma10"/>
                <a:graphic xmlns:a="http://schemas.openxmlformats.org/drawingml/2006/main">
                  <a:graphicData uri="http://schemas.microsoft.com/office/word/2010/wordprocessingShape">
                    <wps:wsp>
                      <wps:cNvSpPr/>
                      <wps:spPr>
                        <a:xfrm>
                          <a:off x="0" y="0"/>
                          <a:ext cx="5428440" cy="39816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12. DAS PENALIDADES E DA RESCISÃO CONTRATUAL.</w:t>
                            </w:r>
                          </w:p>
                        </w:txbxContent>
                      </wps:txbx>
                      <wps:bodyPr lIns="0" rIns="0" tIns="0" bIns="0" anchor="t">
                        <a:noAutofit/>
                      </wps:bodyPr>
                    </wps:wsp>
                  </a:graphicData>
                </a:graphic>
              </wp:inline>
            </w:drawing>
          </mc:Choice>
          <mc:Fallback>
            <w:pict>
              <v:rect id="shape_0" ID="Forma10" path="m0,0l-2147483645,0l-2147483645,-2147483646l0,-2147483646xe" fillcolor="#f1f1f1" stroked="f" o:allowincell="f" style="position:absolute;margin-left:0pt;margin-top:-31.4pt;width:427.4pt;height:31.3pt;mso-wrap-style:square;v-text-anchor:top;mso-position-vertical: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12. DAS PENALIDADES E DA RESCISÃO CONTRATUAL.</w:t>
                      </w:r>
                    </w:p>
                  </w:txbxContent>
                </v:textbox>
                <w10:wrap type="square"/>
              </v:rect>
            </w:pict>
          </mc:Fallback>
        </mc:AlternateContent>
      </w:r>
    </w:p>
    <w:p>
      <w:pPr>
        <w:pStyle w:val="Normal"/>
        <w:tabs>
          <w:tab w:val="clear" w:pos="720"/>
          <w:tab w:val="left" w:pos="2093" w:leader="none"/>
        </w:tabs>
        <w:ind w:left="1466" w:right="1352" w:hanging="0"/>
        <w:jc w:val="both"/>
        <w:rPr/>
      </w:pPr>
      <w:r>
        <w:rPr>
          <w:sz w:val="24"/>
          <w:szCs w:val="24"/>
        </w:rPr>
        <w:t>A inobservância de qualquer das cláusulas deste instrumento e seus anexos, bem como de norma legal, autoriza a CONTRATANTE, assegurando o direito à defesa prévia, a aplicar as sanções previstas na legislação vigente.</w:t>
      </w:r>
    </w:p>
    <w:p>
      <w:pPr>
        <w:pStyle w:val="Normal"/>
        <w:rPr>
          <w:sz w:val="24"/>
          <w:szCs w:val="24"/>
        </w:rPr>
      </w:pPr>
      <w:r>
        <w:rPr>
          <w:sz w:val="24"/>
          <w:szCs w:val="24"/>
        </w:rPr>
      </w:r>
    </w:p>
    <w:p>
      <w:pPr>
        <w:pStyle w:val="Normal"/>
        <w:tabs>
          <w:tab w:val="clear" w:pos="720"/>
          <w:tab w:val="left" w:pos="2071" w:leader="none"/>
        </w:tabs>
        <w:ind w:left="1468" w:right="1400" w:hanging="0"/>
        <w:jc w:val="both"/>
        <w:rPr/>
      </w:pPr>
      <w:r>
        <w:rPr>
          <w:sz w:val="24"/>
          <w:szCs w:val="24"/>
        </w:rPr>
        <w:t>O contrato poderá ser rescindido a qualquer tempo pela CONTRATANTE mediante comunicação prévia de 30 (trinta) dias.</w:t>
      </w:r>
    </w:p>
    <w:p>
      <w:pPr>
        <w:pStyle w:val="Normal"/>
        <w:rPr>
          <w:sz w:val="24"/>
          <w:szCs w:val="24"/>
        </w:rPr>
      </w:pPr>
      <w:r>
        <w:rPr>
          <w:sz w:val="24"/>
          <w:szCs w:val="24"/>
        </w:rPr>
      </w:r>
    </w:p>
    <w:p>
      <w:pPr>
        <w:pStyle w:val="Normal"/>
        <w:tabs>
          <w:tab w:val="clear" w:pos="720"/>
          <w:tab w:val="left" w:pos="2099" w:leader="none"/>
        </w:tabs>
        <w:ind w:left="1468" w:right="1398" w:hanging="0"/>
        <w:jc w:val="both"/>
        <w:rPr>
          <w:sz w:val="24"/>
          <w:szCs w:val="24"/>
        </w:rPr>
      </w:pPr>
      <w:r>
        <w:rPr>
          <w:sz w:val="24"/>
          <w:szCs w:val="24"/>
        </w:rPr>
        <w:t>O contrato poderá ser rescindido por mútuo acordo, a qualquer tempo, mediante prévia comunicação por escrito e com antecedência mínima de 30 (trinta) dias, independentemente do pagamento de multa ou indenização à outra.</w:t>
      </w:r>
    </w:p>
    <w:p>
      <w:pPr>
        <w:pStyle w:val="Normal"/>
        <w:tabs>
          <w:tab w:val="clear" w:pos="720"/>
          <w:tab w:val="left" w:pos="2099" w:leader="none"/>
        </w:tabs>
        <w:ind w:left="1468" w:right="1398" w:hanging="0"/>
        <w:jc w:val="both"/>
        <w:rPr>
          <w:sz w:val="24"/>
          <w:szCs w:val="24"/>
        </w:rPr>
      </w:pPr>
      <w:r>
        <w:rPr>
          <w:sz w:val="24"/>
          <w:szCs w:val="24"/>
        </w:rPr>
      </w:r>
    </w:p>
    <w:p>
      <w:pPr>
        <w:pStyle w:val="Normal"/>
        <w:tabs>
          <w:tab w:val="clear" w:pos="720"/>
          <w:tab w:val="left" w:pos="2099" w:leader="none"/>
        </w:tabs>
        <w:ind w:left="1468" w:right="1398" w:hanging="0"/>
        <w:jc w:val="both"/>
        <w:rPr>
          <w:sz w:val="20"/>
          <w:szCs w:val="20"/>
        </w:rPr>
      </w:pPr>
      <w:r>
        <w:rPr/>
        <mc:AlternateContent>
          <mc:Choice Requires="wps">
            <w:drawing>
              <wp:inline distT="0" distB="0" distL="0" distR="0">
                <wp:extent cx="5428615" cy="373380"/>
                <wp:effectExtent l="0" t="0" r="0" b="0"/>
                <wp:docPr id="21" name="Forma11"/>
                <a:graphic xmlns:a="http://schemas.openxmlformats.org/drawingml/2006/main">
                  <a:graphicData uri="http://schemas.microsoft.com/office/word/2010/wordprocessingShape">
                    <wps:wsp>
                      <wps:cNvSpPr/>
                      <wps:spPr>
                        <a:xfrm>
                          <a:off x="0" y="0"/>
                          <a:ext cx="5428440" cy="373320"/>
                        </a:xfrm>
                        <a:prstGeom prst="rect">
                          <a:avLst/>
                        </a:prstGeom>
                        <a:solidFill>
                          <a:srgbClr val="f1f1f1"/>
                        </a:solidFill>
                        <a:ln w="0">
                          <a:noFill/>
                        </a:ln>
                      </wps:spPr>
                      <wps:style>
                        <a:lnRef idx="0"/>
                        <a:fillRef idx="0"/>
                        <a:effectRef idx="0"/>
                        <a:fontRef idx="minor"/>
                      </wps:style>
                      <wps:txb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 xml:space="preserve">13. </w:t>
                            </w:r>
                            <w:r>
                              <w:rPr>
                                <w:rFonts w:eastAsia="Arial" w:cs="Arial" w:ascii="Arial" w:hAnsi="Arial"/>
                                <w:b/>
                                <w:i w:val="false"/>
                                <w:caps w:val="false"/>
                                <w:smallCaps w:val="false"/>
                                <w:strike w:val="false"/>
                                <w:dstrike w:val="false"/>
                                <w:color w:val="000000"/>
                                <w:position w:val="0"/>
                                <w:sz w:val="24"/>
                                <w:sz w:val="24"/>
                                <w:vertAlign w:val="baseline"/>
                              </w:rPr>
                              <w:t>DAS DISPOSIÇÕES GERAIS</w:t>
                            </w:r>
                          </w:p>
                        </w:txbxContent>
                      </wps:txbx>
                      <wps:bodyPr lIns="0" rIns="0" tIns="0" bIns="0" anchor="t">
                        <a:noAutofit/>
                      </wps:bodyPr>
                    </wps:wsp>
                  </a:graphicData>
                </a:graphic>
              </wp:inline>
            </w:drawing>
          </mc:Choice>
          <mc:Fallback>
            <w:pict>
              <v:rect id="shape_0" ID="Forma11" path="m0,0l-2147483645,0l-2147483645,-2147483646l0,-2147483646xe" fillcolor="#f1f1f1" stroked="f" o:allowincell="f" style="position:absolute;margin-left:0pt;margin-top:-29.45pt;width:427.4pt;height:29.35pt;mso-wrap-style:square;v-text-anchor:top;mso-position-vertical:top">
                <v:fill o:detectmouseclick="t" type="solid" color2="#0e0e0e"/>
                <v:stroke color="#3465a4" joinstyle="round" endcap="flat"/>
                <v:textbox>
                  <w:txbxContent>
                    <w:p>
                      <w:pPr>
                        <w:pStyle w:val="Contedodoquadro"/>
                        <w:spacing w:lineRule="auto" w:line="240" w:before="1" w:after="0"/>
                        <w:ind w:left="2" w:right="0" w:firstLine="10"/>
                        <w:jc w:val="left"/>
                        <w:rPr/>
                      </w:pPr>
                      <w:r>
                        <w:rPr>
                          <w:rFonts w:eastAsia="Arial" w:cs="Arial" w:ascii="Arial" w:hAnsi="Arial"/>
                          <w:b/>
                          <w:i w:val="false"/>
                          <w:caps w:val="false"/>
                          <w:smallCaps w:val="false"/>
                          <w:strike w:val="false"/>
                          <w:dstrike w:val="false"/>
                          <w:color w:val="000000"/>
                          <w:position w:val="0"/>
                          <w:sz w:val="24"/>
                          <w:sz w:val="24"/>
                          <w:vertAlign w:val="baseline"/>
                        </w:rPr>
                        <w:t xml:space="preserve">13. </w:t>
                      </w:r>
                      <w:r>
                        <w:rPr>
                          <w:rFonts w:eastAsia="Arial" w:cs="Arial" w:ascii="Arial" w:hAnsi="Arial"/>
                          <w:b/>
                          <w:i w:val="false"/>
                          <w:caps w:val="false"/>
                          <w:smallCaps w:val="false"/>
                          <w:strike w:val="false"/>
                          <w:dstrike w:val="false"/>
                          <w:color w:val="000000"/>
                          <w:position w:val="0"/>
                          <w:sz w:val="24"/>
                          <w:sz w:val="24"/>
                          <w:vertAlign w:val="baseline"/>
                        </w:rPr>
                        <w:t>DAS DISPOSIÇÕES GERAIS</w:t>
                      </w:r>
                    </w:p>
                  </w:txbxContent>
                </v:textbox>
                <w10:wrap type="square"/>
              </v:rect>
            </w:pict>
          </mc:Fallback>
        </mc:AlternateContent>
      </w:r>
    </w:p>
    <w:p>
      <w:pPr>
        <w:pStyle w:val="Normal"/>
        <w:tabs>
          <w:tab w:val="clear" w:pos="720"/>
          <w:tab w:val="left" w:pos="2151" w:leader="none"/>
        </w:tabs>
        <w:spacing w:before="275" w:after="0"/>
        <w:ind w:left="1417" w:right="1397" w:hanging="0"/>
        <w:jc w:val="both"/>
        <w:rPr>
          <w:color w:val="000000"/>
          <w:sz w:val="24"/>
          <w:szCs w:val="24"/>
        </w:rPr>
      </w:pPr>
      <w:r>
        <w:rPr>
          <w:sz w:val="24"/>
          <w:szCs w:val="24"/>
        </w:rPr>
        <w:t>1</w:t>
      </w:r>
      <w:r>
        <w:rPr>
          <w:sz w:val="24"/>
          <w:szCs w:val="24"/>
        </w:rPr>
        <w:t>3</w:t>
      </w:r>
      <w:r>
        <w:rPr>
          <w:sz w:val="24"/>
          <w:szCs w:val="24"/>
        </w:rPr>
        <w:t xml:space="preserve">.1 </w:t>
      </w:r>
      <w:r>
        <w:rPr>
          <w:color w:val="000000"/>
          <w:sz w:val="24"/>
          <w:szCs w:val="24"/>
        </w:rPr>
        <w:t xml:space="preserve">Não poderão participar, direta ou indiretamente, da licitação ou do </w:t>
        <w:tab/>
        <w:t>serviço, os interessados:</w:t>
      </w:r>
    </w:p>
    <w:p>
      <w:pPr>
        <w:pStyle w:val="Normal"/>
        <w:widowControl w:val="false"/>
        <w:numPr>
          <w:ilvl w:val="0"/>
          <w:numId w:val="8"/>
        </w:numPr>
        <w:tabs>
          <w:tab w:val="clear" w:pos="720"/>
          <w:tab w:val="left" w:pos="2336" w:leader="none"/>
        </w:tabs>
        <w:suppressAutoHyphens w:val="true"/>
        <w:bidi w:val="0"/>
        <w:spacing w:before="276" w:after="0"/>
        <w:ind w:left="2211" w:right="1304" w:hanging="340"/>
        <w:jc w:val="both"/>
        <w:rPr/>
      </w:pPr>
      <w:r>
        <w:rPr>
          <w:color w:val="000000"/>
          <w:sz w:val="24"/>
          <w:szCs w:val="24"/>
        </w:rPr>
        <w:t xml:space="preserve">Cuja falência tenha sido decretada em concurso de credores, em dissolução, em processo de liquidação e em consórcios ou associações de </w:t>
      </w:r>
      <w:r>
        <w:rPr>
          <w:sz w:val="24"/>
          <w:szCs w:val="24"/>
        </w:rPr>
        <w:t>empresas, qualquer que seja sua forma de constituição.</w:t>
      </w:r>
    </w:p>
    <w:p>
      <w:pPr>
        <w:pStyle w:val="Normal"/>
        <w:widowControl w:val="false"/>
        <w:numPr>
          <w:ilvl w:val="0"/>
          <w:numId w:val="8"/>
        </w:numPr>
        <w:tabs>
          <w:tab w:val="clear" w:pos="720"/>
          <w:tab w:val="left" w:pos="2290" w:leader="none"/>
        </w:tabs>
        <w:suppressAutoHyphens w:val="true"/>
        <w:bidi w:val="0"/>
        <w:spacing w:before="276" w:after="0"/>
        <w:ind w:left="2211" w:right="1361" w:hanging="340"/>
        <w:jc w:val="both"/>
        <w:rPr/>
      </w:pPr>
      <w:r>
        <w:rPr>
          <w:sz w:val="24"/>
          <w:szCs w:val="24"/>
        </w:rPr>
        <w:t>Suspensos temporariamente de participação em licitação e impedidos de contratar com a Administração, nos termos da legislação vigente</w:t>
      </w:r>
      <w:r>
        <w:rPr/>
        <w:t>.</w:t>
      </w:r>
    </w:p>
    <w:p>
      <w:pPr>
        <w:pStyle w:val="Normal"/>
        <w:numPr>
          <w:ilvl w:val="0"/>
          <w:numId w:val="8"/>
        </w:numPr>
        <w:tabs>
          <w:tab w:val="clear" w:pos="720"/>
          <w:tab w:val="left" w:pos="2336" w:leader="none"/>
        </w:tabs>
        <w:rPr>
          <w:sz w:val="24"/>
          <w:szCs w:val="24"/>
        </w:rPr>
      </w:pPr>
      <w:r>
        <w:rPr>
          <w:sz w:val="24"/>
          <w:szCs w:val="24"/>
        </w:rPr>
      </w:r>
    </w:p>
    <w:p>
      <w:pPr>
        <w:pStyle w:val="Normal"/>
        <w:widowControl w:val="false"/>
        <w:numPr>
          <w:ilvl w:val="0"/>
          <w:numId w:val="8"/>
        </w:numPr>
        <w:tabs>
          <w:tab w:val="clear" w:pos="720"/>
          <w:tab w:val="left" w:pos="2294" w:leader="none"/>
        </w:tabs>
        <w:suppressAutoHyphens w:val="true"/>
        <w:bidi w:val="0"/>
        <w:spacing w:before="0" w:after="0"/>
        <w:ind w:left="2211" w:right="1191" w:hanging="340"/>
        <w:jc w:val="both"/>
        <w:rPr/>
      </w:pPr>
      <w:r>
        <w:rPr>
          <w:sz w:val="24"/>
          <w:szCs w:val="24"/>
        </w:rPr>
        <w:t>Declarados inidôneos para licitar ou contratar com qualquer órgão da Administração Pública, direta ou indireta, Federal, Estadual ou Municipal, cujo estatuto ou contrato social não inclua o objeto deste procedimento licitatório.</w:t>
      </w:r>
    </w:p>
    <w:p>
      <w:pPr>
        <w:pStyle w:val="Normal"/>
        <w:numPr>
          <w:ilvl w:val="0"/>
          <w:numId w:val="8"/>
        </w:numPr>
        <w:tabs>
          <w:tab w:val="clear" w:pos="720"/>
          <w:tab w:val="left" w:pos="2336" w:leader="none"/>
        </w:tabs>
        <w:rPr>
          <w:sz w:val="24"/>
          <w:szCs w:val="24"/>
        </w:rPr>
      </w:pPr>
      <w:r>
        <w:rPr>
          <w:sz w:val="24"/>
          <w:szCs w:val="24"/>
        </w:rPr>
      </w:r>
    </w:p>
    <w:p>
      <w:pPr>
        <w:pStyle w:val="Normal"/>
        <w:widowControl w:val="false"/>
        <w:numPr>
          <w:ilvl w:val="0"/>
          <w:numId w:val="8"/>
        </w:numPr>
        <w:tabs>
          <w:tab w:val="clear" w:pos="720"/>
          <w:tab w:val="left" w:pos="2454" w:leader="none"/>
        </w:tabs>
        <w:suppressAutoHyphens w:val="true"/>
        <w:bidi w:val="0"/>
        <w:spacing w:before="0" w:after="0"/>
        <w:ind w:left="2211" w:right="1134" w:hanging="340"/>
        <w:jc w:val="both"/>
        <w:rPr/>
      </w:pPr>
      <w:r>
        <w:rPr>
          <w:sz w:val="24"/>
          <w:szCs w:val="24"/>
        </w:rPr>
        <w:t>Constituídos sob a forma de cooperativas que configurem intermediação de mão de obra subordinada (Lei Federal nº 12.690/2012, art. 5º; súmula 281 do TCU; Instrução Normativa nº 02/008 do MPOG, art. 4º, incisos I, II).</w:t>
      </w:r>
    </w:p>
    <w:p>
      <w:pPr>
        <w:pStyle w:val="Normal"/>
        <w:tabs>
          <w:tab w:val="clear" w:pos="720"/>
          <w:tab w:val="left" w:pos="2336" w:leader="none"/>
        </w:tabs>
        <w:rPr>
          <w:sz w:val="24"/>
          <w:szCs w:val="24"/>
        </w:rPr>
      </w:pPr>
      <w:r>
        <w:rPr>
          <w:sz w:val="24"/>
          <w:szCs w:val="24"/>
        </w:rPr>
      </w:r>
    </w:p>
    <w:p>
      <w:pPr>
        <w:pStyle w:val="Normal"/>
        <w:tabs>
          <w:tab w:val="clear" w:pos="720"/>
          <w:tab w:val="left" w:pos="2336" w:leader="none"/>
        </w:tabs>
        <w:rPr>
          <w:sz w:val="24"/>
          <w:szCs w:val="24"/>
        </w:rPr>
      </w:pPr>
      <w:r>
        <w:rPr>
          <w:sz w:val="24"/>
          <w:szCs w:val="24"/>
        </w:rPr>
      </w:r>
    </w:p>
    <w:p>
      <w:pPr>
        <w:pStyle w:val="Normal"/>
        <w:tabs>
          <w:tab w:val="clear" w:pos="720"/>
          <w:tab w:val="left" w:pos="2336" w:leader="none"/>
        </w:tabs>
        <w:ind w:left="134" w:right="52" w:hanging="0"/>
        <w:jc w:val="center"/>
        <w:rPr>
          <w:sz w:val="24"/>
          <w:szCs w:val="24"/>
        </w:rPr>
      </w:pPr>
      <w:r>
        <w:rPr>
          <w:sz w:val="24"/>
          <w:szCs w:val="24"/>
        </w:rPr>
        <w:t>Angra dos Reis, 06 de fevereiro de 2024.</w:t>
      </w:r>
    </w:p>
    <w:p>
      <w:pPr>
        <w:pStyle w:val="Normal"/>
        <w:tabs>
          <w:tab w:val="clear" w:pos="720"/>
          <w:tab w:val="left" w:pos="2336" w:leader="none"/>
        </w:tabs>
        <w:rPr>
          <w:sz w:val="20"/>
          <w:szCs w:val="20"/>
        </w:rPr>
      </w:pPr>
      <w:r>
        <w:rPr>
          <w:sz w:val="20"/>
          <w:szCs w:val="20"/>
        </w:rPr>
      </w:r>
    </w:p>
    <w:p>
      <w:pPr>
        <w:pStyle w:val="Normal"/>
        <w:tabs>
          <w:tab w:val="clear" w:pos="720"/>
          <w:tab w:val="left" w:pos="2336" w:leader="none"/>
        </w:tabs>
        <w:spacing w:before="149" w:after="0"/>
        <w:rPr>
          <w:sz w:val="20"/>
          <w:szCs w:val="20"/>
        </w:rPr>
      </w:pPr>
      <w:r>
        <w:rPr>
          <w:sz w:val="20"/>
          <w:szCs w:val="20"/>
        </w:rPr>
        <mc:AlternateContent>
          <mc:Choice Requires="wps">
            <w:drawing>
              <wp:anchor behindDoc="0" distT="0" distB="0" distL="0" distR="0" simplePos="0" locked="0" layoutInCell="0" allowOverlap="1" relativeHeight="55">
                <wp:simplePos x="0" y="0"/>
                <wp:positionH relativeFrom="column">
                  <wp:posOffset>2044700</wp:posOffset>
                </wp:positionH>
                <wp:positionV relativeFrom="paragraph">
                  <wp:posOffset>228600</wp:posOffset>
                </wp:positionV>
                <wp:extent cx="22225" cy="22225"/>
                <wp:effectExtent l="0" t="5715" r="0" b="0"/>
                <wp:wrapTopAndBottom/>
                <wp:docPr id="23" name="Figura10"/>
                <a:graphic xmlns:a="http://schemas.openxmlformats.org/drawingml/2006/main">
                  <a:graphicData uri="http://schemas.microsoft.com/office/word/2010/wordprocessingShape">
                    <wps:wsp>
                      <wps:cNvSpPr/>
                      <wps:spPr>
                        <a:xfrm>
                          <a:off x="0" y="0"/>
                          <a:ext cx="22320" cy="22320"/>
                        </a:xfrm>
                        <a:custGeom>
                          <a:avLst/>
                          <a:gdLst/>
                          <a:ahLst/>
                          <a:rect l="l" t="t" r="r" b="b"/>
                          <a:pathLst>
                            <a:path w="3046730" h="120000">
                              <a:moveTo>
                                <a:pt x="0" y="0"/>
                              </a:moveTo>
                              <a:lnTo>
                                <a:pt x="3046194"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tabs>
          <w:tab w:val="clear" w:pos="720"/>
          <w:tab w:val="left" w:pos="2336" w:leader="none"/>
        </w:tabs>
        <w:spacing w:lineRule="auto" w:line="720" w:before="3" w:after="0"/>
        <w:ind w:left="3816" w:right="2865" w:hanging="100"/>
        <w:rPr>
          <w:sz w:val="24"/>
          <w:szCs w:val="24"/>
        </w:rPr>
      </w:pPr>
      <w:r>
        <w:rPr>
          <w:sz w:val="24"/>
          <w:szCs w:val="24"/>
        </w:rPr>
        <w:t>Carimbo e assinatura do responsável Aprovo, em 07 de fevereiro de 2024.</w:t>
      </w:r>
    </w:p>
    <w:p>
      <w:pPr>
        <w:pStyle w:val="Normal"/>
        <w:tabs>
          <w:tab w:val="clear" w:pos="720"/>
          <w:tab w:val="left" w:pos="2336" w:leader="none"/>
        </w:tabs>
        <w:rPr>
          <w:sz w:val="20"/>
          <w:szCs w:val="20"/>
        </w:rPr>
      </w:pPr>
      <w:r>
        <w:rPr>
          <w:sz w:val="20"/>
          <w:szCs w:val="20"/>
        </w:rPr>
      </w:r>
    </w:p>
    <w:p>
      <w:pPr>
        <w:pStyle w:val="Normal"/>
        <w:tabs>
          <w:tab w:val="clear" w:pos="720"/>
          <w:tab w:val="left" w:pos="2336" w:leader="none"/>
        </w:tabs>
        <w:spacing w:before="57" w:after="0"/>
        <w:rPr>
          <w:sz w:val="20"/>
          <w:szCs w:val="20"/>
        </w:rPr>
      </w:pPr>
      <w:r>
        <w:rPr>
          <w:sz w:val="20"/>
          <w:szCs w:val="20"/>
        </w:rPr>
        <mc:AlternateContent>
          <mc:Choice Requires="wps">
            <w:drawing>
              <wp:anchor behindDoc="0" distT="0" distB="0" distL="0" distR="0" simplePos="0" locked="0" layoutInCell="0" allowOverlap="1" relativeHeight="54">
                <wp:simplePos x="0" y="0"/>
                <wp:positionH relativeFrom="column">
                  <wp:posOffset>1790700</wp:posOffset>
                </wp:positionH>
                <wp:positionV relativeFrom="paragraph">
                  <wp:posOffset>177800</wp:posOffset>
                </wp:positionV>
                <wp:extent cx="22225" cy="22225"/>
                <wp:effectExtent l="0" t="5715" r="0" b="0"/>
                <wp:wrapTopAndBottom/>
                <wp:docPr id="24" name="Figura11"/>
                <a:graphic xmlns:a="http://schemas.openxmlformats.org/drawingml/2006/main">
                  <a:graphicData uri="http://schemas.microsoft.com/office/word/2010/wordprocessingShape">
                    <wps:wsp>
                      <wps:cNvSpPr/>
                      <wps:spPr>
                        <a:xfrm>
                          <a:off x="0" y="0"/>
                          <a:ext cx="22320" cy="22320"/>
                        </a:xfrm>
                        <a:custGeom>
                          <a:avLst/>
                          <a:gdLst/>
                          <a:ahLst/>
                          <a:rect l="l" t="t" r="r" b="b"/>
                          <a:pathLst>
                            <a:path w="3554729" h="120000">
                              <a:moveTo>
                                <a:pt x="0" y="0"/>
                              </a:moveTo>
                              <a:lnTo>
                                <a:pt x="3554448" y="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tabs>
          <w:tab w:val="clear" w:pos="720"/>
          <w:tab w:val="left" w:pos="2336" w:leader="none"/>
        </w:tabs>
        <w:spacing w:before="3" w:after="0"/>
        <w:ind w:left="132" w:right="52" w:hanging="0"/>
        <w:jc w:val="center"/>
        <w:rPr>
          <w:color w:val="000000"/>
          <w:sz w:val="24"/>
          <w:szCs w:val="24"/>
        </w:rPr>
      </w:pPr>
      <w:r>
        <w:rPr>
          <w:sz w:val="24"/>
          <w:szCs w:val="24"/>
        </w:rPr>
        <w:t>Carimbo e assinatura do Secretária de Saúde</w:t>
      </w:r>
    </w:p>
    <w:sectPr>
      <w:headerReference w:type="default" r:id="rId2"/>
      <w:type w:val="nextPage"/>
      <w:pgSz w:orient="landscape" w:w="11906" w:h="16838"/>
      <w:pgMar w:left="425" w:right="80" w:gutter="0" w:header="779" w:top="2040" w:footer="0" w:bottom="1052"/>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Arial">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Georgia">
    <w:charset w:val="00"/>
    <w:family w:val="roman"/>
    <w:pitch w:val="variable"/>
  </w:font>
  <w:font w:name="Cambria">
    <w:charset w:val="00"/>
    <w:family w:val="roman"/>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left" w:pos="2133" w:leader="none"/>
      </w:tabs>
      <w:spacing w:before="1" w:after="0"/>
      <w:jc w:val="both"/>
      <w:rPr>
        <w:color w:val="000009"/>
        <w:sz w:val="24"/>
        <w:szCs w:val="24"/>
        <w:highlight w:val="green"/>
      </w:rPr>
    </w:pPr>
    <w:r>
      <w:rPr>
        <w:color w:val="000009"/>
        <w:sz w:val="24"/>
        <w:szCs w:val="24"/>
        <w:highlight w:val="green"/>
      </w:rPr>
      <w:drawing>
        <wp:anchor behindDoc="1" distT="0" distB="0" distL="0" distR="0" simplePos="0" locked="0" layoutInCell="0" allowOverlap="1" relativeHeight="30">
          <wp:simplePos x="0" y="0"/>
          <wp:positionH relativeFrom="page">
            <wp:posOffset>1136650</wp:posOffset>
          </wp:positionH>
          <wp:positionV relativeFrom="page">
            <wp:posOffset>538480</wp:posOffset>
          </wp:positionV>
          <wp:extent cx="779780" cy="811530"/>
          <wp:effectExtent l="0" t="0" r="0" b="0"/>
          <wp:wrapNone/>
          <wp:docPr id="25" name="image1.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jpg" descr=""/>
                  <pic:cNvPicPr>
                    <a:picLocks noChangeAspect="1" noChangeArrowheads="1"/>
                  </pic:cNvPicPr>
                </pic:nvPicPr>
                <pic:blipFill>
                  <a:blip r:embed="rId1"/>
                  <a:stretch>
                    <a:fillRect/>
                  </a:stretch>
                </pic:blipFill>
                <pic:spPr bwMode="auto">
                  <a:xfrm>
                    <a:off x="0" y="0"/>
                    <a:ext cx="779780" cy="811530"/>
                  </a:xfrm>
                  <a:prstGeom prst="rect">
                    <a:avLst/>
                  </a:prstGeom>
                </pic:spPr>
              </pic:pic>
            </a:graphicData>
          </a:graphic>
        </wp:anchor>
      </w:drawing>
    </w:r>
  </w:p>
  <w:p>
    <w:pPr>
      <w:pStyle w:val="Normal"/>
      <w:spacing w:before="1" w:after="0"/>
      <w:ind w:left="1468" w:right="1396" w:hanging="0"/>
      <w:jc w:val="both"/>
      <w:rPr>
        <w:sz w:val="24"/>
        <w:szCs w:val="24"/>
      </w:rPr>
    </w:pPr>
    <w:r>
      <w:rPr>
        <w:sz w:val="24"/>
        <w:szCs w:val="24"/>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w:r>
  </w:p>
  <w:p>
    <w:pPr>
      <w:pStyle w:val="Normal"/>
      <w:spacing w:lineRule="auto" w:line="9"/>
      <w:rPr>
        <w:color w:val="000000"/>
        <w:sz w:val="20"/>
        <w:szCs w:val="20"/>
      </w:rPr>
    </w:pPr>
    <w:r>
      <w:rPr>
        <w:color w:val="000000"/>
        <w:sz w:val="20"/>
        <w:szCs w:val="20"/>
      </w:rPr>
      <mc:AlternateContent>
        <mc:Choice Requires="wps">
          <w:drawing>
            <wp:anchor behindDoc="1" distT="0" distB="0" distL="0" distR="0" simplePos="0" locked="0" layoutInCell="0" allowOverlap="1" relativeHeight="28">
              <wp:simplePos x="0" y="0"/>
              <wp:positionH relativeFrom="page">
                <wp:posOffset>2698115</wp:posOffset>
              </wp:positionH>
              <wp:positionV relativeFrom="page">
                <wp:posOffset>695960</wp:posOffset>
              </wp:positionV>
              <wp:extent cx="2719705" cy="499745"/>
              <wp:effectExtent l="0" t="0" r="0" b="0"/>
              <wp:wrapNone/>
              <wp:docPr id="26" name="Figura12"/>
              <a:graphic xmlns:a="http://schemas.openxmlformats.org/drawingml/2006/main">
                <a:graphicData uri="http://schemas.microsoft.com/office/word/2010/wordprocessingShape">
                  <wps:wsp>
                    <wps:cNvSpPr/>
                    <wps:spPr>
                      <a:xfrm>
                        <a:off x="0" y="0"/>
                        <a:ext cx="2719800" cy="499680"/>
                      </a:xfrm>
                      <a:prstGeom prst="rect">
                        <a:avLst/>
                      </a:prstGeom>
                      <a:noFill/>
                      <a:ln w="0">
                        <a:noFill/>
                      </a:ln>
                    </wps:spPr>
                    <wps:style>
                      <a:lnRef idx="0"/>
                      <a:fillRef idx="0"/>
                      <a:effectRef idx="0"/>
                      <a:fontRef idx="minor"/>
                    </wps:style>
                    <wps:txbx>
                      <w:txbxContent>
                        <w:p>
                          <w:pPr>
                            <w:pStyle w:val="Contedodoquadro"/>
                            <w:spacing w:lineRule="auto" w:line="240" w:before="20" w:after="0"/>
                            <w:ind w:left="20" w:right="0" w:firstLine="1068"/>
                            <w:jc w:val="left"/>
                            <w:rPr/>
                          </w:pPr>
                          <w:r>
                            <w:rPr>
                              <w:rFonts w:eastAsia="Cambria" w:cs="Cambria" w:ascii="Cambria" w:hAnsi="Cambria"/>
                              <w:b/>
                              <w:i w:val="false"/>
                              <w:caps w:val="false"/>
                              <w:smallCaps w:val="false"/>
                              <w:strike w:val="false"/>
                              <w:dstrike w:val="false"/>
                              <w:color w:val="000000"/>
                              <w:position w:val="0"/>
                              <w:sz w:val="20"/>
                              <w:sz w:val="20"/>
                              <w:vertAlign w:val="baseline"/>
                            </w:rPr>
                            <w:t>Estado do Rio de Janeiro PREFEITURA MUNICIPAL DE ANGRA DOS REIS</w:t>
                          </w:r>
                        </w:p>
                        <w:p>
                          <w:pPr>
                            <w:pStyle w:val="Contedodoquadro"/>
                            <w:spacing w:lineRule="auto" w:line="240" w:before="1" w:after="0"/>
                            <w:ind w:left="327" w:right="0" w:firstLine="327"/>
                            <w:jc w:val="left"/>
                            <w:rPr/>
                          </w:pPr>
                          <w:r>
                            <w:rPr/>
                          </w:r>
                        </w:p>
                      </w:txbxContent>
                    </wps:txbx>
                    <wps:bodyPr lIns="0" rIns="0" tIns="0" bIns="0" anchor="t">
                      <a:noAutofit/>
                    </wps:bodyPr>
                  </wps:wsp>
                </a:graphicData>
              </a:graphic>
            </wp:anchor>
          </w:drawing>
        </mc:Choice>
        <mc:Fallback>
          <w:pict>
            <v:rect id="shape_0" ID="Figura12" path="m0,0l-2147483645,0l-2147483645,-2147483646l0,-2147483646xe" stroked="f" o:allowincell="f" style="position:absolute;margin-left:212.45pt;margin-top:54.8pt;width:214.1pt;height:39.3pt;mso-wrap-style:square;v-text-anchor:top;mso-position-horizontal-relative:page;mso-position-vertical-relative:page">
              <v:fill o:detectmouseclick="t" on="false"/>
              <v:stroke color="#3465a4" joinstyle="round" endcap="flat"/>
              <v:textbox>
                <w:txbxContent>
                  <w:p>
                    <w:pPr>
                      <w:pStyle w:val="Contedodoquadro"/>
                      <w:spacing w:lineRule="auto" w:line="240" w:before="20" w:after="0"/>
                      <w:ind w:left="20" w:right="0" w:firstLine="1068"/>
                      <w:jc w:val="left"/>
                      <w:rPr/>
                    </w:pPr>
                    <w:r>
                      <w:rPr>
                        <w:rFonts w:eastAsia="Cambria" w:cs="Cambria" w:ascii="Cambria" w:hAnsi="Cambria"/>
                        <w:b/>
                        <w:i w:val="false"/>
                        <w:caps w:val="false"/>
                        <w:smallCaps w:val="false"/>
                        <w:strike w:val="false"/>
                        <w:dstrike w:val="false"/>
                        <w:color w:val="000000"/>
                        <w:position w:val="0"/>
                        <w:sz w:val="20"/>
                        <w:sz w:val="20"/>
                        <w:vertAlign w:val="baseline"/>
                      </w:rPr>
                      <w:t>Estado do Rio de Janeiro PREFEITURA MUNICIPAL DE ANGRA DOS REIS</w:t>
                    </w:r>
                  </w:p>
                  <w:p>
                    <w:pPr>
                      <w:pStyle w:val="Contedodoquadro"/>
                      <w:spacing w:lineRule="auto" w:line="240" w:before="1" w:after="0"/>
                      <w:ind w:left="327" w:right="0" w:firstLine="327"/>
                      <w:jc w:val="left"/>
                      <w:rPr/>
                    </w:pPr>
                    <w:r>
                      <w:rPr/>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6"/>
      <w:numFmt w:val="decimal"/>
      <w:suff w:val="space"/>
      <w:lvlText w:val="%1."/>
      <w:lvlJc w:val="left"/>
      <w:pPr>
        <w:tabs>
          <w:tab w:val="num" w:pos="0"/>
        </w:tabs>
        <w:ind w:left="1735" w:hanging="268"/>
      </w:pPr>
      <w:rPr>
        <w:sz w:val="24"/>
        <w:i w:val="false"/>
        <w:b/>
        <w:shd w:fill="F1F1F1" w:val="clear"/>
        <w:szCs w:val="24"/>
        <w:rFonts w:ascii="Arial" w:hAnsi="Arial" w:eastAsia="Arial" w:cs="Arial"/>
      </w:rPr>
    </w:lvl>
    <w:lvl w:ilvl="1">
      <w:start w:val="1"/>
      <w:numFmt w:val="decimal"/>
      <w:suff w:val="space"/>
      <w:lvlText w:val="%1.%2."/>
      <w:lvlJc w:val="left"/>
      <w:pPr>
        <w:tabs>
          <w:tab w:val="num" w:pos="0"/>
        </w:tabs>
        <w:ind w:left="1934" w:hanging="466"/>
      </w:pPr>
      <w:rPr/>
    </w:lvl>
    <w:lvl w:ilvl="2">
      <w:start w:val="1"/>
      <w:numFmt w:val="decimal"/>
      <w:suff w:val="space"/>
      <w:lvlText w:val="%1.%2.%3."/>
      <w:lvlJc w:val="left"/>
      <w:pPr>
        <w:tabs>
          <w:tab w:val="num" w:pos="0"/>
        </w:tabs>
        <w:ind w:left="1468" w:hanging="464"/>
      </w:pPr>
      <w:rPr>
        <w:highlight w:val="green"/>
      </w:rPr>
    </w:lvl>
    <w:lvl w:ilvl="3">
      <w:start w:val="1"/>
      <w:numFmt w:val="decimal"/>
      <w:suff w:val="space"/>
      <w:lvlText w:val="%1.%2.%3.%4."/>
      <w:lvlJc w:val="left"/>
      <w:pPr>
        <w:tabs>
          <w:tab w:val="num" w:pos="0"/>
        </w:tabs>
        <w:ind w:left="2468" w:hanging="465"/>
      </w:pPr>
      <w:rPr/>
    </w:lvl>
    <w:lvl w:ilvl="4">
      <w:start w:val="0"/>
      <w:numFmt w:val="bullet"/>
      <w:suff w:val="space"/>
      <w:lvlText w:val=""/>
      <w:lvlJc w:val="left"/>
      <w:pPr>
        <w:tabs>
          <w:tab w:val="num" w:pos="0"/>
        </w:tabs>
        <w:ind w:left="2460" w:hanging="466"/>
      </w:pPr>
      <w:rPr>
        <w:rFonts w:ascii="Symbol" w:hAnsi="Symbol" w:cs="Symbol" w:hint="default"/>
      </w:rPr>
    </w:lvl>
    <w:lvl w:ilvl="5">
      <w:start w:val="0"/>
      <w:numFmt w:val="bullet"/>
      <w:suff w:val="space"/>
      <w:lvlText w:val=""/>
      <w:lvlJc w:val="left"/>
      <w:pPr>
        <w:tabs>
          <w:tab w:val="num" w:pos="0"/>
        </w:tabs>
        <w:ind w:left="3937" w:hanging="466"/>
      </w:pPr>
      <w:rPr>
        <w:rFonts w:ascii="Symbol" w:hAnsi="Symbol" w:cs="Symbol" w:hint="default"/>
      </w:rPr>
    </w:lvl>
    <w:lvl w:ilvl="6">
      <w:start w:val="0"/>
      <w:numFmt w:val="bullet"/>
      <w:suff w:val="space"/>
      <w:lvlText w:val=""/>
      <w:lvlJc w:val="left"/>
      <w:pPr>
        <w:tabs>
          <w:tab w:val="num" w:pos="0"/>
        </w:tabs>
        <w:ind w:left="5415" w:hanging="466"/>
      </w:pPr>
      <w:rPr>
        <w:rFonts w:ascii="Symbol" w:hAnsi="Symbol" w:cs="Symbol" w:hint="default"/>
      </w:rPr>
    </w:lvl>
    <w:lvl w:ilvl="7">
      <w:start w:val="0"/>
      <w:numFmt w:val="bullet"/>
      <w:suff w:val="space"/>
      <w:lvlText w:val=""/>
      <w:lvlJc w:val="left"/>
      <w:pPr>
        <w:tabs>
          <w:tab w:val="num" w:pos="0"/>
        </w:tabs>
        <w:ind w:left="6892" w:hanging="466"/>
      </w:pPr>
      <w:rPr>
        <w:rFonts w:ascii="Symbol" w:hAnsi="Symbol" w:cs="Symbol" w:hint="default"/>
      </w:rPr>
    </w:lvl>
    <w:lvl w:ilvl="8">
      <w:start w:val="0"/>
      <w:numFmt w:val="bullet"/>
      <w:suff w:val="space"/>
      <w:lvlText w:val=""/>
      <w:lvlJc w:val="left"/>
      <w:pPr>
        <w:tabs>
          <w:tab w:val="num" w:pos="0"/>
        </w:tabs>
        <w:ind w:left="8370" w:hanging="466"/>
      </w:pPr>
      <w:rPr>
        <w:rFonts w:ascii="Symbol" w:hAnsi="Symbol" w:cs="Symbol" w:hint="default"/>
      </w:rPr>
    </w:lvl>
  </w:abstractNum>
  <w:abstractNum w:abstractNumId="2">
    <w:lvl w:ilvl="0">
      <w:start w:val="9"/>
      <w:numFmt w:val="decimal"/>
      <w:suff w:val="space"/>
      <w:lvlText w:val="%1"/>
      <w:lvlJc w:val="left"/>
      <w:pPr>
        <w:tabs>
          <w:tab w:val="num" w:pos="0"/>
        </w:tabs>
        <w:ind w:left="1468" w:hanging="509"/>
      </w:pPr>
      <w:rPr/>
    </w:lvl>
    <w:lvl w:ilvl="1">
      <w:start w:val="1"/>
      <w:numFmt w:val="decimal"/>
      <w:suff w:val="space"/>
      <w:lvlText w:val="%1.%2."/>
      <w:lvlJc w:val="left"/>
      <w:pPr>
        <w:tabs>
          <w:tab w:val="num" w:pos="0"/>
        </w:tabs>
        <w:ind w:left="1468" w:hanging="509"/>
      </w:pPr>
      <w:rPr>
        <w:sz w:val="24"/>
        <w:i w:val="false"/>
        <w:b w:val="false"/>
        <w:szCs w:val="24"/>
        <w:rFonts w:ascii="Arial MT" w:hAnsi="Arial MT" w:eastAsia="Arial MT" w:cs="Arial MT"/>
      </w:rPr>
    </w:lvl>
    <w:lvl w:ilvl="2">
      <w:start w:val="0"/>
      <w:numFmt w:val="bullet"/>
      <w:suff w:val="space"/>
      <w:lvlText w:val=""/>
      <w:lvlJc w:val="left"/>
      <w:pPr>
        <w:tabs>
          <w:tab w:val="num" w:pos="0"/>
        </w:tabs>
        <w:ind w:left="3433" w:hanging="510"/>
      </w:pPr>
      <w:rPr>
        <w:rFonts w:ascii="Symbol" w:hAnsi="Symbol" w:cs="Symbol" w:hint="default"/>
      </w:rPr>
    </w:lvl>
    <w:lvl w:ilvl="3">
      <w:start w:val="0"/>
      <w:numFmt w:val="bullet"/>
      <w:suff w:val="space"/>
      <w:lvlText w:val=""/>
      <w:lvlJc w:val="left"/>
      <w:pPr>
        <w:tabs>
          <w:tab w:val="num" w:pos="0"/>
        </w:tabs>
        <w:ind w:left="4419" w:hanging="510"/>
      </w:pPr>
      <w:rPr>
        <w:rFonts w:ascii="Symbol" w:hAnsi="Symbol" w:cs="Symbol" w:hint="default"/>
      </w:rPr>
    </w:lvl>
    <w:lvl w:ilvl="4">
      <w:start w:val="0"/>
      <w:numFmt w:val="bullet"/>
      <w:suff w:val="space"/>
      <w:lvlText w:val=""/>
      <w:lvlJc w:val="left"/>
      <w:pPr>
        <w:tabs>
          <w:tab w:val="num" w:pos="0"/>
        </w:tabs>
        <w:ind w:left="5406" w:hanging="510"/>
      </w:pPr>
      <w:rPr>
        <w:rFonts w:ascii="Symbol" w:hAnsi="Symbol" w:cs="Symbol" w:hint="default"/>
      </w:rPr>
    </w:lvl>
    <w:lvl w:ilvl="5">
      <w:start w:val="0"/>
      <w:numFmt w:val="bullet"/>
      <w:suff w:val="space"/>
      <w:lvlText w:val=""/>
      <w:lvlJc w:val="left"/>
      <w:pPr>
        <w:tabs>
          <w:tab w:val="num" w:pos="0"/>
        </w:tabs>
        <w:ind w:left="6392" w:hanging="510"/>
      </w:pPr>
      <w:rPr>
        <w:rFonts w:ascii="Symbol" w:hAnsi="Symbol" w:cs="Symbol" w:hint="default"/>
      </w:rPr>
    </w:lvl>
    <w:lvl w:ilvl="6">
      <w:start w:val="0"/>
      <w:numFmt w:val="bullet"/>
      <w:suff w:val="space"/>
      <w:lvlText w:val=""/>
      <w:lvlJc w:val="left"/>
      <w:pPr>
        <w:tabs>
          <w:tab w:val="num" w:pos="0"/>
        </w:tabs>
        <w:ind w:left="7379" w:hanging="510"/>
      </w:pPr>
      <w:rPr>
        <w:rFonts w:ascii="Symbol" w:hAnsi="Symbol" w:cs="Symbol" w:hint="default"/>
      </w:rPr>
    </w:lvl>
    <w:lvl w:ilvl="7">
      <w:start w:val="0"/>
      <w:numFmt w:val="bullet"/>
      <w:suff w:val="space"/>
      <w:lvlText w:val=""/>
      <w:lvlJc w:val="left"/>
      <w:pPr>
        <w:tabs>
          <w:tab w:val="num" w:pos="0"/>
        </w:tabs>
        <w:ind w:left="8365" w:hanging="510"/>
      </w:pPr>
      <w:rPr>
        <w:rFonts w:ascii="Symbol" w:hAnsi="Symbol" w:cs="Symbol" w:hint="default"/>
      </w:rPr>
    </w:lvl>
    <w:lvl w:ilvl="8">
      <w:start w:val="0"/>
      <w:numFmt w:val="bullet"/>
      <w:suff w:val="space"/>
      <w:lvlText w:val=""/>
      <w:lvlJc w:val="left"/>
      <w:pPr>
        <w:tabs>
          <w:tab w:val="num" w:pos="0"/>
        </w:tabs>
        <w:ind w:left="9352" w:hanging="510"/>
      </w:pPr>
      <w:rPr>
        <w:rFonts w:ascii="Symbol" w:hAnsi="Symbol" w:cs="Symbol" w:hint="default"/>
      </w:rPr>
    </w:lvl>
  </w:abstractNum>
  <w:abstractNum w:abstractNumId="3">
    <w:lvl w:ilvl="0">
      <w:start w:val="11"/>
      <w:numFmt w:val="decimal"/>
      <w:suff w:val="space"/>
      <w:lvlText w:val="%1"/>
      <w:lvlJc w:val="left"/>
      <w:pPr>
        <w:tabs>
          <w:tab w:val="num" w:pos="0"/>
        </w:tabs>
        <w:ind w:left="1468" w:hanging="624"/>
      </w:pPr>
      <w:rPr/>
    </w:lvl>
    <w:lvl w:ilvl="1">
      <w:start w:val="1"/>
      <w:numFmt w:val="decimal"/>
      <w:suff w:val="space"/>
      <w:lvlText w:val="%1.%2."/>
      <w:lvlJc w:val="left"/>
      <w:pPr>
        <w:tabs>
          <w:tab w:val="num" w:pos="0"/>
        </w:tabs>
        <w:ind w:left="1468" w:hanging="624"/>
      </w:pPr>
      <w:rPr/>
    </w:lvl>
    <w:lvl w:ilvl="2">
      <w:start w:val="1"/>
      <w:numFmt w:val="decimal"/>
      <w:suff w:val="space"/>
      <w:lvlText w:val="%1.%2.%3."/>
      <w:lvlJc w:val="left"/>
      <w:pPr>
        <w:tabs>
          <w:tab w:val="num" w:pos="0"/>
        </w:tabs>
        <w:ind w:left="1468" w:hanging="864"/>
      </w:pPr>
      <w:rPr>
        <w:sz w:val="24"/>
        <w:i w:val="false"/>
        <w:b w:val="false"/>
        <w:szCs w:val="24"/>
        <w:rFonts w:ascii="Arial MT" w:hAnsi="Arial MT" w:eastAsia="Arial MT" w:cs="Arial MT"/>
      </w:rPr>
    </w:lvl>
    <w:lvl w:ilvl="3">
      <w:start w:val="0"/>
      <w:numFmt w:val="bullet"/>
      <w:suff w:val="space"/>
      <w:lvlText w:val=""/>
      <w:lvlJc w:val="left"/>
      <w:pPr>
        <w:tabs>
          <w:tab w:val="num" w:pos="0"/>
        </w:tabs>
        <w:ind w:left="4419" w:hanging="865"/>
      </w:pPr>
      <w:rPr>
        <w:rFonts w:ascii="Symbol" w:hAnsi="Symbol" w:cs="Symbol" w:hint="default"/>
      </w:rPr>
    </w:lvl>
    <w:lvl w:ilvl="4">
      <w:start w:val="0"/>
      <w:numFmt w:val="bullet"/>
      <w:suff w:val="space"/>
      <w:lvlText w:val=""/>
      <w:lvlJc w:val="left"/>
      <w:pPr>
        <w:tabs>
          <w:tab w:val="num" w:pos="0"/>
        </w:tabs>
        <w:ind w:left="5406" w:hanging="865"/>
      </w:pPr>
      <w:rPr>
        <w:rFonts w:ascii="Symbol" w:hAnsi="Symbol" w:cs="Symbol" w:hint="default"/>
      </w:rPr>
    </w:lvl>
    <w:lvl w:ilvl="5">
      <w:start w:val="0"/>
      <w:numFmt w:val="bullet"/>
      <w:suff w:val="space"/>
      <w:lvlText w:val=""/>
      <w:lvlJc w:val="left"/>
      <w:pPr>
        <w:tabs>
          <w:tab w:val="num" w:pos="0"/>
        </w:tabs>
        <w:ind w:left="6392" w:hanging="865"/>
      </w:pPr>
      <w:rPr>
        <w:rFonts w:ascii="Symbol" w:hAnsi="Symbol" w:cs="Symbol" w:hint="default"/>
      </w:rPr>
    </w:lvl>
    <w:lvl w:ilvl="6">
      <w:start w:val="0"/>
      <w:numFmt w:val="bullet"/>
      <w:suff w:val="space"/>
      <w:lvlText w:val=""/>
      <w:lvlJc w:val="left"/>
      <w:pPr>
        <w:tabs>
          <w:tab w:val="num" w:pos="0"/>
        </w:tabs>
        <w:ind w:left="7379" w:hanging="865"/>
      </w:pPr>
      <w:rPr>
        <w:rFonts w:ascii="Symbol" w:hAnsi="Symbol" w:cs="Symbol" w:hint="default"/>
      </w:rPr>
    </w:lvl>
    <w:lvl w:ilvl="7">
      <w:start w:val="0"/>
      <w:numFmt w:val="bullet"/>
      <w:suff w:val="space"/>
      <w:lvlText w:val=""/>
      <w:lvlJc w:val="left"/>
      <w:pPr>
        <w:tabs>
          <w:tab w:val="num" w:pos="0"/>
        </w:tabs>
        <w:ind w:left="8365" w:hanging="865"/>
      </w:pPr>
      <w:rPr>
        <w:rFonts w:ascii="Symbol" w:hAnsi="Symbol" w:cs="Symbol" w:hint="default"/>
      </w:rPr>
    </w:lvl>
    <w:lvl w:ilvl="8">
      <w:start w:val="0"/>
      <w:numFmt w:val="bullet"/>
      <w:suff w:val="space"/>
      <w:lvlText w:val=""/>
      <w:lvlJc w:val="left"/>
      <w:pPr>
        <w:tabs>
          <w:tab w:val="num" w:pos="0"/>
        </w:tabs>
        <w:ind w:left="9352" w:hanging="865"/>
      </w:pPr>
      <w:rPr>
        <w:rFonts w:ascii="Symbol" w:hAnsi="Symbol" w:cs="Symbol" w:hint="default"/>
      </w:rPr>
    </w:lvl>
  </w:abstractNum>
  <w:abstractNum w:abstractNumId="4">
    <w:lvl w:ilvl="0">
      <w:start w:val="8"/>
      <w:numFmt w:val="decimal"/>
      <w:suff w:val="space"/>
      <w:lvlText w:val="%1"/>
      <w:lvlJc w:val="left"/>
      <w:pPr>
        <w:tabs>
          <w:tab w:val="num" w:pos="0"/>
        </w:tabs>
        <w:ind w:left="1934" w:hanging="466"/>
      </w:pPr>
      <w:rPr/>
    </w:lvl>
    <w:lvl w:ilvl="1">
      <w:start w:val="1"/>
      <w:numFmt w:val="decimal"/>
      <w:suff w:val="space"/>
      <w:lvlText w:val="%1.%2."/>
      <w:lvlJc w:val="left"/>
      <w:pPr>
        <w:tabs>
          <w:tab w:val="num" w:pos="0"/>
        </w:tabs>
        <w:ind w:left="1934" w:hanging="466"/>
      </w:pPr>
      <w:rPr>
        <w:sz w:val="24"/>
        <w:i w:val="false"/>
        <w:b/>
        <w:szCs w:val="24"/>
        <w:rFonts w:ascii="Arial" w:hAnsi="Arial" w:eastAsia="Arial" w:cs="Arial"/>
      </w:rPr>
    </w:lvl>
    <w:lvl w:ilvl="2">
      <w:start w:val="1"/>
      <w:numFmt w:val="decimal"/>
      <w:suff w:val="space"/>
      <w:lvlText w:val="%1.%2.%3."/>
      <w:lvlJc w:val="left"/>
      <w:pPr>
        <w:tabs>
          <w:tab w:val="num" w:pos="0"/>
        </w:tabs>
        <w:ind w:left="1468" w:firstLine="91"/>
      </w:pPr>
      <w:rPr>
        <w:sz w:val="24"/>
        <w:i w:val="false"/>
        <w:b w:val="false"/>
        <w:szCs w:val="24"/>
        <w:rFonts w:ascii="Arial MT" w:hAnsi="Arial MT" w:eastAsia="Arial MT" w:cs="Arial MT"/>
      </w:rPr>
    </w:lvl>
    <w:lvl w:ilvl="3">
      <w:start w:val="0"/>
      <w:numFmt w:val="bullet"/>
      <w:suff w:val="space"/>
      <w:lvlText w:val=""/>
      <w:lvlJc w:val="left"/>
      <w:pPr>
        <w:tabs>
          <w:tab w:val="num" w:pos="0"/>
        </w:tabs>
        <w:ind w:left="4025" w:hanging="763"/>
      </w:pPr>
      <w:rPr>
        <w:rFonts w:ascii="Symbol" w:hAnsi="Symbol" w:cs="Symbol" w:hint="default"/>
      </w:rPr>
    </w:lvl>
    <w:lvl w:ilvl="4">
      <w:start w:val="0"/>
      <w:numFmt w:val="bullet"/>
      <w:suff w:val="space"/>
      <w:lvlText w:val=""/>
      <w:lvlJc w:val="left"/>
      <w:pPr>
        <w:tabs>
          <w:tab w:val="num" w:pos="0"/>
        </w:tabs>
        <w:ind w:left="5068" w:hanging="763"/>
      </w:pPr>
      <w:rPr>
        <w:rFonts w:ascii="Symbol" w:hAnsi="Symbol" w:cs="Symbol" w:hint="default"/>
      </w:rPr>
    </w:lvl>
    <w:lvl w:ilvl="5">
      <w:start w:val="0"/>
      <w:numFmt w:val="bullet"/>
      <w:suff w:val="space"/>
      <w:lvlText w:val=""/>
      <w:lvlJc w:val="left"/>
      <w:pPr>
        <w:tabs>
          <w:tab w:val="num" w:pos="0"/>
        </w:tabs>
        <w:ind w:left="6111" w:hanging="762"/>
      </w:pPr>
      <w:rPr>
        <w:rFonts w:ascii="Symbol" w:hAnsi="Symbol" w:cs="Symbol" w:hint="default"/>
      </w:rPr>
    </w:lvl>
    <w:lvl w:ilvl="6">
      <w:start w:val="0"/>
      <w:numFmt w:val="bullet"/>
      <w:suff w:val="space"/>
      <w:lvlText w:val=""/>
      <w:lvlJc w:val="left"/>
      <w:pPr>
        <w:tabs>
          <w:tab w:val="num" w:pos="0"/>
        </w:tabs>
        <w:ind w:left="7154" w:hanging="763"/>
      </w:pPr>
      <w:rPr>
        <w:rFonts w:ascii="Symbol" w:hAnsi="Symbol" w:cs="Symbol" w:hint="default"/>
      </w:rPr>
    </w:lvl>
    <w:lvl w:ilvl="7">
      <w:start w:val="0"/>
      <w:numFmt w:val="bullet"/>
      <w:suff w:val="space"/>
      <w:lvlText w:val=""/>
      <w:lvlJc w:val="left"/>
      <w:pPr>
        <w:tabs>
          <w:tab w:val="num" w:pos="0"/>
        </w:tabs>
        <w:ind w:left="8197" w:hanging="762"/>
      </w:pPr>
      <w:rPr>
        <w:rFonts w:ascii="Symbol" w:hAnsi="Symbol" w:cs="Symbol" w:hint="default"/>
      </w:rPr>
    </w:lvl>
    <w:lvl w:ilvl="8">
      <w:start w:val="0"/>
      <w:numFmt w:val="bullet"/>
      <w:suff w:val="space"/>
      <w:lvlText w:val=""/>
      <w:lvlJc w:val="left"/>
      <w:pPr>
        <w:tabs>
          <w:tab w:val="num" w:pos="0"/>
        </w:tabs>
        <w:ind w:left="9239" w:hanging="763"/>
      </w:pPr>
      <w:rPr>
        <w:rFonts w:ascii="Symbol" w:hAnsi="Symbol" w:cs="Symbol" w:hint="default"/>
      </w:rPr>
    </w:lvl>
  </w:abstractNum>
  <w:abstractNum w:abstractNumId="5">
    <w:lvl w:ilvl="0">
      <w:start w:val="5"/>
      <w:numFmt w:val="decimal"/>
      <w:suff w:val="space"/>
      <w:lvlText w:val="%1"/>
      <w:lvlJc w:val="left"/>
      <w:pPr>
        <w:tabs>
          <w:tab w:val="num" w:pos="0"/>
        </w:tabs>
        <w:ind w:left="1935" w:hanging="468"/>
      </w:pPr>
      <w:rPr/>
    </w:lvl>
    <w:lvl w:ilvl="1">
      <w:start w:val="1"/>
      <w:numFmt w:val="decimal"/>
      <w:suff w:val="space"/>
      <w:lvlText w:val="%1.%2."/>
      <w:lvlJc w:val="left"/>
      <w:pPr>
        <w:tabs>
          <w:tab w:val="num" w:pos="0"/>
        </w:tabs>
        <w:ind w:left="1935" w:hanging="446"/>
      </w:pPr>
      <w:rPr/>
    </w:lvl>
    <w:lvl w:ilvl="2">
      <w:start w:val="1"/>
      <w:numFmt w:val="decimal"/>
      <w:suff w:val="space"/>
      <w:lvlText w:val="%1.%2.%3."/>
      <w:lvlJc w:val="left"/>
      <w:pPr>
        <w:tabs>
          <w:tab w:val="num" w:pos="0"/>
        </w:tabs>
        <w:ind w:left="1468" w:hanging="699"/>
      </w:pPr>
      <w:rPr>
        <w:u w:val="single"/>
      </w:rPr>
    </w:lvl>
    <w:lvl w:ilvl="3">
      <w:start w:val="1"/>
      <w:numFmt w:val="decimal"/>
      <w:suff w:val="space"/>
      <w:lvlText w:val="%1.%2.%3.%4."/>
      <w:lvlJc w:val="left"/>
      <w:pPr>
        <w:tabs>
          <w:tab w:val="num" w:pos="0"/>
        </w:tabs>
        <w:ind w:left="1468" w:hanging="1038"/>
      </w:pPr>
      <w:rPr/>
    </w:lvl>
    <w:lvl w:ilvl="4">
      <w:start w:val="1"/>
      <w:numFmt w:val="decimal"/>
      <w:suff w:val="space"/>
      <w:lvlText w:val="%1.%2.%3.%4.%5."/>
      <w:lvlJc w:val="left"/>
      <w:pPr>
        <w:tabs>
          <w:tab w:val="num" w:pos="0"/>
        </w:tabs>
        <w:ind w:left="2534" w:hanging="1037"/>
      </w:pPr>
      <w:rPr>
        <w:sz w:val="24"/>
        <w:i w:val="false"/>
        <w:b w:val="false"/>
        <w:szCs w:val="24"/>
        <w:rFonts w:ascii="Arial MT" w:hAnsi="Arial MT" w:eastAsia="Arial MT" w:cs="Arial MT"/>
        <w:color w:val="000009"/>
      </w:rPr>
    </w:lvl>
    <w:lvl w:ilvl="5">
      <w:start w:val="1"/>
      <w:numFmt w:val="decimal"/>
      <w:suff w:val="space"/>
      <w:lvlText w:val="%1.%2.%3.%4.%5.%6."/>
      <w:lvlJc w:val="left"/>
      <w:pPr>
        <w:tabs>
          <w:tab w:val="num" w:pos="0"/>
        </w:tabs>
        <w:ind w:left="1468" w:hanging="1038"/>
      </w:pPr>
      <w:rPr>
        <w:sz w:val="24"/>
        <w:i w:val="false"/>
        <w:b w:val="false"/>
        <w:szCs w:val="24"/>
        <w:rFonts w:ascii="Arial MT" w:hAnsi="Arial MT" w:eastAsia="Arial MT" w:cs="Arial MT"/>
        <w:color w:val="000009"/>
      </w:rPr>
    </w:lvl>
    <w:lvl w:ilvl="6">
      <w:start w:val="0"/>
      <w:numFmt w:val="bullet"/>
      <w:suff w:val="space"/>
      <w:lvlText w:val=""/>
      <w:lvlJc w:val="left"/>
      <w:pPr>
        <w:tabs>
          <w:tab w:val="num" w:pos="0"/>
        </w:tabs>
        <w:ind w:left="5468" w:hanging="1038"/>
      </w:pPr>
      <w:rPr>
        <w:rFonts w:ascii="Symbol" w:hAnsi="Symbol" w:cs="Symbol" w:hint="default"/>
      </w:rPr>
    </w:lvl>
    <w:lvl w:ilvl="7">
      <w:start w:val="0"/>
      <w:numFmt w:val="bullet"/>
      <w:suff w:val="space"/>
      <w:lvlText w:val=""/>
      <w:lvlJc w:val="left"/>
      <w:pPr>
        <w:tabs>
          <w:tab w:val="num" w:pos="0"/>
        </w:tabs>
        <w:ind w:left="6932" w:hanging="1037"/>
      </w:pPr>
      <w:rPr>
        <w:rFonts w:ascii="Symbol" w:hAnsi="Symbol" w:cs="Symbol" w:hint="default"/>
      </w:rPr>
    </w:lvl>
    <w:lvl w:ilvl="8">
      <w:start w:val="0"/>
      <w:numFmt w:val="bullet"/>
      <w:suff w:val="space"/>
      <w:lvlText w:val=""/>
      <w:lvlJc w:val="left"/>
      <w:pPr>
        <w:tabs>
          <w:tab w:val="num" w:pos="0"/>
        </w:tabs>
        <w:ind w:left="8397" w:hanging="1037"/>
      </w:pPr>
      <w:rPr>
        <w:rFonts w:ascii="Symbol" w:hAnsi="Symbol" w:cs="Symbol" w:hint="default"/>
      </w:rPr>
    </w:lvl>
  </w:abstractNum>
  <w:abstractNum w:abstractNumId="6">
    <w:lvl w:ilvl="0">
      <w:start w:val="4"/>
      <w:numFmt w:val="decimal"/>
      <w:suff w:val="space"/>
      <w:lvlText w:val="%1"/>
      <w:lvlJc w:val="left"/>
      <w:pPr>
        <w:tabs>
          <w:tab w:val="num" w:pos="0"/>
        </w:tabs>
        <w:ind w:left="1935" w:hanging="468"/>
      </w:pPr>
      <w:rPr/>
    </w:lvl>
    <w:lvl w:ilvl="1">
      <w:start w:val="1"/>
      <w:numFmt w:val="decimal"/>
      <w:suff w:val="space"/>
      <w:lvlText w:val="%1.%2."/>
      <w:lvlJc w:val="left"/>
      <w:pPr>
        <w:tabs>
          <w:tab w:val="num" w:pos="0"/>
        </w:tabs>
        <w:ind w:left="1935" w:hanging="468"/>
      </w:pPr>
      <w:rPr/>
    </w:lvl>
    <w:lvl w:ilvl="2">
      <w:start w:val="1"/>
      <w:numFmt w:val="decimal"/>
      <w:suff w:val="space"/>
      <w:lvlText w:val="%1.%2.%3."/>
      <w:lvlJc w:val="left"/>
      <w:pPr>
        <w:tabs>
          <w:tab w:val="num" w:pos="0"/>
        </w:tabs>
        <w:ind w:left="1468" w:hanging="699"/>
      </w:pPr>
      <w:rPr/>
    </w:lvl>
    <w:lvl w:ilvl="3">
      <w:start w:val="0"/>
      <w:numFmt w:val="bullet"/>
      <w:suff w:val="space"/>
      <w:lvlText w:val=""/>
      <w:lvlJc w:val="left"/>
      <w:pPr>
        <w:tabs>
          <w:tab w:val="num" w:pos="0"/>
        </w:tabs>
        <w:ind w:left="4025" w:hanging="701"/>
      </w:pPr>
      <w:rPr>
        <w:rFonts w:ascii="Symbol" w:hAnsi="Symbol" w:cs="Symbol" w:hint="default"/>
      </w:rPr>
    </w:lvl>
    <w:lvl w:ilvl="4">
      <w:start w:val="0"/>
      <w:numFmt w:val="bullet"/>
      <w:suff w:val="space"/>
      <w:lvlText w:val=""/>
      <w:lvlJc w:val="left"/>
      <w:pPr>
        <w:tabs>
          <w:tab w:val="num" w:pos="0"/>
        </w:tabs>
        <w:ind w:left="5068" w:hanging="701"/>
      </w:pPr>
      <w:rPr>
        <w:rFonts w:ascii="Symbol" w:hAnsi="Symbol" w:cs="Symbol" w:hint="default"/>
      </w:rPr>
    </w:lvl>
    <w:lvl w:ilvl="5">
      <w:start w:val="0"/>
      <w:numFmt w:val="bullet"/>
      <w:suff w:val="space"/>
      <w:lvlText w:val=""/>
      <w:lvlJc w:val="left"/>
      <w:pPr>
        <w:tabs>
          <w:tab w:val="num" w:pos="0"/>
        </w:tabs>
        <w:ind w:left="6111" w:hanging="701"/>
      </w:pPr>
      <w:rPr>
        <w:rFonts w:ascii="Symbol" w:hAnsi="Symbol" w:cs="Symbol" w:hint="default"/>
      </w:rPr>
    </w:lvl>
    <w:lvl w:ilvl="6">
      <w:start w:val="0"/>
      <w:numFmt w:val="bullet"/>
      <w:suff w:val="space"/>
      <w:lvlText w:val=""/>
      <w:lvlJc w:val="left"/>
      <w:pPr>
        <w:tabs>
          <w:tab w:val="num" w:pos="0"/>
        </w:tabs>
        <w:ind w:left="7154" w:hanging="701"/>
      </w:pPr>
      <w:rPr>
        <w:rFonts w:ascii="Symbol" w:hAnsi="Symbol" w:cs="Symbol" w:hint="default"/>
      </w:rPr>
    </w:lvl>
    <w:lvl w:ilvl="7">
      <w:start w:val="0"/>
      <w:numFmt w:val="bullet"/>
      <w:suff w:val="space"/>
      <w:lvlText w:val=""/>
      <w:lvlJc w:val="left"/>
      <w:pPr>
        <w:tabs>
          <w:tab w:val="num" w:pos="0"/>
        </w:tabs>
        <w:ind w:left="8197" w:hanging="701"/>
      </w:pPr>
      <w:rPr>
        <w:rFonts w:ascii="Symbol" w:hAnsi="Symbol" w:cs="Symbol" w:hint="default"/>
      </w:rPr>
    </w:lvl>
    <w:lvl w:ilvl="8">
      <w:start w:val="0"/>
      <w:numFmt w:val="bullet"/>
      <w:suff w:val="space"/>
      <w:lvlText w:val=""/>
      <w:lvlJc w:val="left"/>
      <w:pPr>
        <w:tabs>
          <w:tab w:val="num" w:pos="0"/>
        </w:tabs>
        <w:ind w:left="9239" w:hanging="701"/>
      </w:pPr>
      <w:rPr>
        <w:rFonts w:ascii="Symbol" w:hAnsi="Symbol" w:cs="Symbol" w:hint="default"/>
      </w:rPr>
    </w:lvl>
  </w:abstractNum>
  <w:abstractNum w:abstractNumId="7">
    <w:lvl w:ilvl="0">
      <w:start w:val="10"/>
      <w:numFmt w:val="decimal"/>
      <w:suff w:val="space"/>
      <w:lvlText w:val="%1"/>
      <w:lvlJc w:val="left"/>
      <w:pPr>
        <w:tabs>
          <w:tab w:val="num" w:pos="0"/>
        </w:tabs>
        <w:ind w:left="1468" w:hanging="669"/>
      </w:pPr>
      <w:rPr/>
    </w:lvl>
    <w:lvl w:ilvl="1">
      <w:start w:val="1"/>
      <w:numFmt w:val="decimal"/>
      <w:suff w:val="space"/>
      <w:lvlText w:val="%1.%2."/>
      <w:lvlJc w:val="left"/>
      <w:pPr>
        <w:tabs>
          <w:tab w:val="num" w:pos="0"/>
        </w:tabs>
        <w:ind w:left="1468" w:hanging="669"/>
      </w:pPr>
      <w:rPr/>
    </w:lvl>
    <w:lvl w:ilvl="2">
      <w:start w:val="1"/>
      <w:numFmt w:val="decimal"/>
      <w:suff w:val="space"/>
      <w:lvlText w:val="%1.%2.%3."/>
      <w:lvlJc w:val="left"/>
      <w:pPr>
        <w:tabs>
          <w:tab w:val="num" w:pos="0"/>
        </w:tabs>
        <w:ind w:left="1468" w:hanging="814"/>
      </w:pPr>
      <w:rPr>
        <w:sz w:val="24"/>
        <w:i w:val="false"/>
        <w:b w:val="false"/>
        <w:szCs w:val="24"/>
        <w:rFonts w:ascii="Arial MT" w:hAnsi="Arial MT" w:eastAsia="Arial MT" w:cs="Arial MT"/>
      </w:rPr>
    </w:lvl>
    <w:lvl w:ilvl="3">
      <w:start w:val="0"/>
      <w:numFmt w:val="bullet"/>
      <w:suff w:val="space"/>
      <w:lvlText w:val=""/>
      <w:lvlJc w:val="left"/>
      <w:pPr>
        <w:tabs>
          <w:tab w:val="num" w:pos="0"/>
        </w:tabs>
        <w:ind w:left="4419" w:hanging="817"/>
      </w:pPr>
      <w:rPr>
        <w:rFonts w:ascii="Symbol" w:hAnsi="Symbol" w:cs="Symbol" w:hint="default"/>
      </w:rPr>
    </w:lvl>
    <w:lvl w:ilvl="4">
      <w:start w:val="0"/>
      <w:numFmt w:val="bullet"/>
      <w:suff w:val="space"/>
      <w:lvlText w:val=""/>
      <w:lvlJc w:val="left"/>
      <w:pPr>
        <w:tabs>
          <w:tab w:val="num" w:pos="0"/>
        </w:tabs>
        <w:ind w:left="5406" w:hanging="817"/>
      </w:pPr>
      <w:rPr>
        <w:rFonts w:ascii="Symbol" w:hAnsi="Symbol" w:cs="Symbol" w:hint="default"/>
      </w:rPr>
    </w:lvl>
    <w:lvl w:ilvl="5">
      <w:start w:val="0"/>
      <w:numFmt w:val="bullet"/>
      <w:suff w:val="space"/>
      <w:lvlText w:val=""/>
      <w:lvlJc w:val="left"/>
      <w:pPr>
        <w:tabs>
          <w:tab w:val="num" w:pos="0"/>
        </w:tabs>
        <w:ind w:left="6392" w:hanging="817"/>
      </w:pPr>
      <w:rPr>
        <w:rFonts w:ascii="Symbol" w:hAnsi="Symbol" w:cs="Symbol" w:hint="default"/>
      </w:rPr>
    </w:lvl>
    <w:lvl w:ilvl="6">
      <w:start w:val="0"/>
      <w:numFmt w:val="bullet"/>
      <w:suff w:val="space"/>
      <w:lvlText w:val=""/>
      <w:lvlJc w:val="left"/>
      <w:pPr>
        <w:tabs>
          <w:tab w:val="num" w:pos="0"/>
        </w:tabs>
        <w:ind w:left="7379" w:hanging="817"/>
      </w:pPr>
      <w:rPr>
        <w:rFonts w:ascii="Symbol" w:hAnsi="Symbol" w:cs="Symbol" w:hint="default"/>
      </w:rPr>
    </w:lvl>
    <w:lvl w:ilvl="7">
      <w:start w:val="0"/>
      <w:numFmt w:val="bullet"/>
      <w:suff w:val="space"/>
      <w:lvlText w:val=""/>
      <w:lvlJc w:val="left"/>
      <w:pPr>
        <w:tabs>
          <w:tab w:val="num" w:pos="0"/>
        </w:tabs>
        <w:ind w:left="8365" w:hanging="817"/>
      </w:pPr>
      <w:rPr>
        <w:rFonts w:ascii="Symbol" w:hAnsi="Symbol" w:cs="Symbol" w:hint="default"/>
      </w:rPr>
    </w:lvl>
    <w:lvl w:ilvl="8">
      <w:start w:val="0"/>
      <w:numFmt w:val="bullet"/>
      <w:suff w:val="space"/>
      <w:lvlText w:val=""/>
      <w:lvlJc w:val="left"/>
      <w:pPr>
        <w:tabs>
          <w:tab w:val="num" w:pos="0"/>
        </w:tabs>
        <w:ind w:left="9352" w:hanging="817"/>
      </w:pPr>
      <w:rPr>
        <w:rFonts w:ascii="Symbol" w:hAnsi="Symbol" w:cs="Symbol" w:hint="default"/>
      </w:rPr>
    </w:lvl>
  </w:abstractNum>
  <w:abstractNum w:abstractNumId="8">
    <w:lvl w:ilvl="0">
      <w:start w:val="1"/>
      <w:numFmt w:val="bullet"/>
      <w:lvlText w:val=""/>
      <w:lvlJc w:val="left"/>
      <w:pPr>
        <w:tabs>
          <w:tab w:val="num" w:pos="2188"/>
        </w:tabs>
        <w:ind w:left="2188" w:hanging="360"/>
      </w:pPr>
      <w:rPr>
        <w:rFonts w:ascii="Symbol" w:hAnsi="Symbol" w:cs="Symbol" w:hint="default"/>
      </w:rPr>
    </w:lvl>
    <w:lvl w:ilvl="1">
      <w:start w:val="1"/>
      <w:numFmt w:val="bullet"/>
      <w:lvlText w:val="◦"/>
      <w:lvlJc w:val="left"/>
      <w:pPr>
        <w:tabs>
          <w:tab w:val="num" w:pos="2548"/>
        </w:tabs>
        <w:ind w:left="2548" w:hanging="360"/>
      </w:pPr>
      <w:rPr>
        <w:rFonts w:ascii="OpenSymbol" w:hAnsi="OpenSymbol" w:cs="OpenSymbol" w:hint="default"/>
      </w:rPr>
    </w:lvl>
    <w:lvl w:ilvl="2">
      <w:start w:val="1"/>
      <w:numFmt w:val="bullet"/>
      <w:lvlText w:val="▪"/>
      <w:lvlJc w:val="left"/>
      <w:pPr>
        <w:tabs>
          <w:tab w:val="num" w:pos="2908"/>
        </w:tabs>
        <w:ind w:left="2908" w:hanging="360"/>
      </w:pPr>
      <w:rPr>
        <w:rFonts w:ascii="OpenSymbol" w:hAnsi="OpenSymbol" w:cs="OpenSymbol" w:hint="default"/>
      </w:rPr>
    </w:lvl>
    <w:lvl w:ilvl="3">
      <w:start w:val="1"/>
      <w:numFmt w:val="bullet"/>
      <w:lvlText w:val=""/>
      <w:lvlJc w:val="left"/>
      <w:pPr>
        <w:tabs>
          <w:tab w:val="num" w:pos="3268"/>
        </w:tabs>
        <w:ind w:left="3268" w:hanging="360"/>
      </w:pPr>
      <w:rPr>
        <w:rFonts w:ascii="Symbol" w:hAnsi="Symbol" w:cs="Symbol" w:hint="default"/>
      </w:rPr>
    </w:lvl>
    <w:lvl w:ilvl="4">
      <w:start w:val="1"/>
      <w:numFmt w:val="bullet"/>
      <w:lvlText w:val="◦"/>
      <w:lvlJc w:val="left"/>
      <w:pPr>
        <w:tabs>
          <w:tab w:val="num" w:pos="3628"/>
        </w:tabs>
        <w:ind w:left="3628" w:hanging="360"/>
      </w:pPr>
      <w:rPr>
        <w:rFonts w:ascii="OpenSymbol" w:hAnsi="OpenSymbol" w:cs="OpenSymbol" w:hint="default"/>
      </w:rPr>
    </w:lvl>
    <w:lvl w:ilvl="5">
      <w:start w:val="1"/>
      <w:numFmt w:val="bullet"/>
      <w:lvlText w:val="▪"/>
      <w:lvlJc w:val="left"/>
      <w:pPr>
        <w:tabs>
          <w:tab w:val="num" w:pos="3988"/>
        </w:tabs>
        <w:ind w:left="3988" w:hanging="360"/>
      </w:pPr>
      <w:rPr>
        <w:rFonts w:ascii="OpenSymbol" w:hAnsi="OpenSymbol" w:cs="OpenSymbol" w:hint="default"/>
      </w:rPr>
    </w:lvl>
    <w:lvl w:ilvl="6">
      <w:start w:val="1"/>
      <w:numFmt w:val="bullet"/>
      <w:lvlText w:val=""/>
      <w:lvlJc w:val="left"/>
      <w:pPr>
        <w:tabs>
          <w:tab w:val="num" w:pos="4348"/>
        </w:tabs>
        <w:ind w:left="4348" w:hanging="360"/>
      </w:pPr>
      <w:rPr>
        <w:rFonts w:ascii="Symbol" w:hAnsi="Symbol" w:cs="Symbol" w:hint="default"/>
      </w:rPr>
    </w:lvl>
    <w:lvl w:ilvl="7">
      <w:start w:val="1"/>
      <w:numFmt w:val="bullet"/>
      <w:lvlText w:val="◦"/>
      <w:lvlJc w:val="left"/>
      <w:pPr>
        <w:tabs>
          <w:tab w:val="num" w:pos="4708"/>
        </w:tabs>
        <w:ind w:left="4708" w:hanging="360"/>
      </w:pPr>
      <w:rPr>
        <w:rFonts w:ascii="OpenSymbol" w:hAnsi="OpenSymbol" w:cs="OpenSymbol" w:hint="default"/>
      </w:rPr>
    </w:lvl>
    <w:lvl w:ilvl="8">
      <w:start w:val="1"/>
      <w:numFmt w:val="bullet"/>
      <w:lvlText w:val="▪"/>
      <w:lvlJc w:val="left"/>
      <w:pPr>
        <w:tabs>
          <w:tab w:val="num" w:pos="5068"/>
        </w:tabs>
        <w:ind w:left="5068" w:hanging="360"/>
      </w:pPr>
      <w:rPr>
        <w:rFonts w:ascii="OpenSymbol" w:hAnsi="OpenSymbol" w:cs="OpenSymbol"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MT" w:hAnsi="Arial MT" w:eastAsia="Arial MT" w:cs="Arial MT"/>
        <w:sz w:val="22"/>
        <w:szCs w:val="22"/>
        <w:lang w:val="pt-PT" w:eastAsia="zh-CN"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ar-SA"/>
    </w:rPr>
  </w:style>
  <w:style w:type="paragraph" w:styleId="Ttulo1">
    <w:name w:val="Heading 1"/>
    <w:basedOn w:val="Normal"/>
    <w:uiPriority w:val="9"/>
    <w:qFormat/>
    <w:pPr>
      <w:ind w:left="2" w:hanging="0"/>
      <w:outlineLvl w:val="0"/>
    </w:pPr>
    <w:rPr>
      <w:rFonts w:ascii="Arial" w:hAnsi="Arial" w:eastAsia="Arial" w:cs="Arial"/>
      <w:b/>
      <w:bCs/>
      <w:sz w:val="24"/>
      <w:szCs w:val="24"/>
    </w:rPr>
  </w:style>
  <w:style w:type="paragraph" w:styleId="Ttulo2">
    <w:name w:val="Heading 2"/>
    <w:basedOn w:val="Normal"/>
    <w:uiPriority w:val="9"/>
    <w:unhideWhenUsed/>
    <w:qFormat/>
    <w:pPr>
      <w:ind w:left="1934" w:hanging="466"/>
      <w:outlineLvl w:val="1"/>
    </w:pPr>
    <w:rPr>
      <w:rFonts w:ascii="Arial" w:hAnsi="Arial" w:eastAsia="Arial" w:cs="Arial"/>
      <w:b/>
      <w:bCs/>
      <w:sz w:val="24"/>
      <w:szCs w:val="24"/>
    </w:rPr>
  </w:style>
  <w:style w:type="paragraph" w:styleId="Ttulo3">
    <w:name w:val="Heading 3"/>
    <w:basedOn w:val="Normal"/>
    <w:uiPriority w:val="9"/>
    <w:semiHidden/>
    <w:unhideWhenUsed/>
    <w:qFormat/>
    <w:pPr>
      <w:keepNext w:val="true"/>
      <w:keepLines/>
      <w:spacing w:before="280" w:after="80"/>
      <w:outlineLvl w:val="2"/>
    </w:pPr>
    <w:rPr>
      <w:b/>
      <w:sz w:val="28"/>
      <w:szCs w:val="28"/>
    </w:rPr>
  </w:style>
  <w:style w:type="paragraph" w:styleId="Ttulo4">
    <w:name w:val="Heading 4"/>
    <w:basedOn w:val="Normal"/>
    <w:uiPriority w:val="9"/>
    <w:semiHidden/>
    <w:unhideWhenUsed/>
    <w:qFormat/>
    <w:pPr>
      <w:keepNext w:val="true"/>
      <w:keepLines/>
      <w:spacing w:before="240" w:after="40"/>
      <w:outlineLvl w:val="3"/>
    </w:pPr>
    <w:rPr>
      <w:b/>
      <w:sz w:val="24"/>
      <w:szCs w:val="24"/>
    </w:rPr>
  </w:style>
  <w:style w:type="paragraph" w:styleId="Ttulo5">
    <w:name w:val="Heading 5"/>
    <w:basedOn w:val="Normal"/>
    <w:uiPriority w:val="9"/>
    <w:semiHidden/>
    <w:unhideWhenUsed/>
    <w:qFormat/>
    <w:pPr>
      <w:keepNext w:val="true"/>
      <w:keepLines/>
      <w:spacing w:before="220" w:after="40"/>
      <w:outlineLvl w:val="4"/>
    </w:pPr>
    <w:rPr>
      <w:b/>
    </w:rPr>
  </w:style>
  <w:style w:type="paragraph" w:styleId="Ttulo6">
    <w:name w:val="Heading 6"/>
    <w:basedOn w:val="Normal"/>
    <w:uiPriority w:val="9"/>
    <w:semiHidden/>
    <w:unhideWhenUsed/>
    <w:qFormat/>
    <w:pPr>
      <w:keepNext w:val="true"/>
      <w:keepLines/>
      <w:spacing w:before="200" w:after="40"/>
      <w:outlineLvl w:val="5"/>
    </w:pPr>
    <w:rPr>
      <w:b/>
      <w:sz w:val="20"/>
      <w:szCs w:val="20"/>
    </w:rPr>
  </w:style>
  <w:style w:type="paragraph" w:styleId="Ttulo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Ttulo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Ttulo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FootnoteTextChar">
    <w:name w:val="Footnote Text Char"/>
    <w:uiPriority w:val="99"/>
    <w:qFormat/>
    <w:rPr>
      <w:sz w:val="18"/>
    </w:rPr>
  </w:style>
  <w:style w:type="character" w:styleId="Ncoradanotaderodap">
    <w:name w:val="Âncora da nota de rodapé"/>
    <w:rPr>
      <w:vertAlign w:val="superscript"/>
    </w:rPr>
  </w:style>
  <w:style w:type="character" w:styleId="FootnoteCharacters">
    <w:name w:val="Footnote Characters"/>
    <w:uiPriority w:val="99"/>
    <w:unhideWhenUsed/>
    <w:qFormat/>
    <w:rPr>
      <w:vertAlign w:val="superscript"/>
    </w:rPr>
  </w:style>
  <w:style w:type="character" w:styleId="EndnoteTextChar">
    <w:name w:val="Endnote Text Char"/>
    <w:uiPriority w:val="99"/>
    <w:qFormat/>
    <w:rPr>
      <w:sz w:val="20"/>
    </w:rPr>
  </w:style>
  <w:style w:type="character" w:styleId="Ncoradanotadefim">
    <w:name w:val="Âncora da nota de fim"/>
    <w:rPr>
      <w:vertAlign w:val="superscript"/>
    </w:rPr>
  </w:style>
  <w:style w:type="character" w:styleId="EndnoteCharacters">
    <w:name w:val="Endnote Characters"/>
    <w:uiPriority w:val="99"/>
    <w:semiHidden/>
    <w:unhideWhenUsed/>
    <w:qFormat/>
    <w:rPr>
      <w:vertAlign w:val="superscript"/>
    </w:rPr>
  </w:style>
  <w:style w:type="character" w:styleId="DefaultParagraphFont" w:default="1">
    <w:name w:val="Default Paragraph Font"/>
    <w:uiPriority w:val="1"/>
    <w:semiHidden/>
    <w:unhideWhenUsed/>
    <w:qFormat/>
    <w:rPr/>
  </w:style>
  <w:style w:type="character" w:styleId="LinkdaInternet">
    <w:name w:val="Link da Internet"/>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qFormat/>
    <w:rPr>
      <w:color w:val="605E5C"/>
      <w:shd w:fill="E1DFDD" w:val="clear"/>
    </w:rPr>
  </w:style>
  <w:style w:type="character" w:styleId="Linkdainternetvisitado">
    <w:name w:val="Link da internet visitado"/>
    <w:basedOn w:val="DefaultParagraphFont"/>
    <w:uiPriority w:val="99"/>
    <w:semiHidden/>
    <w:unhideWhenUsed/>
    <w:rPr>
      <w:color w:val="800080" w:themeColor="followedHyperlink"/>
      <w:u w:val="single"/>
    </w:rPr>
  </w:style>
  <w:style w:type="character" w:styleId="Annotationreference">
    <w:name w:val="annotation reference"/>
    <w:basedOn w:val="DefaultParagraphFont"/>
    <w:uiPriority w:val="99"/>
    <w:semiHidden/>
    <w:unhideWhenUsed/>
    <w:qFormat/>
    <w:rPr>
      <w:sz w:val="16"/>
      <w:szCs w:val="16"/>
    </w:rPr>
  </w:style>
  <w:style w:type="character" w:styleId="CommentTextChar" w:customStyle="1">
    <w:name w:val="Comment Text Char"/>
    <w:basedOn w:val="DefaultParagraphFont"/>
    <w:uiPriority w:val="99"/>
    <w:semiHidden/>
    <w:qFormat/>
    <w:rPr>
      <w:rFonts w:ascii="Arial MT" w:hAnsi="Arial MT" w:eastAsia="Arial MT" w:cs="Arial MT"/>
      <w:sz w:val="20"/>
      <w:szCs w:val="20"/>
      <w:lang w:val="pt-PT"/>
    </w:rPr>
  </w:style>
  <w:style w:type="character" w:styleId="CommentSubjectChar" w:customStyle="1">
    <w:name w:val="Comment Subject Char"/>
    <w:basedOn w:val="CommentTextChar"/>
    <w:uiPriority w:val="99"/>
    <w:semiHidden/>
    <w:qFormat/>
    <w:rPr>
      <w:rFonts w:ascii="Arial MT" w:hAnsi="Arial MT" w:eastAsia="Arial MT" w:cs="Arial MT"/>
      <w:b/>
      <w:bCs/>
      <w:sz w:val="20"/>
      <w:szCs w:val="20"/>
      <w:lang w:val="pt-PT"/>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sz w:val="24"/>
      <w:szCs w:val="24"/>
    </w:rPr>
  </w:style>
  <w:style w:type="paragraph" w:styleId="Lista">
    <w:name w:val="List"/>
    <w:basedOn w:val="Corpodotexto"/>
    <w:pPr/>
    <w:rPr>
      <w:rFonts w:cs="Arial"/>
    </w:rPr>
  </w:style>
  <w:style w:type="paragraph" w:styleId="Legenda">
    <w:name w:val="Caption"/>
    <w:basedOn w:val="Normal"/>
    <w:uiPriority w:val="35"/>
    <w:semiHidden/>
    <w:unhideWhenUsed/>
    <w:qFormat/>
    <w:pPr>
      <w:spacing w:lineRule="auto" w:line="276"/>
    </w:pPr>
    <w:rPr>
      <w:b/>
      <w:bCs/>
      <w:color w:val="4F81BD" w:themeColor="accent1"/>
      <w:sz w:val="18"/>
      <w:szCs w:val="18"/>
    </w:rPr>
  </w:style>
  <w:style w:type="paragraph" w:styleId="Ndice">
    <w:name w:val="Índice"/>
    <w:basedOn w:val="Normal"/>
    <w:qFormat/>
    <w:pPr>
      <w:suppressLineNumbers/>
    </w:pPr>
    <w:rPr>
      <w:rFonts w:cs="Arial"/>
      <w:lang w:val="zxx" w:eastAsia="zxx" w:bidi="zxx"/>
    </w:rPr>
  </w:style>
  <w:style w:type="paragraph" w:styleId="NoSpacing">
    <w:name w:val="No Spacing"/>
    <w:uiPriority w:val="1"/>
    <w:qFormat/>
    <w:pPr>
      <w:widowControl w:val="false"/>
      <w:suppressAutoHyphens w:val="true"/>
      <w:bidi w:val="0"/>
      <w:spacing w:lineRule="auto" w:line="240" w:before="0" w:after="0"/>
      <w:jc w:val="left"/>
    </w:pPr>
    <w:rPr>
      <w:rFonts w:ascii="Arial MT" w:hAnsi="Arial MT" w:eastAsia="Arial MT" w:cs="Arial MT"/>
      <w:color w:val="auto"/>
      <w:kern w:val="0"/>
      <w:sz w:val="22"/>
      <w:szCs w:val="22"/>
      <w:lang w:val="pt-PT" w:eastAsia="zh-CN" w:bidi="ar-SA"/>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hanging="0"/>
    </w:pPr>
    <w:rPr>
      <w:i/>
    </w:rPr>
  </w:style>
  <w:style w:type="paragraph" w:styleId="CabealhoeRodap">
    <w:name w:val="Cabeçalho e Rodapé"/>
    <w:basedOn w:val="Normal"/>
    <w:qFormat/>
    <w:pPr/>
    <w:rPr/>
  </w:style>
  <w:style w:type="paragraph" w:styleId="Cabealho">
    <w:name w:val="Header"/>
    <w:basedOn w:val="Normal"/>
    <w:uiPriority w:val="99"/>
    <w:unhideWhenUsed/>
    <w:pPr>
      <w:tabs>
        <w:tab w:val="clear" w:pos="720"/>
        <w:tab w:val="center" w:pos="7143" w:leader="none"/>
        <w:tab w:val="right" w:pos="14287" w:leader="none"/>
      </w:tabs>
      <w:spacing w:lineRule="auto" w:line="240" w:before="0" w:after="0"/>
    </w:pPr>
    <w:rPr/>
  </w:style>
  <w:style w:type="paragraph" w:styleId="Rodap">
    <w:name w:val="Footer"/>
    <w:basedOn w:val="Normal"/>
    <w:uiPriority w:val="99"/>
    <w:unhideWhenUsed/>
    <w:pPr>
      <w:tabs>
        <w:tab w:val="clear" w:pos="720"/>
        <w:tab w:val="center" w:pos="7143" w:leader="none"/>
        <w:tab w:val="right" w:pos="14287" w:leader="none"/>
      </w:tabs>
      <w:spacing w:lineRule="auto" w:line="240" w:before="0" w:after="0"/>
    </w:pPr>
    <w:rPr/>
  </w:style>
  <w:style w:type="paragraph" w:styleId="Notaderodap">
    <w:name w:val="Footnote Text"/>
    <w:basedOn w:val="Normal"/>
    <w:uiPriority w:val="99"/>
    <w:semiHidden/>
    <w:unhideWhenUsed/>
    <w:pPr>
      <w:spacing w:lineRule="auto" w:line="240" w:before="0" w:after="40"/>
    </w:pPr>
    <w:rPr>
      <w:sz w:val="18"/>
    </w:rPr>
  </w:style>
  <w:style w:type="paragraph" w:styleId="Notadefim">
    <w:name w:val="Endnote Text"/>
    <w:basedOn w:val="Normal"/>
    <w:uiPriority w:val="99"/>
    <w:semiHidden/>
    <w:unhideWhenUsed/>
    <w:pPr>
      <w:spacing w:lineRule="auto" w:line="240" w:before="0" w:after="0"/>
    </w:pPr>
    <w:rPr>
      <w:sz w:val="20"/>
    </w:rPr>
  </w:style>
  <w:style w:type="paragraph" w:styleId="Sumrio1">
    <w:name w:val="TOC 1"/>
    <w:basedOn w:val="Normal"/>
    <w:uiPriority w:val="39"/>
    <w:unhideWhenUsed/>
    <w:pPr>
      <w:spacing w:before="0" w:after="57"/>
      <w:ind w:left="0" w:right="0" w:hanging="0"/>
    </w:pPr>
    <w:rPr/>
  </w:style>
  <w:style w:type="paragraph" w:styleId="Sumrio2">
    <w:name w:val="TOC 2"/>
    <w:basedOn w:val="Normal"/>
    <w:uiPriority w:val="39"/>
    <w:unhideWhenUsed/>
    <w:pPr>
      <w:spacing w:before="0" w:after="57"/>
      <w:ind w:left="283" w:right="0" w:hanging="0"/>
    </w:pPr>
    <w:rPr/>
  </w:style>
  <w:style w:type="paragraph" w:styleId="Sumrio3">
    <w:name w:val="TOC 3"/>
    <w:basedOn w:val="Normal"/>
    <w:uiPriority w:val="39"/>
    <w:unhideWhenUsed/>
    <w:pPr>
      <w:spacing w:before="0" w:after="57"/>
      <w:ind w:left="567" w:right="0" w:hanging="0"/>
    </w:pPr>
    <w:rPr/>
  </w:style>
  <w:style w:type="paragraph" w:styleId="Sumrio4">
    <w:name w:val="TOC 4"/>
    <w:basedOn w:val="Normal"/>
    <w:uiPriority w:val="39"/>
    <w:unhideWhenUsed/>
    <w:pPr>
      <w:spacing w:before="0" w:after="57"/>
      <w:ind w:left="850" w:right="0" w:hanging="0"/>
    </w:pPr>
    <w:rPr/>
  </w:style>
  <w:style w:type="paragraph" w:styleId="Sumrio5">
    <w:name w:val="TOC 5"/>
    <w:basedOn w:val="Normal"/>
    <w:uiPriority w:val="39"/>
    <w:unhideWhenUsed/>
    <w:pPr>
      <w:spacing w:before="0" w:after="57"/>
      <w:ind w:left="1134" w:right="0" w:hanging="0"/>
    </w:pPr>
    <w:rPr/>
  </w:style>
  <w:style w:type="paragraph" w:styleId="Sumrio6">
    <w:name w:val="TOC 6"/>
    <w:basedOn w:val="Normal"/>
    <w:uiPriority w:val="39"/>
    <w:unhideWhenUsed/>
    <w:pPr>
      <w:spacing w:before="0" w:after="57"/>
      <w:ind w:left="1417" w:right="0" w:hanging="0"/>
    </w:pPr>
    <w:rPr/>
  </w:style>
  <w:style w:type="paragraph" w:styleId="Sumrio7">
    <w:name w:val="TOC 7"/>
    <w:basedOn w:val="Normal"/>
    <w:uiPriority w:val="39"/>
    <w:unhideWhenUsed/>
    <w:pPr>
      <w:spacing w:before="0" w:after="57"/>
      <w:ind w:left="1701" w:right="0" w:hanging="0"/>
    </w:pPr>
    <w:rPr/>
  </w:style>
  <w:style w:type="paragraph" w:styleId="Sumrio8">
    <w:name w:val="TOC 8"/>
    <w:basedOn w:val="Normal"/>
    <w:uiPriority w:val="39"/>
    <w:unhideWhenUsed/>
    <w:pPr>
      <w:spacing w:before="0" w:after="57"/>
      <w:ind w:left="1984" w:right="0" w:hanging="0"/>
    </w:pPr>
    <w:rPr/>
  </w:style>
  <w:style w:type="paragraph" w:styleId="Sumrio9">
    <w:name w:val="TOC 9"/>
    <w:basedOn w:val="Normal"/>
    <w:uiPriority w:val="39"/>
    <w:unhideWhenUsed/>
    <w:pPr>
      <w:spacing w:before="0" w:after="57"/>
      <w:ind w:left="2268" w:right="0" w:hanging="0"/>
    </w:pPr>
    <w:rPr/>
  </w:style>
  <w:style w:type="paragraph" w:styleId="Ttulodondicealfabtico">
    <w:name w:val="Index Heading"/>
    <w:basedOn w:val="Ttulo"/>
    <w:pPr/>
    <w:rPr/>
  </w:style>
  <w:style w:type="paragraph" w:styleId="Ttulodosumrio">
    <w:name w:val="TOC Heading"/>
    <w:uiPriority w:val="39"/>
    <w:unhideWhenUsed/>
    <w:pPr>
      <w:widowControl w:val="false"/>
      <w:suppressAutoHyphens w:val="true"/>
      <w:bidi w:val="0"/>
      <w:spacing w:before="0" w:after="0"/>
      <w:jc w:val="left"/>
    </w:pPr>
    <w:rPr>
      <w:rFonts w:ascii="Arial MT" w:hAnsi="Arial MT" w:eastAsia="Arial MT" w:cs="Arial MT"/>
      <w:color w:val="auto"/>
      <w:kern w:val="0"/>
      <w:sz w:val="22"/>
      <w:szCs w:val="22"/>
      <w:lang w:val="pt-PT" w:eastAsia="zh-CN" w:bidi="ar-SA"/>
    </w:rPr>
  </w:style>
  <w:style w:type="paragraph" w:styleId="Tableoffigures">
    <w:name w:val="table of figures"/>
    <w:basedOn w:val="Normal"/>
    <w:uiPriority w:val="99"/>
    <w:unhideWhenUsed/>
    <w:qFormat/>
    <w:pPr>
      <w:spacing w:before="0" w:afterAutospacing="0" w:after="0"/>
    </w:pPr>
    <w:rPr/>
  </w:style>
  <w:style w:type="paragraph" w:styleId="Ttulododocumento">
    <w:name w:val="Title"/>
    <w:basedOn w:val="Normal"/>
    <w:uiPriority w:val="10"/>
    <w:qFormat/>
    <w:pPr>
      <w:keepNext w:val="true"/>
      <w:keepLines/>
      <w:spacing w:before="480" w:after="120"/>
    </w:pPr>
    <w:rPr>
      <w:b/>
      <w:sz w:val="72"/>
      <w:szCs w:val="72"/>
    </w:rPr>
  </w:style>
  <w:style w:type="paragraph" w:styleId="ListParagraph">
    <w:name w:val="List Paragraph"/>
    <w:basedOn w:val="Normal"/>
    <w:uiPriority w:val="1"/>
    <w:qFormat/>
    <w:pPr>
      <w:ind w:left="1468" w:hanging="0"/>
      <w:jc w:val="both"/>
    </w:pPr>
    <w:rPr/>
  </w:style>
  <w:style w:type="paragraph" w:styleId="TableParagraph" w:customStyle="1">
    <w:name w:val="Table Paragraph"/>
    <w:basedOn w:val="Normal"/>
    <w:uiPriority w:val="1"/>
    <w:qFormat/>
    <w:pPr>
      <w:jc w:val="center"/>
    </w:pPr>
    <w:rPr/>
  </w:style>
  <w:style w:type="paragraph" w:styleId="Annotationtext">
    <w:name w:val="annotation text"/>
    <w:basedOn w:val="Normal"/>
    <w:uiPriority w:val="99"/>
    <w:semiHidden/>
    <w:unhideWhenUsed/>
    <w:qFormat/>
    <w:pPr/>
    <w:rPr>
      <w:sz w:val="20"/>
      <w:szCs w:val="20"/>
    </w:rPr>
  </w:style>
  <w:style w:type="paragraph" w:styleId="Annotationsubject">
    <w:name w:val="annotation subject"/>
    <w:basedOn w:val="Annotationtext"/>
    <w:uiPriority w:val="99"/>
    <w:semiHidden/>
    <w:unhideWhenUsed/>
    <w:qFormat/>
    <w:pPr/>
    <w:rPr>
      <w:b/>
      <w:bCs/>
    </w:rPr>
  </w:style>
  <w:style w:type="paragraph" w:styleId="Subttulo">
    <w:name w:val="Subtitle"/>
    <w:basedOn w:val="Normal"/>
    <w:qFormat/>
    <w:pPr>
      <w:keepNext w:val="true"/>
      <w:keepLines/>
      <w:spacing w:before="360" w:after="80"/>
    </w:pPr>
    <w:rPr>
      <w:rFonts w:ascii="Georgia" w:hAnsi="Georgia" w:eastAsia="Georgia" w:cs="Georgia"/>
      <w:i/>
      <w:color w:val="666666"/>
      <w:sz w:val="48"/>
      <w:szCs w:val="48"/>
    </w:rPr>
  </w:style>
  <w:style w:type="paragraph" w:styleId="Contedodoquadro">
    <w:name w:val="Conteúdo do quadro"/>
    <w:basedOn w:val="Normal"/>
    <w:qFormat/>
    <w:pPr/>
    <w:rPr/>
  </w:style>
  <w:style w:type="numbering" w:styleId="NoList" w:default="1">
    <w:name w:val="No List"/>
    <w:uiPriority w:val="99"/>
    <w:semiHidden/>
    <w:unhideWhenUsed/>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4hJRSefnsJD8MIZNL9Pa8GNYGVg==">CgMxLjAyDmguNXJtZTQ2ZnlrMXgxMg5oLjZqcDY4ZGp5N3BjZjIOaC4yaTB3NW11Z2RhbDg4AHIhMU1ZNm0ybjRzTHVyX0Y5NEJrSVFZX1NXZ0EzR2hzYUtW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67</TotalTime>
  <Application>LibreOffice/7.3.0.3$Windows_X86_64 LibreOffice_project/0f246aa12d0eee4a0f7adcefbf7c878fc2238db3</Application>
  <AppVersion>15.0000</AppVersion>
  <Pages>13</Pages>
  <Words>3860</Words>
  <Characters>22008</Characters>
  <CharactersWithSpaces>25593</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2024-01-22T19:11:00Z</dcterms:created>
  <dc:creator/>
  <dc:description/>
  <dc:language>pt-BR</dc:language>
  <cp:lastModifiedBy/>
  <cp:lastPrinted>2024-02-09T11:28:47Z</cp:lastPrinted>
  <dcterms:modified xsi:type="dcterms:W3CDTF">2024-02-09T12:34:45Z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2024-01-22T00:00:00Z</vt:filetime>
  </property>
  <property fmtid="{D5CDD505-2E9C-101B-9397-08002B2CF9AE}" pid="3" name="Creator">
    <vt:lpwstr>PDFium</vt:lpwstr>
  </property>
  <property fmtid="{D5CDD505-2E9C-101B-9397-08002B2CF9AE}" pid="4" name="LastSaved">
    <vt:filetime>2024-01-22T00:00:00Z</vt:filetime>
  </property>
  <property fmtid="{D5CDD505-2E9C-101B-9397-08002B2CF9AE}" pid="5" name="Producer">
    <vt:lpwstr>PDFium</vt:lpwstr>
  </property>
</Properties>
</file>