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C63806" w14:textId="77777777" w:rsidR="00A06A27" w:rsidRDefault="00A06A27">
      <w:pPr>
        <w:ind w:firstLine="709"/>
        <w:jc w:val="center"/>
        <w:rPr>
          <w:b/>
        </w:rPr>
      </w:pPr>
      <w:bookmarkStart w:id="0" w:name="_Hlk82471863"/>
    </w:p>
    <w:p w14:paraId="2CAE698B" w14:textId="4E15B209" w:rsidR="00165626" w:rsidRPr="00195302" w:rsidRDefault="00165626" w:rsidP="00165626">
      <w:pPr>
        <w:jc w:val="center"/>
        <w:rPr>
          <w:rFonts w:ascii="Arial" w:eastAsia="Times New Roman" w:hAnsi="Arial" w:cs="Arial"/>
          <w:b/>
          <w:sz w:val="20"/>
          <w:szCs w:val="20"/>
        </w:rPr>
      </w:pPr>
      <w:r>
        <w:rPr>
          <w:rFonts w:ascii="Arial" w:hAnsi="Arial" w:cs="Arial"/>
          <w:b/>
          <w:bCs/>
          <w:sz w:val="20"/>
          <w:szCs w:val="20"/>
        </w:rPr>
        <w:t>SECRETARIA MUNICIPAL DE SAÚDE</w:t>
      </w:r>
    </w:p>
    <w:p w14:paraId="4D54C2B2" w14:textId="208DDF57" w:rsidR="00A06A27" w:rsidRPr="00DE3DFC" w:rsidRDefault="00165626" w:rsidP="00DE3DFC">
      <w:pPr>
        <w:spacing w:before="120" w:afterLines="120" w:after="288" w:line="312" w:lineRule="auto"/>
        <w:jc w:val="center"/>
        <w:rPr>
          <w:rFonts w:ascii="Arial" w:hAnsi="Arial" w:cs="Arial"/>
          <w:bCs/>
          <w:color w:val="000000"/>
          <w:sz w:val="20"/>
          <w:szCs w:val="20"/>
        </w:rPr>
      </w:pPr>
      <w:r w:rsidRPr="001E75FC">
        <w:rPr>
          <w:rFonts w:ascii="Arial" w:hAnsi="Arial" w:cs="Arial"/>
          <w:color w:val="000000" w:themeColor="text1"/>
          <w:sz w:val="20"/>
          <w:szCs w:val="20"/>
        </w:rPr>
        <w:t>(Processo Administrativo n°</w:t>
      </w:r>
      <w:r>
        <w:rPr>
          <w:rFonts w:ascii="Arial" w:hAnsi="Arial" w:cs="Arial"/>
          <w:color w:val="000000" w:themeColor="text1"/>
          <w:sz w:val="20"/>
          <w:szCs w:val="20"/>
        </w:rPr>
        <w:t xml:space="preserve"> </w:t>
      </w:r>
      <w:r>
        <w:rPr>
          <w:rFonts w:ascii="Arial" w:hAnsi="Arial" w:cs="Arial"/>
          <w:color w:val="000000" w:themeColor="text1"/>
          <w:sz w:val="20"/>
          <w:szCs w:val="20"/>
        </w:rPr>
        <w:t>2024/02/3268</w:t>
      </w:r>
      <w:r w:rsidRPr="001E75FC">
        <w:rPr>
          <w:rFonts w:ascii="Arial" w:hAnsi="Arial" w:cs="Arial"/>
          <w:color w:val="000000" w:themeColor="text1"/>
          <w:sz w:val="20"/>
          <w:szCs w:val="20"/>
        </w:rPr>
        <w:t>)</w:t>
      </w:r>
    </w:p>
    <w:p w14:paraId="47BE00CD" w14:textId="77777777" w:rsidR="00A06A27" w:rsidRDefault="00000000">
      <w:pPr>
        <w:pStyle w:val="Nivel01"/>
        <w:rPr>
          <w:rFonts w:eastAsia="Arial"/>
        </w:rPr>
      </w:pPr>
      <w:r>
        <w:t>CONDIÇÕES GERAIS DA CONTRATAÇÃO</w:t>
      </w:r>
    </w:p>
    <w:p w14:paraId="5F31A604" w14:textId="472008EF" w:rsidR="00A06A27" w:rsidRDefault="00000000">
      <w:pPr>
        <w:pStyle w:val="Nivel2"/>
        <w:rPr>
          <w:b/>
          <w:bCs/>
        </w:rPr>
      </w:pPr>
      <w:r>
        <w:rPr>
          <w:color w:val="auto"/>
        </w:rPr>
        <w:t>Aquisição de TESTE RÁPIDO PARA DIAGNÓSTICO DA DENGUE, em carácter de urgência, para atender as demandas da Secretaria de Saúde, pelo período de 6</w:t>
      </w:r>
      <w:r w:rsidR="00D42B02">
        <w:rPr>
          <w:color w:val="auto"/>
        </w:rPr>
        <w:t xml:space="preserve"> </w:t>
      </w:r>
      <w:r>
        <w:rPr>
          <w:color w:val="auto"/>
        </w:rPr>
        <w:t xml:space="preserve">(seis) meses, nos termos da tabela abaixo: </w:t>
      </w:r>
    </w:p>
    <w:p w14:paraId="0EBAD6BA" w14:textId="77777777" w:rsidR="00A06A27" w:rsidRDefault="00A06A27">
      <w:pPr>
        <w:pStyle w:val="Nivel2"/>
        <w:numPr>
          <w:ilvl w:val="0"/>
          <w:numId w:val="0"/>
        </w:numPr>
        <w:rPr>
          <w:b/>
          <w:bCs/>
        </w:rPr>
      </w:pPr>
    </w:p>
    <w:tbl>
      <w:tblPr>
        <w:tblW w:w="11332"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5"/>
        <w:gridCol w:w="2853"/>
        <w:gridCol w:w="1276"/>
        <w:gridCol w:w="1417"/>
        <w:gridCol w:w="1843"/>
        <w:gridCol w:w="1559"/>
        <w:gridCol w:w="1559"/>
      </w:tblGrid>
      <w:tr w:rsidR="00A06A27" w14:paraId="39611828" w14:textId="77777777" w:rsidTr="00CC248B">
        <w:trPr>
          <w:trHeight w:val="361"/>
        </w:trPr>
        <w:tc>
          <w:tcPr>
            <w:tcW w:w="8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C9FC7E" w14:textId="0E520DDD" w:rsidR="00A06A27" w:rsidRDefault="00000000" w:rsidP="00CC248B">
            <w:pPr>
              <w:widowControl w:val="0"/>
              <w:spacing w:before="120" w:after="288" w:line="312" w:lineRule="auto"/>
              <w:jc w:val="center"/>
              <w:rPr>
                <w:rFonts w:ascii="Arial" w:eastAsia="Arial" w:hAnsi="Arial" w:cs="Arial"/>
                <w:b/>
                <w:bCs/>
                <w:color w:val="000000"/>
                <w:sz w:val="20"/>
                <w:szCs w:val="20"/>
              </w:rPr>
            </w:pPr>
            <w:r>
              <w:rPr>
                <w:rFonts w:ascii="Arial" w:eastAsia="Arial" w:hAnsi="Arial" w:cs="Arial"/>
                <w:b/>
                <w:bCs/>
                <w:color w:val="000000" w:themeColor="text1"/>
                <w:sz w:val="20"/>
                <w:szCs w:val="20"/>
              </w:rPr>
              <w:t>ITEM</w:t>
            </w:r>
          </w:p>
        </w:tc>
        <w:tc>
          <w:tcPr>
            <w:tcW w:w="285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E8340F" w14:textId="77777777" w:rsidR="00A06A27" w:rsidRDefault="00000000">
            <w:pPr>
              <w:widowControl w:val="0"/>
              <w:spacing w:before="120" w:after="288" w:line="312" w:lineRule="auto"/>
              <w:jc w:val="center"/>
              <w:rPr>
                <w:rFonts w:ascii="Arial" w:eastAsia="Arial" w:hAnsi="Arial" w:cs="Arial"/>
                <w:color w:val="000000"/>
                <w:sz w:val="20"/>
                <w:szCs w:val="20"/>
              </w:rPr>
            </w:pPr>
            <w:r>
              <w:rPr>
                <w:rFonts w:ascii="Arial" w:eastAsia="Arial" w:hAnsi="Arial" w:cs="Arial"/>
                <w:b/>
                <w:bCs/>
                <w:color w:val="000000" w:themeColor="text1"/>
                <w:sz w:val="20"/>
                <w:szCs w:val="20"/>
              </w:rPr>
              <w:t>ESPECIFICAÇÃO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21E577" w14:textId="77777777" w:rsidR="00A06A27" w:rsidRDefault="00000000">
            <w:pPr>
              <w:widowControl w:val="0"/>
              <w:spacing w:before="120" w:after="288" w:line="312" w:lineRule="auto"/>
              <w:jc w:val="center"/>
              <w:rPr>
                <w:rFonts w:ascii="Arial" w:eastAsia="Arial" w:hAnsi="Arial" w:cs="Arial"/>
                <w:color w:val="000000"/>
                <w:sz w:val="20"/>
                <w:szCs w:val="20"/>
              </w:rPr>
            </w:pPr>
            <w:r>
              <w:rPr>
                <w:rFonts w:ascii="Arial" w:eastAsia="Arial" w:hAnsi="Arial" w:cs="Arial"/>
                <w:b/>
                <w:bCs/>
                <w:color w:val="000000" w:themeColor="text1"/>
                <w:sz w:val="20"/>
                <w:szCs w:val="20"/>
              </w:rPr>
              <w:t>CATMAT</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6CBAAD" w14:textId="77777777" w:rsidR="00A06A27" w:rsidRDefault="00000000">
            <w:pPr>
              <w:widowControl w:val="0"/>
              <w:spacing w:before="120" w:after="288" w:line="312" w:lineRule="auto"/>
              <w:jc w:val="center"/>
              <w:rPr>
                <w:rFonts w:ascii="Arial" w:eastAsia="Arial" w:hAnsi="Arial" w:cs="Arial"/>
                <w:color w:val="000000"/>
                <w:sz w:val="20"/>
                <w:szCs w:val="20"/>
              </w:rPr>
            </w:pPr>
            <w:r>
              <w:rPr>
                <w:rFonts w:ascii="Arial" w:eastAsia="Arial" w:hAnsi="Arial" w:cs="Arial"/>
                <w:b/>
                <w:bCs/>
                <w:color w:val="000000" w:themeColor="text1"/>
                <w:sz w:val="20"/>
                <w:szCs w:val="20"/>
              </w:rPr>
              <w:t>UNIDADE DE MEDIDA</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4284C0" w14:textId="77777777" w:rsidR="00A06A27" w:rsidRDefault="00000000">
            <w:pPr>
              <w:widowControl w:val="0"/>
              <w:spacing w:before="120" w:after="288" w:line="312" w:lineRule="auto"/>
              <w:jc w:val="center"/>
              <w:rPr>
                <w:rFonts w:ascii="Arial" w:eastAsia="Arial" w:hAnsi="Arial" w:cs="Arial"/>
                <w:b/>
                <w:bCs/>
                <w:sz w:val="20"/>
                <w:szCs w:val="20"/>
              </w:rPr>
            </w:pPr>
            <w:r>
              <w:rPr>
                <w:rFonts w:ascii="Arial" w:eastAsia="Arial" w:hAnsi="Arial" w:cs="Arial"/>
                <w:b/>
                <w:bCs/>
                <w:sz w:val="20"/>
                <w:szCs w:val="20"/>
              </w:rPr>
              <w:t>QUANTIDADE</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4EB5DA4" w14:textId="77777777" w:rsidR="00A06A27" w:rsidRDefault="00000000">
            <w:pPr>
              <w:widowControl w:val="0"/>
              <w:spacing w:before="120" w:after="288" w:line="312" w:lineRule="auto"/>
              <w:jc w:val="center"/>
              <w:rPr>
                <w:rFonts w:ascii="Arial" w:eastAsia="Arial" w:hAnsi="Arial" w:cs="Arial"/>
                <w:b/>
                <w:bCs/>
                <w:sz w:val="20"/>
                <w:szCs w:val="20"/>
              </w:rPr>
            </w:pPr>
            <w:r>
              <w:rPr>
                <w:rFonts w:ascii="Arial" w:eastAsia="Arial" w:hAnsi="Arial" w:cs="Arial"/>
                <w:b/>
                <w:bCs/>
                <w:sz w:val="20"/>
                <w:szCs w:val="20"/>
              </w:rPr>
              <w:t>VALOR UNITÁRIO</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47436A4" w14:textId="77777777" w:rsidR="00A06A27" w:rsidRDefault="00000000">
            <w:pPr>
              <w:widowControl w:val="0"/>
              <w:spacing w:before="120" w:after="288" w:line="312" w:lineRule="auto"/>
              <w:jc w:val="center"/>
              <w:rPr>
                <w:rFonts w:ascii="Arial" w:eastAsia="Arial" w:hAnsi="Arial" w:cs="Arial"/>
                <w:b/>
                <w:bCs/>
                <w:sz w:val="20"/>
                <w:szCs w:val="20"/>
              </w:rPr>
            </w:pPr>
            <w:r>
              <w:rPr>
                <w:rFonts w:ascii="Arial" w:eastAsia="Arial" w:hAnsi="Arial" w:cs="Arial"/>
                <w:b/>
                <w:bCs/>
                <w:sz w:val="20"/>
                <w:szCs w:val="20"/>
              </w:rPr>
              <w:t>VALOR TOTAL</w:t>
            </w:r>
          </w:p>
        </w:tc>
      </w:tr>
      <w:tr w:rsidR="00A06A27" w14:paraId="6270EC3C" w14:textId="77777777">
        <w:tc>
          <w:tcPr>
            <w:tcW w:w="8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E8838E" w14:textId="77777777" w:rsidR="00A06A27" w:rsidRDefault="00000000">
            <w:pPr>
              <w:widowControl w:val="0"/>
              <w:spacing w:before="120" w:after="288" w:line="312" w:lineRule="auto"/>
              <w:jc w:val="center"/>
              <w:rPr>
                <w:rFonts w:ascii="Arial" w:eastAsia="Arial" w:hAnsi="Arial" w:cs="Arial"/>
                <w:b/>
                <w:bCs/>
                <w:color w:val="000000"/>
                <w:sz w:val="20"/>
                <w:szCs w:val="20"/>
              </w:rPr>
            </w:pPr>
            <w:r>
              <w:rPr>
                <w:rFonts w:ascii="Arial" w:eastAsia="Arial" w:hAnsi="Arial" w:cs="Arial"/>
                <w:b/>
                <w:bCs/>
                <w:color w:val="000000" w:themeColor="text1"/>
                <w:sz w:val="20"/>
                <w:szCs w:val="20"/>
              </w:rPr>
              <w:t>1</w:t>
            </w:r>
          </w:p>
        </w:tc>
        <w:tc>
          <w:tcPr>
            <w:tcW w:w="285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F0BD44C" w14:textId="140CB8F3" w:rsidR="00A06A27" w:rsidRDefault="00000000">
            <w:pPr>
              <w:widowControl w:val="0"/>
              <w:spacing w:before="120" w:after="288" w:line="312" w:lineRule="auto"/>
              <w:jc w:val="both"/>
              <w:rPr>
                <w:rFonts w:ascii="Arial" w:eastAsia="Arial" w:hAnsi="Arial" w:cs="Arial"/>
                <w:color w:val="000000"/>
                <w:sz w:val="18"/>
                <w:szCs w:val="18"/>
              </w:rPr>
            </w:pPr>
            <w:proofErr w:type="spellStart"/>
            <w:r>
              <w:rPr>
                <w:rFonts w:ascii="Arial" w:eastAsia="Arial" w:hAnsi="Arial" w:cs="Arial"/>
                <w:color w:val="000000"/>
                <w:sz w:val="18"/>
                <w:szCs w:val="18"/>
              </w:rPr>
              <w:t>Imunoensaio</w:t>
            </w:r>
            <w:proofErr w:type="spellEnd"/>
            <w:r>
              <w:rPr>
                <w:rFonts w:ascii="Arial" w:eastAsia="Arial" w:hAnsi="Arial" w:cs="Arial"/>
                <w:color w:val="000000"/>
                <w:sz w:val="18"/>
                <w:szCs w:val="18"/>
              </w:rPr>
              <w:t xml:space="preserve"> cromatográfico rápido para a deteção qualitativa do antígeno NS1 do vírus da dengue em amostras de sangue total, soro ou plasma, para auxiliar o diagnóstico das infecções por dengue. O teste contém partículas de anticorpo </w:t>
            </w:r>
            <w:proofErr w:type="spellStart"/>
            <w:r>
              <w:rPr>
                <w:rFonts w:ascii="Arial" w:eastAsia="Arial" w:hAnsi="Arial" w:cs="Arial"/>
                <w:color w:val="000000"/>
                <w:sz w:val="18"/>
                <w:szCs w:val="18"/>
              </w:rPr>
              <w:t>anti-dengue</w:t>
            </w:r>
            <w:proofErr w:type="spellEnd"/>
            <w:r>
              <w:rPr>
                <w:rFonts w:ascii="Arial" w:eastAsia="Arial" w:hAnsi="Arial" w:cs="Arial"/>
                <w:color w:val="000000"/>
                <w:sz w:val="18"/>
                <w:szCs w:val="18"/>
              </w:rPr>
              <w:t xml:space="preserve"> NS1 conjugado a ouro e anticorpo </w:t>
            </w:r>
            <w:proofErr w:type="spellStart"/>
            <w:r>
              <w:rPr>
                <w:rFonts w:ascii="Arial" w:eastAsia="Arial" w:hAnsi="Arial" w:cs="Arial"/>
                <w:color w:val="000000"/>
                <w:sz w:val="18"/>
                <w:szCs w:val="18"/>
              </w:rPr>
              <w:t>anti-dengue</w:t>
            </w:r>
            <w:proofErr w:type="spellEnd"/>
            <w:r>
              <w:rPr>
                <w:rFonts w:ascii="Arial" w:eastAsia="Arial" w:hAnsi="Arial" w:cs="Arial"/>
                <w:color w:val="000000"/>
                <w:sz w:val="18"/>
                <w:szCs w:val="18"/>
              </w:rPr>
              <w:t xml:space="preserve"> NS1 revestido na membrana. O teste deve ser armazenado em temperatura ambiente ou refrigerado (2 a 30ºC) e deve possuir data de validade de 24 meses a partir da data de fabricação, composto por 1 dispositivo de teste embalado individualmente e contendo sílica dessecante, 1 conta-gotas, 1 solução tampão e 1 instrução de uso. O teste deve possuir sensibilidade relativa de 95,8% e especificidade relativa de 96,2%.</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DC4F29" w14:textId="77777777" w:rsidR="00A06A27" w:rsidRDefault="00000000">
            <w:pPr>
              <w:widowControl w:val="0"/>
              <w:spacing w:before="120" w:after="288" w:line="312" w:lineRule="auto"/>
              <w:jc w:val="center"/>
              <w:rPr>
                <w:rFonts w:ascii="Arial" w:eastAsia="Arial" w:hAnsi="Arial" w:cs="Arial"/>
                <w:color w:val="000000"/>
                <w:sz w:val="20"/>
                <w:szCs w:val="20"/>
              </w:rPr>
            </w:pPr>
            <w:r>
              <w:rPr>
                <w:rFonts w:ascii="Arial" w:eastAsia="Arial" w:hAnsi="Arial" w:cs="Arial"/>
                <w:color w:val="000000"/>
                <w:sz w:val="20"/>
                <w:szCs w:val="20"/>
              </w:rPr>
              <w:t xml:space="preserve"> </w:t>
            </w:r>
          </w:p>
          <w:p w14:paraId="15D5B2C9" w14:textId="77777777" w:rsidR="00A06A27" w:rsidRDefault="00A06A27">
            <w:pPr>
              <w:widowControl w:val="0"/>
              <w:spacing w:before="120" w:after="288" w:line="312" w:lineRule="auto"/>
              <w:jc w:val="center"/>
              <w:rPr>
                <w:rFonts w:ascii="Arial" w:eastAsia="Arial" w:hAnsi="Arial" w:cs="Arial"/>
                <w:color w:val="000000"/>
                <w:sz w:val="20"/>
                <w:szCs w:val="20"/>
              </w:rPr>
            </w:pPr>
          </w:p>
          <w:p w14:paraId="42388929" w14:textId="77777777" w:rsidR="00A06A27" w:rsidRDefault="00A06A27">
            <w:pPr>
              <w:widowControl w:val="0"/>
              <w:spacing w:before="120" w:after="288" w:line="312" w:lineRule="auto"/>
              <w:jc w:val="center"/>
              <w:rPr>
                <w:rFonts w:ascii="Arial" w:eastAsia="Arial" w:hAnsi="Arial" w:cs="Arial"/>
                <w:color w:val="000000"/>
                <w:sz w:val="20"/>
                <w:szCs w:val="20"/>
              </w:rPr>
            </w:pPr>
          </w:p>
          <w:p w14:paraId="0DF2AFF5" w14:textId="77777777" w:rsidR="00A06A27" w:rsidRDefault="00A06A27">
            <w:pPr>
              <w:widowControl w:val="0"/>
              <w:spacing w:before="120" w:after="288" w:line="312" w:lineRule="auto"/>
              <w:jc w:val="center"/>
              <w:rPr>
                <w:rFonts w:ascii="Arial" w:eastAsia="Arial" w:hAnsi="Arial" w:cs="Arial"/>
                <w:color w:val="000000"/>
                <w:sz w:val="20"/>
                <w:szCs w:val="20"/>
              </w:rPr>
            </w:pPr>
          </w:p>
          <w:p w14:paraId="3254F71D" w14:textId="77777777" w:rsidR="00A06A27" w:rsidRDefault="00A06A27">
            <w:pPr>
              <w:widowControl w:val="0"/>
              <w:spacing w:before="120" w:after="288" w:line="312" w:lineRule="auto"/>
              <w:jc w:val="center"/>
              <w:rPr>
                <w:rFonts w:ascii="Arial" w:eastAsia="Arial" w:hAnsi="Arial" w:cs="Arial"/>
                <w:color w:val="000000"/>
                <w:sz w:val="20"/>
                <w:szCs w:val="20"/>
              </w:rPr>
            </w:pPr>
          </w:p>
          <w:p w14:paraId="021738BF" w14:textId="7F8EC8D0" w:rsidR="00A06A27" w:rsidRDefault="00000000" w:rsidP="0046266C">
            <w:pPr>
              <w:widowControl w:val="0"/>
              <w:spacing w:before="120" w:after="288" w:line="312" w:lineRule="auto"/>
              <w:jc w:val="center"/>
              <w:rPr>
                <w:rFonts w:ascii="Arial" w:eastAsia="Arial" w:hAnsi="Arial" w:cs="Arial"/>
                <w:color w:val="000000"/>
                <w:sz w:val="20"/>
                <w:szCs w:val="20"/>
              </w:rPr>
            </w:pPr>
            <w:r>
              <w:rPr>
                <w:rFonts w:ascii="Arial" w:eastAsia="Arial" w:hAnsi="Arial" w:cs="Arial"/>
                <w:color w:val="000000"/>
                <w:sz w:val="20"/>
                <w:szCs w:val="20"/>
              </w:rPr>
              <w:t>412589</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E8A5C5" w14:textId="77777777" w:rsidR="00A06A27" w:rsidRDefault="00A06A27">
            <w:pPr>
              <w:widowControl w:val="0"/>
              <w:spacing w:before="120" w:after="288" w:line="312" w:lineRule="auto"/>
              <w:jc w:val="center"/>
              <w:rPr>
                <w:rFonts w:ascii="Arial" w:eastAsia="Arial" w:hAnsi="Arial" w:cs="Arial"/>
                <w:color w:val="000000"/>
                <w:sz w:val="20"/>
                <w:szCs w:val="20"/>
              </w:rPr>
            </w:pPr>
          </w:p>
          <w:p w14:paraId="2B2C4640" w14:textId="77777777" w:rsidR="00A06A27" w:rsidRDefault="00A06A27">
            <w:pPr>
              <w:widowControl w:val="0"/>
              <w:spacing w:before="120" w:after="288" w:line="312" w:lineRule="auto"/>
              <w:jc w:val="center"/>
              <w:rPr>
                <w:rFonts w:ascii="Arial" w:eastAsia="Arial" w:hAnsi="Arial" w:cs="Arial"/>
                <w:color w:val="000000"/>
                <w:sz w:val="20"/>
                <w:szCs w:val="20"/>
              </w:rPr>
            </w:pPr>
          </w:p>
          <w:p w14:paraId="5C8FE203" w14:textId="77777777" w:rsidR="00A06A27" w:rsidRDefault="00A06A27">
            <w:pPr>
              <w:widowControl w:val="0"/>
              <w:spacing w:before="120" w:after="288" w:line="312" w:lineRule="auto"/>
              <w:jc w:val="center"/>
              <w:rPr>
                <w:rFonts w:ascii="Arial" w:eastAsia="Arial" w:hAnsi="Arial" w:cs="Arial"/>
                <w:color w:val="000000"/>
                <w:sz w:val="20"/>
                <w:szCs w:val="20"/>
              </w:rPr>
            </w:pPr>
          </w:p>
          <w:p w14:paraId="16DE61FD" w14:textId="77777777" w:rsidR="00A06A27" w:rsidRDefault="00A06A27">
            <w:pPr>
              <w:widowControl w:val="0"/>
              <w:spacing w:before="120" w:after="288" w:line="312" w:lineRule="auto"/>
              <w:jc w:val="center"/>
              <w:rPr>
                <w:rFonts w:ascii="Arial" w:eastAsia="Arial" w:hAnsi="Arial" w:cs="Arial"/>
                <w:color w:val="000000"/>
                <w:sz w:val="20"/>
                <w:szCs w:val="20"/>
              </w:rPr>
            </w:pPr>
          </w:p>
          <w:p w14:paraId="6C61D2AA" w14:textId="77777777" w:rsidR="00A06A27" w:rsidRDefault="00A06A27">
            <w:pPr>
              <w:widowControl w:val="0"/>
              <w:spacing w:before="120" w:after="288" w:line="312" w:lineRule="auto"/>
              <w:jc w:val="center"/>
              <w:rPr>
                <w:rFonts w:ascii="Arial" w:eastAsia="Arial" w:hAnsi="Arial" w:cs="Arial"/>
                <w:color w:val="000000"/>
                <w:sz w:val="20"/>
                <w:szCs w:val="20"/>
              </w:rPr>
            </w:pPr>
          </w:p>
          <w:p w14:paraId="7FDBC6F4" w14:textId="77777777" w:rsidR="00A06A27" w:rsidRDefault="00000000">
            <w:pPr>
              <w:widowControl w:val="0"/>
              <w:spacing w:before="120" w:after="288" w:line="312" w:lineRule="auto"/>
              <w:jc w:val="center"/>
              <w:rPr>
                <w:rFonts w:ascii="Arial" w:eastAsia="Arial" w:hAnsi="Arial" w:cs="Arial"/>
                <w:color w:val="000000"/>
                <w:sz w:val="20"/>
                <w:szCs w:val="20"/>
              </w:rPr>
            </w:pPr>
            <w:r>
              <w:rPr>
                <w:rFonts w:ascii="Arial" w:eastAsia="Arial" w:hAnsi="Arial" w:cs="Arial"/>
                <w:color w:val="000000"/>
                <w:sz w:val="20"/>
                <w:szCs w:val="20"/>
              </w:rPr>
              <w:t>Unidade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6C80F1" w14:textId="77777777" w:rsidR="00A06A27" w:rsidRDefault="00A06A27">
            <w:pPr>
              <w:widowControl w:val="0"/>
              <w:spacing w:before="120" w:after="288" w:line="312" w:lineRule="auto"/>
              <w:jc w:val="center"/>
              <w:rPr>
                <w:rFonts w:ascii="Arial" w:eastAsia="Arial" w:hAnsi="Arial" w:cs="Arial"/>
                <w:color w:val="000000"/>
                <w:sz w:val="20"/>
                <w:szCs w:val="20"/>
              </w:rPr>
            </w:pPr>
          </w:p>
          <w:p w14:paraId="369B7298" w14:textId="77777777" w:rsidR="00A06A27" w:rsidRDefault="00A06A27">
            <w:pPr>
              <w:widowControl w:val="0"/>
              <w:spacing w:before="120" w:after="288" w:line="312" w:lineRule="auto"/>
              <w:jc w:val="center"/>
              <w:rPr>
                <w:rFonts w:ascii="Arial" w:eastAsia="Arial" w:hAnsi="Arial" w:cs="Arial"/>
                <w:color w:val="000000"/>
                <w:sz w:val="20"/>
                <w:szCs w:val="20"/>
              </w:rPr>
            </w:pPr>
          </w:p>
          <w:p w14:paraId="04881148" w14:textId="77777777" w:rsidR="00A06A27" w:rsidRDefault="00A06A27">
            <w:pPr>
              <w:widowControl w:val="0"/>
              <w:spacing w:before="120" w:after="288" w:line="312" w:lineRule="auto"/>
              <w:jc w:val="center"/>
              <w:rPr>
                <w:rFonts w:ascii="Arial" w:eastAsia="Arial" w:hAnsi="Arial" w:cs="Arial"/>
                <w:color w:val="000000"/>
                <w:sz w:val="20"/>
                <w:szCs w:val="20"/>
              </w:rPr>
            </w:pPr>
          </w:p>
          <w:p w14:paraId="730BA562" w14:textId="77777777" w:rsidR="00A06A27" w:rsidRDefault="00A06A27">
            <w:pPr>
              <w:widowControl w:val="0"/>
              <w:spacing w:before="120" w:after="288" w:line="312" w:lineRule="auto"/>
              <w:jc w:val="center"/>
              <w:rPr>
                <w:rFonts w:ascii="Arial" w:eastAsia="Arial" w:hAnsi="Arial" w:cs="Arial"/>
                <w:color w:val="000000"/>
                <w:sz w:val="20"/>
                <w:szCs w:val="20"/>
              </w:rPr>
            </w:pPr>
          </w:p>
          <w:p w14:paraId="20D4A394" w14:textId="77777777" w:rsidR="00A06A27" w:rsidRDefault="00A06A27">
            <w:pPr>
              <w:widowControl w:val="0"/>
              <w:spacing w:before="120" w:after="288" w:line="312" w:lineRule="auto"/>
              <w:jc w:val="center"/>
              <w:rPr>
                <w:rFonts w:ascii="Arial" w:eastAsia="Arial" w:hAnsi="Arial" w:cs="Arial"/>
                <w:color w:val="000000"/>
                <w:sz w:val="20"/>
                <w:szCs w:val="20"/>
              </w:rPr>
            </w:pPr>
          </w:p>
          <w:p w14:paraId="18942BBA" w14:textId="77777777" w:rsidR="00A06A27" w:rsidRDefault="00000000">
            <w:pPr>
              <w:widowControl w:val="0"/>
              <w:spacing w:before="120" w:after="288" w:line="312" w:lineRule="auto"/>
              <w:jc w:val="center"/>
              <w:rPr>
                <w:rFonts w:ascii="Arial" w:eastAsia="Arial" w:hAnsi="Arial" w:cs="Arial"/>
                <w:color w:val="000000"/>
                <w:sz w:val="20"/>
                <w:szCs w:val="20"/>
              </w:rPr>
            </w:pPr>
            <w:r>
              <w:rPr>
                <w:rFonts w:ascii="Arial" w:eastAsia="Arial" w:hAnsi="Arial" w:cs="Arial"/>
                <w:color w:val="000000"/>
                <w:sz w:val="20"/>
                <w:szCs w:val="20"/>
              </w:rPr>
              <w:t>5.000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5E3293" w14:textId="77777777" w:rsidR="00A06A27" w:rsidRDefault="00A06A27">
            <w:pPr>
              <w:widowControl w:val="0"/>
              <w:spacing w:before="120" w:after="288" w:line="312" w:lineRule="auto"/>
              <w:jc w:val="center"/>
              <w:rPr>
                <w:rFonts w:ascii="Arial" w:eastAsia="Arial" w:hAnsi="Arial" w:cs="Arial"/>
                <w:color w:val="000000"/>
                <w:sz w:val="20"/>
                <w:szCs w:val="20"/>
              </w:rPr>
            </w:pPr>
          </w:p>
          <w:p w14:paraId="43C6E720" w14:textId="77777777" w:rsidR="00A06A27" w:rsidRDefault="00A06A27">
            <w:pPr>
              <w:widowControl w:val="0"/>
              <w:spacing w:before="120" w:after="288" w:line="312" w:lineRule="auto"/>
              <w:jc w:val="center"/>
              <w:rPr>
                <w:rFonts w:ascii="Arial" w:eastAsia="Arial" w:hAnsi="Arial" w:cs="Arial"/>
                <w:color w:val="000000"/>
                <w:sz w:val="20"/>
                <w:szCs w:val="20"/>
              </w:rPr>
            </w:pPr>
          </w:p>
          <w:p w14:paraId="409D9988" w14:textId="77777777" w:rsidR="00A06A27" w:rsidRDefault="00A06A27">
            <w:pPr>
              <w:widowControl w:val="0"/>
              <w:spacing w:before="120" w:after="288" w:line="312" w:lineRule="auto"/>
              <w:jc w:val="center"/>
              <w:rPr>
                <w:rFonts w:ascii="Arial" w:eastAsia="Arial" w:hAnsi="Arial" w:cs="Arial"/>
                <w:color w:val="000000"/>
                <w:sz w:val="20"/>
                <w:szCs w:val="20"/>
              </w:rPr>
            </w:pPr>
          </w:p>
          <w:p w14:paraId="7917C740" w14:textId="77777777" w:rsidR="00A06A27" w:rsidRDefault="00A06A27">
            <w:pPr>
              <w:widowControl w:val="0"/>
              <w:spacing w:before="120" w:after="288" w:line="312" w:lineRule="auto"/>
              <w:jc w:val="center"/>
              <w:rPr>
                <w:rFonts w:ascii="Arial" w:eastAsia="Arial" w:hAnsi="Arial" w:cs="Arial"/>
                <w:color w:val="000000"/>
                <w:sz w:val="20"/>
                <w:szCs w:val="20"/>
              </w:rPr>
            </w:pPr>
          </w:p>
          <w:p w14:paraId="2043E214" w14:textId="77777777" w:rsidR="00A06A27" w:rsidRDefault="00A06A27">
            <w:pPr>
              <w:widowControl w:val="0"/>
              <w:spacing w:before="120" w:after="288" w:line="312" w:lineRule="auto"/>
              <w:jc w:val="center"/>
              <w:rPr>
                <w:rFonts w:ascii="Arial" w:eastAsia="Arial" w:hAnsi="Arial" w:cs="Arial"/>
                <w:color w:val="000000"/>
                <w:sz w:val="20"/>
                <w:szCs w:val="20"/>
              </w:rPr>
            </w:pPr>
          </w:p>
          <w:p w14:paraId="6744EE9B" w14:textId="2DADC6BA" w:rsidR="00A06A27" w:rsidRDefault="00000000">
            <w:pPr>
              <w:widowControl w:val="0"/>
              <w:spacing w:before="120" w:after="288" w:line="312" w:lineRule="auto"/>
              <w:jc w:val="center"/>
              <w:rPr>
                <w:rFonts w:ascii="Arial" w:eastAsia="Arial" w:hAnsi="Arial" w:cs="Arial"/>
                <w:color w:val="000000"/>
                <w:sz w:val="20"/>
                <w:szCs w:val="20"/>
              </w:rPr>
            </w:pPr>
            <w:r>
              <w:rPr>
                <w:rFonts w:ascii="Arial" w:eastAsia="Arial" w:hAnsi="Arial" w:cs="Arial"/>
                <w:color w:val="000000"/>
                <w:sz w:val="20"/>
                <w:szCs w:val="20"/>
              </w:rPr>
              <w:t>R$</w:t>
            </w:r>
            <w:r w:rsidR="00165626">
              <w:rPr>
                <w:rFonts w:ascii="Arial" w:eastAsia="Arial" w:hAnsi="Arial" w:cs="Arial"/>
                <w:color w:val="000000"/>
                <w:sz w:val="20"/>
                <w:szCs w:val="20"/>
              </w:rPr>
              <w:t xml:space="preserve"> </w:t>
            </w:r>
            <w:r>
              <w:rPr>
                <w:rFonts w:ascii="Arial" w:eastAsia="Arial" w:hAnsi="Arial" w:cs="Arial"/>
                <w:color w:val="000000"/>
                <w:sz w:val="20"/>
                <w:szCs w:val="20"/>
              </w:rPr>
              <w:t>8,79</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82AC3D" w14:textId="77777777" w:rsidR="00A06A27" w:rsidRDefault="00A06A27">
            <w:pPr>
              <w:widowControl w:val="0"/>
              <w:spacing w:before="120" w:after="288" w:line="312" w:lineRule="auto"/>
              <w:jc w:val="center"/>
              <w:rPr>
                <w:rFonts w:ascii="Arial" w:eastAsia="Arial" w:hAnsi="Arial" w:cs="Arial"/>
                <w:color w:val="000000"/>
                <w:sz w:val="20"/>
                <w:szCs w:val="20"/>
              </w:rPr>
            </w:pPr>
          </w:p>
          <w:p w14:paraId="62168AA2" w14:textId="77777777" w:rsidR="00A06A27" w:rsidRDefault="00A06A27">
            <w:pPr>
              <w:widowControl w:val="0"/>
              <w:spacing w:before="120" w:after="288" w:line="312" w:lineRule="auto"/>
              <w:jc w:val="center"/>
              <w:rPr>
                <w:rFonts w:ascii="Arial" w:eastAsia="Arial" w:hAnsi="Arial" w:cs="Arial"/>
                <w:color w:val="000000"/>
                <w:sz w:val="20"/>
                <w:szCs w:val="20"/>
              </w:rPr>
            </w:pPr>
          </w:p>
          <w:p w14:paraId="15D146F7" w14:textId="77777777" w:rsidR="00A06A27" w:rsidRDefault="00A06A27">
            <w:pPr>
              <w:widowControl w:val="0"/>
              <w:spacing w:before="120" w:after="288" w:line="312" w:lineRule="auto"/>
              <w:jc w:val="center"/>
              <w:rPr>
                <w:rFonts w:ascii="Arial" w:eastAsia="Arial" w:hAnsi="Arial" w:cs="Arial"/>
                <w:color w:val="000000"/>
                <w:sz w:val="20"/>
                <w:szCs w:val="20"/>
              </w:rPr>
            </w:pPr>
          </w:p>
          <w:p w14:paraId="189C2A9B" w14:textId="77777777" w:rsidR="00A06A27" w:rsidRDefault="00A06A27">
            <w:pPr>
              <w:widowControl w:val="0"/>
              <w:spacing w:before="120" w:after="288" w:line="312" w:lineRule="auto"/>
              <w:jc w:val="center"/>
              <w:rPr>
                <w:rFonts w:ascii="Arial" w:eastAsia="Arial" w:hAnsi="Arial" w:cs="Arial"/>
                <w:color w:val="000000"/>
                <w:sz w:val="20"/>
                <w:szCs w:val="20"/>
              </w:rPr>
            </w:pPr>
          </w:p>
          <w:p w14:paraId="3A1B2A9D" w14:textId="77777777" w:rsidR="00A06A27" w:rsidRDefault="00A06A27">
            <w:pPr>
              <w:widowControl w:val="0"/>
              <w:spacing w:before="120" w:after="288" w:line="312" w:lineRule="auto"/>
              <w:jc w:val="center"/>
              <w:rPr>
                <w:rFonts w:ascii="Arial" w:eastAsia="Arial" w:hAnsi="Arial" w:cs="Arial"/>
                <w:color w:val="000000"/>
                <w:sz w:val="20"/>
                <w:szCs w:val="20"/>
              </w:rPr>
            </w:pPr>
          </w:p>
          <w:p w14:paraId="3F3EAC9D" w14:textId="77777777" w:rsidR="00A06A27" w:rsidRDefault="00000000">
            <w:pPr>
              <w:widowControl w:val="0"/>
              <w:spacing w:before="120" w:after="288" w:line="312" w:lineRule="auto"/>
              <w:jc w:val="center"/>
              <w:rPr>
                <w:rFonts w:ascii="Arial" w:eastAsia="Arial" w:hAnsi="Arial" w:cs="Arial"/>
                <w:color w:val="000000"/>
                <w:sz w:val="20"/>
                <w:szCs w:val="20"/>
              </w:rPr>
            </w:pPr>
            <w:r>
              <w:rPr>
                <w:rFonts w:ascii="Arial" w:eastAsia="Arial" w:hAnsi="Arial" w:cs="Arial"/>
                <w:color w:val="000000"/>
                <w:sz w:val="20"/>
                <w:szCs w:val="20"/>
              </w:rPr>
              <w:t xml:space="preserve">R$ 43.950,00 </w:t>
            </w:r>
          </w:p>
        </w:tc>
      </w:tr>
    </w:tbl>
    <w:p w14:paraId="666F3472" w14:textId="77777777" w:rsidR="001E4172" w:rsidRDefault="001E4172">
      <w:pPr>
        <w:pStyle w:val="Nivel2"/>
      </w:pPr>
      <w:r>
        <w:t xml:space="preserve">Só será admitida a oferta de produto previamente notificado/registrado na ANVISA, conforme a Lei nº 6.360, de 1976 e Decreto nº 8.077, de 2013. </w:t>
      </w:r>
    </w:p>
    <w:p w14:paraId="0696CEBB" w14:textId="2DECBDFE" w:rsidR="001E4172" w:rsidRDefault="001E4172">
      <w:pPr>
        <w:pStyle w:val="Nivel2"/>
      </w:pPr>
      <w:r>
        <w:t xml:space="preserve">Só será admitida a oferta </w:t>
      </w:r>
      <w:r>
        <w:t>dos</w:t>
      </w:r>
      <w:r>
        <w:t xml:space="preserve"> equipamentos que, nos termos da Portaria INMETRO n° 384, de 18 de dezembro de 2020, cumpram os Requisitos de Avaliação da Conformidade e as Especificações para o Selo de Identificação da Conformidade para Equipamentos sob Regime de Vigilância Sanitária - Consolidado, fixados, respectivamente, nos Anexos I e II, disponíveis em http://www.inmetro.gov.br/legislacao. </w:t>
      </w:r>
    </w:p>
    <w:p w14:paraId="2123948A" w14:textId="509F33E6" w:rsidR="00A06A27" w:rsidRDefault="00000000">
      <w:pPr>
        <w:pStyle w:val="Nivel2"/>
      </w:pPr>
      <w:r>
        <w:t>Os bens objeto desta contratação são caracterizados como comuns, conforme justificativa constante do Estudo Técnico Preliminar.</w:t>
      </w:r>
    </w:p>
    <w:p w14:paraId="6D062455" w14:textId="36D8C347" w:rsidR="00A06A27" w:rsidRDefault="00000000">
      <w:pPr>
        <w:pStyle w:val="Nivel2"/>
      </w:pPr>
      <w:r>
        <w:t>O objeto desta contratação não se enquadra como sendo de bem de luxo, conforme Decreto</w:t>
      </w:r>
      <w:r w:rsidR="00A14E48">
        <w:t xml:space="preserve"> Municipal</w:t>
      </w:r>
      <w:r>
        <w:t xml:space="preserve"> nº </w:t>
      </w:r>
      <w:r w:rsidR="00A14E48">
        <w:t>2.412/2022</w:t>
      </w:r>
      <w:r>
        <w:t>.</w:t>
      </w:r>
    </w:p>
    <w:p w14:paraId="09887B69" w14:textId="53F3213E" w:rsidR="00A14E48" w:rsidRDefault="00A14E48">
      <w:pPr>
        <w:pStyle w:val="Nivel2"/>
      </w:pPr>
      <w:r w:rsidRPr="003C7FA3">
        <w:lastRenderedPageBreak/>
        <w:t>O prazo de vigência da contratação é de 01 (um) ano contados da assinatura do contrato, improrrogável, na forma do art. 75, VIII da Lei n° 14.133/2021</w:t>
      </w:r>
      <w:r>
        <w:t>.</w:t>
      </w:r>
    </w:p>
    <w:p w14:paraId="4223384B" w14:textId="41D45332" w:rsidR="00A06A27" w:rsidRDefault="00000000">
      <w:pPr>
        <w:pStyle w:val="Nivel2"/>
      </w:pPr>
      <w:r>
        <w:t>O contrato oferece maior detalhamento das regras que serão aplicadas em relação à vigência da contratação.</w:t>
      </w:r>
    </w:p>
    <w:p w14:paraId="5C336412" w14:textId="77777777" w:rsidR="00A06A27" w:rsidRDefault="00A06A27">
      <w:pPr>
        <w:pStyle w:val="Nivel2"/>
        <w:numPr>
          <w:ilvl w:val="0"/>
          <w:numId w:val="0"/>
        </w:numPr>
      </w:pPr>
    </w:p>
    <w:p w14:paraId="3A92E3AD" w14:textId="77777777" w:rsidR="00A06A27" w:rsidRDefault="00000000">
      <w:pPr>
        <w:pStyle w:val="Nivel01"/>
      </w:pPr>
      <w:r>
        <w:t>FUNDAMENTAÇÃO E DESCRIÇÃO DA NECESSIDADE DA CONTRATAÇÃO</w:t>
      </w:r>
    </w:p>
    <w:p w14:paraId="47682E6B" w14:textId="738AADE9" w:rsidR="00A06A27" w:rsidRPr="008A7F6D" w:rsidRDefault="00000000" w:rsidP="008A7F6D">
      <w:pPr>
        <w:pStyle w:val="Nivel2"/>
      </w:pPr>
      <w:r>
        <w:t>A Fundamentação da Contratação e de seus quantitativos encontra-se pormenorizada em Tópico específico dos Estudos Técnicos Preliminares, detalhado no Processo Administrativo, apêndice deste Termo de Referência</w:t>
      </w:r>
      <w:r w:rsidR="00A14E48" w:rsidRPr="008A7F6D">
        <w:t>.</w:t>
      </w:r>
    </w:p>
    <w:p w14:paraId="7B887C90" w14:textId="77777777" w:rsidR="00A14E48" w:rsidRDefault="00A14E48" w:rsidP="008A7F6D">
      <w:pPr>
        <w:pStyle w:val="Nivel2"/>
      </w:pPr>
      <w:r w:rsidRPr="001E75FC">
        <w:t xml:space="preserve">O objeto da contratação está previsto no Plano de Contratações Anual </w:t>
      </w:r>
      <w:r>
        <w:t>2024</w:t>
      </w:r>
      <w:r w:rsidRPr="001E75FC">
        <w:t>, conforme detalhamento a seguir:</w:t>
      </w:r>
    </w:p>
    <w:p w14:paraId="52F7DE3E" w14:textId="77777777" w:rsidR="00A14E48" w:rsidRDefault="00A14E48" w:rsidP="008A7F6D">
      <w:pPr>
        <w:pStyle w:val="Nivel2"/>
        <w:numPr>
          <w:ilvl w:val="1"/>
          <w:numId w:val="24"/>
        </w:numPr>
        <w:tabs>
          <w:tab w:val="left" w:pos="709"/>
        </w:tabs>
        <w:ind w:left="1560" w:hanging="425"/>
      </w:pPr>
      <w:r w:rsidRPr="001E75FC">
        <w:t xml:space="preserve">ID PCA no PNCP: </w:t>
      </w:r>
      <w:r w:rsidRPr="00620D0C">
        <w:t>42498600000171-0-000065/2024</w:t>
      </w:r>
      <w:r w:rsidRPr="001E75FC">
        <w:t>;</w:t>
      </w:r>
    </w:p>
    <w:p w14:paraId="0A15DE99" w14:textId="620C1885" w:rsidR="00A14E48" w:rsidRPr="001E75FC" w:rsidRDefault="00A14E48" w:rsidP="008A7F6D">
      <w:pPr>
        <w:pStyle w:val="Nivel2"/>
        <w:numPr>
          <w:ilvl w:val="1"/>
          <w:numId w:val="24"/>
        </w:numPr>
        <w:tabs>
          <w:tab w:val="left" w:pos="709"/>
        </w:tabs>
        <w:ind w:left="1560" w:hanging="425"/>
      </w:pPr>
      <w:r w:rsidRPr="001E75FC">
        <w:t xml:space="preserve">Data de publicação no PNCP: </w:t>
      </w:r>
      <w:r w:rsidR="0094163D">
        <w:t>05</w:t>
      </w:r>
      <w:r w:rsidRPr="008D3A41">
        <w:t>/</w:t>
      </w:r>
      <w:r w:rsidR="0094163D">
        <w:t>04</w:t>
      </w:r>
      <w:r w:rsidRPr="008D3A41">
        <w:t>/2024;</w:t>
      </w:r>
    </w:p>
    <w:p w14:paraId="0409408B" w14:textId="0D94670D" w:rsidR="00A14E48" w:rsidRPr="001E75FC" w:rsidRDefault="00A14E48" w:rsidP="008A7F6D">
      <w:pPr>
        <w:pStyle w:val="Nivel2"/>
        <w:numPr>
          <w:ilvl w:val="1"/>
          <w:numId w:val="24"/>
        </w:numPr>
        <w:tabs>
          <w:tab w:val="left" w:pos="709"/>
        </w:tabs>
        <w:ind w:left="1560" w:hanging="425"/>
      </w:pPr>
      <w:r w:rsidRPr="001E75FC">
        <w:t xml:space="preserve">Id do item no PCA: </w:t>
      </w:r>
      <w:r w:rsidR="009868CB">
        <w:t>483</w:t>
      </w:r>
      <w:r w:rsidRPr="001E75FC">
        <w:t>;</w:t>
      </w:r>
    </w:p>
    <w:p w14:paraId="71FDC75F" w14:textId="571ACF8B" w:rsidR="00A14E48" w:rsidRPr="001E75FC" w:rsidRDefault="00A14E48" w:rsidP="008A7F6D">
      <w:pPr>
        <w:pStyle w:val="Nivel2"/>
        <w:numPr>
          <w:ilvl w:val="1"/>
          <w:numId w:val="24"/>
        </w:numPr>
        <w:tabs>
          <w:tab w:val="left" w:pos="709"/>
        </w:tabs>
        <w:ind w:left="1560" w:hanging="425"/>
      </w:pPr>
      <w:r w:rsidRPr="001E75FC">
        <w:t xml:space="preserve">Classe/Grupo: </w:t>
      </w:r>
      <w:r w:rsidR="009868CB">
        <w:t>6550</w:t>
      </w:r>
      <w:r w:rsidRPr="001E75FC">
        <w:t>;</w:t>
      </w:r>
    </w:p>
    <w:p w14:paraId="3956D360" w14:textId="7811BD98" w:rsidR="00A14E48" w:rsidRPr="001E75FC" w:rsidRDefault="00A14E48" w:rsidP="008A7F6D">
      <w:pPr>
        <w:pStyle w:val="Nivel2"/>
        <w:numPr>
          <w:ilvl w:val="1"/>
          <w:numId w:val="24"/>
        </w:numPr>
        <w:tabs>
          <w:tab w:val="left" w:pos="709"/>
        </w:tabs>
        <w:ind w:left="1560" w:hanging="425"/>
      </w:pPr>
      <w:r w:rsidRPr="001E75FC">
        <w:t xml:space="preserve">Identificador da Futura Contratação: </w:t>
      </w:r>
      <w:r w:rsidR="006D534E" w:rsidRPr="006D534E">
        <w:t>985873-78/2024</w:t>
      </w:r>
      <w:r w:rsidRPr="001E75FC">
        <w:t>.</w:t>
      </w:r>
    </w:p>
    <w:p w14:paraId="343AEBE7" w14:textId="77777777" w:rsidR="008A7F6D" w:rsidRDefault="00000000" w:rsidP="008A7F6D">
      <w:pPr>
        <w:pStyle w:val="Nivel01"/>
      </w:pPr>
      <w:r>
        <w:t>DESCRIÇÃO DA SOLUÇÃO COMO UM TODO CONSIDERADO O CICLO DE VIDA DO OBJETO E ESPECIFICAÇÃO DO PRODUTO</w:t>
      </w:r>
    </w:p>
    <w:p w14:paraId="2261EE54" w14:textId="77777777" w:rsidR="008A7F6D" w:rsidRPr="003705E0" w:rsidRDefault="008A7F6D" w:rsidP="008A7F6D">
      <w:pPr>
        <w:pStyle w:val="Nivel2"/>
        <w:rPr>
          <w:i/>
          <w:iCs/>
        </w:rPr>
      </w:pPr>
      <w:r w:rsidRPr="003705E0">
        <w:t>A descrição da solução como um todo encontra-se pormenorizada em tópico específico dos Estudos Técnicos Preliminares, apêndice deste Termo de Referência.</w:t>
      </w:r>
    </w:p>
    <w:p w14:paraId="1B6C53FA" w14:textId="77777777" w:rsidR="00A06A27" w:rsidRDefault="00000000">
      <w:pPr>
        <w:pStyle w:val="Nivel01"/>
      </w:pPr>
      <w:r>
        <w:t>REQUISITOS DA CONTRATAÇÃO</w:t>
      </w:r>
    </w:p>
    <w:p w14:paraId="25DE54D2" w14:textId="77777777" w:rsidR="00A06A27" w:rsidRDefault="00000000">
      <w:pPr>
        <w:pStyle w:val="Nvel1-SemNumPreto"/>
        <w:tabs>
          <w:tab w:val="left" w:pos="993"/>
          <w:tab w:val="left" w:pos="1134"/>
        </w:tabs>
        <w:rPr>
          <w:color w:val="000000" w:themeColor="text1"/>
        </w:rPr>
      </w:pPr>
      <w:r>
        <w:rPr>
          <w:color w:val="000000" w:themeColor="text1"/>
        </w:rPr>
        <w:t>Sustentabilidade:</w:t>
      </w:r>
    </w:p>
    <w:p w14:paraId="774BF3C6" w14:textId="3831C040" w:rsidR="008A7F6D" w:rsidRPr="008A7F6D" w:rsidRDefault="00000000" w:rsidP="008A7F6D">
      <w:pPr>
        <w:pStyle w:val="Nivel2"/>
        <w:numPr>
          <w:ilvl w:val="0"/>
          <w:numId w:val="0"/>
        </w:numPr>
        <w:tabs>
          <w:tab w:val="left" w:pos="993"/>
          <w:tab w:val="left" w:pos="1134"/>
        </w:tabs>
        <w:ind w:left="567"/>
        <w:rPr>
          <w:color w:val="000000" w:themeColor="text1"/>
        </w:rPr>
      </w:pPr>
      <w:r w:rsidRPr="008A7F6D">
        <w:rPr>
          <w:highlight w:val="white"/>
        </w:rPr>
        <w:t>Além dos critérios de sustentabilidade eventualmente inseridos na descrição do objeto, devem ser atendidos os seguintes requisitos, que se baseiam no Guia Nacional de Contratações Sustentáveis:</w:t>
      </w:r>
    </w:p>
    <w:p w14:paraId="3FB1AE55" w14:textId="3E7834B7" w:rsidR="008A7F6D" w:rsidRPr="008A7F6D" w:rsidRDefault="008A7F6D" w:rsidP="008A7F6D">
      <w:pPr>
        <w:pStyle w:val="Nivel2"/>
        <w:tabs>
          <w:tab w:val="left" w:pos="993"/>
          <w:tab w:val="left" w:pos="1134"/>
        </w:tabs>
        <w:rPr>
          <w:color w:val="000000" w:themeColor="text1"/>
        </w:rPr>
      </w:pPr>
      <w:r>
        <w:t>A contratada deverá se atentar no que couber às seguintes Legislações:</w:t>
      </w:r>
    </w:p>
    <w:p w14:paraId="2D1EF6D0" w14:textId="77777777" w:rsidR="008A7F6D" w:rsidRPr="008A7F6D" w:rsidRDefault="008A7F6D" w:rsidP="008A7F6D">
      <w:pPr>
        <w:pStyle w:val="Nivel3"/>
        <w:tabs>
          <w:tab w:val="left" w:pos="1560"/>
        </w:tabs>
        <w:ind w:left="1134" w:hanging="141"/>
        <w:rPr>
          <w:color w:val="000000" w:themeColor="text1"/>
        </w:rPr>
      </w:pPr>
      <w:r>
        <w:t xml:space="preserve">Lei nº 6.360, de 1976 (Dispõe sobre a Vigilância Sanitária a que ficam sujeitos os Medicamentos, as Drogas, os Insumos Farmacêuticos e Correlatos, Cosméticos, Saneantes e Outros Produtos, e dá outras Providências) </w:t>
      </w:r>
    </w:p>
    <w:p w14:paraId="52A8FBEA" w14:textId="77777777" w:rsidR="008A7F6D" w:rsidRPr="008A7F6D" w:rsidRDefault="008A7F6D" w:rsidP="008A7F6D">
      <w:pPr>
        <w:pStyle w:val="Nivel3"/>
        <w:tabs>
          <w:tab w:val="left" w:pos="1560"/>
        </w:tabs>
        <w:ind w:left="1134" w:hanging="141"/>
        <w:rPr>
          <w:color w:val="000000" w:themeColor="text1"/>
        </w:rPr>
      </w:pPr>
      <w:r>
        <w:t xml:space="preserve">Decreto nº 8.077, de 2013 (Regulamenta as condições para o funcionamento de empresas sujeitas ao licenciamento sanitário, e o registro, controle e monitoramento, no âmbito da vigilância sanitária, dos produtos de que trata a Lei nº 6.360, de 23 de setembro de 1976, e dá outras providências). </w:t>
      </w:r>
    </w:p>
    <w:p w14:paraId="0E068286" w14:textId="75DFC647" w:rsidR="008A7F6D" w:rsidRPr="008A7F6D" w:rsidRDefault="008A7F6D" w:rsidP="008A7F6D">
      <w:pPr>
        <w:pStyle w:val="Nivel3"/>
        <w:tabs>
          <w:tab w:val="left" w:pos="1560"/>
        </w:tabs>
        <w:ind w:left="1134" w:hanging="141"/>
        <w:rPr>
          <w:color w:val="000000" w:themeColor="text1"/>
        </w:rPr>
      </w:pPr>
      <w:r>
        <w:t>Lei nº 5.991, de 1973 (Dispõe sobre o Controle Sanitário do Comércio de Drogas, Medicamentos, Insumos Farmacêuticos e Correlatos, e dá outras Providências).</w:t>
      </w:r>
    </w:p>
    <w:p w14:paraId="2F327281" w14:textId="77777777" w:rsidR="008A7F6D" w:rsidRPr="008A7F6D" w:rsidRDefault="008A7F6D" w:rsidP="008A7F6D">
      <w:pPr>
        <w:pStyle w:val="Nivel3"/>
        <w:tabs>
          <w:tab w:val="left" w:pos="1560"/>
        </w:tabs>
        <w:ind w:left="1134" w:hanging="141"/>
        <w:rPr>
          <w:color w:val="000000" w:themeColor="text1"/>
        </w:rPr>
      </w:pPr>
      <w:r>
        <w:t xml:space="preserve"> RDC nº 16, de 1º de abril de 2014 da ANVISA (Dispõe sobre os Critérios para Peticionamento de Autorização de Funcionamento (AFE) e Autorização Especial (AE) de Empresas). </w:t>
      </w:r>
    </w:p>
    <w:p w14:paraId="16A30C60" w14:textId="0495B263" w:rsidR="008A7F6D" w:rsidRPr="008A7F6D" w:rsidRDefault="008A7F6D" w:rsidP="008A7F6D">
      <w:pPr>
        <w:pStyle w:val="Nivel3"/>
        <w:tabs>
          <w:tab w:val="left" w:pos="1560"/>
        </w:tabs>
        <w:ind w:left="1134" w:hanging="141"/>
        <w:rPr>
          <w:color w:val="000000" w:themeColor="text1"/>
        </w:rPr>
      </w:pPr>
      <w:r>
        <w:t>RDC nº 497, de 20 de maio de 2021, da ANVISA (Dispõe sobre os procedimentos administrativos para concessão de Certificação de Boas Práticas de Fabricação e de Certificação de Boas Práticas de Distribuição e/ou Armazenagem).</w:t>
      </w:r>
    </w:p>
    <w:p w14:paraId="0798F7D9" w14:textId="3D5F934F" w:rsidR="008A7F6D" w:rsidRPr="001E4172" w:rsidRDefault="008A7F6D" w:rsidP="008A7F6D">
      <w:pPr>
        <w:pStyle w:val="Nivel3"/>
        <w:tabs>
          <w:tab w:val="left" w:pos="1560"/>
        </w:tabs>
        <w:ind w:left="1134" w:hanging="141"/>
        <w:rPr>
          <w:color w:val="000000" w:themeColor="text1"/>
        </w:rPr>
      </w:pPr>
      <w:r>
        <w:t>RDC nº 81, de 5 de novembro de 2008, da ANVISA (Dispõe sobre o Regulamento Técnico de Bens e Produtos Importados para fins de Vigilância Sanitária.</w:t>
      </w:r>
    </w:p>
    <w:p w14:paraId="63BFCFBC" w14:textId="61B750AF" w:rsidR="001E4172" w:rsidRPr="00635569" w:rsidRDefault="001E4172" w:rsidP="008A7F6D">
      <w:pPr>
        <w:pStyle w:val="Nivel3"/>
        <w:tabs>
          <w:tab w:val="left" w:pos="1560"/>
        </w:tabs>
        <w:ind w:left="1134" w:hanging="141"/>
        <w:rPr>
          <w:color w:val="000000" w:themeColor="text1"/>
        </w:rPr>
      </w:pPr>
      <w:r>
        <w:lastRenderedPageBreak/>
        <w:t>Aos c</w:t>
      </w:r>
      <w:r>
        <w:t>ritérios de sustentabilidade apresentados no art. 4°, do Decreto n° 7.746, de 05 de junho de 2012</w:t>
      </w:r>
      <w:r>
        <w:t>.</w:t>
      </w:r>
    </w:p>
    <w:p w14:paraId="3802FB58" w14:textId="028FFC96" w:rsidR="00635569" w:rsidRDefault="00635569" w:rsidP="00635569">
      <w:pPr>
        <w:pStyle w:val="Nivel2"/>
      </w:pPr>
      <w:r>
        <w:t>Obrigação da Contratada:</w:t>
      </w:r>
    </w:p>
    <w:p w14:paraId="5CB53E17" w14:textId="77777777" w:rsidR="00635569" w:rsidRDefault="00635569" w:rsidP="00635569">
      <w:pPr>
        <w:pStyle w:val="Nivel3"/>
        <w:tabs>
          <w:tab w:val="left" w:pos="1985"/>
        </w:tabs>
        <w:ind w:left="1418"/>
      </w:pPr>
      <w:r>
        <w:t xml:space="preserve">A contratada deverá apresentar o Certificado de Boas Práticas de Fabricação (CBPF) para os produtos abrangidos pela RDC nº497, de 20 de maio de 2021” </w:t>
      </w:r>
    </w:p>
    <w:p w14:paraId="0607B685" w14:textId="5B6F6CFE" w:rsidR="00635569" w:rsidRPr="008A7F6D" w:rsidRDefault="00635569" w:rsidP="00635569">
      <w:pPr>
        <w:pStyle w:val="Nivel3"/>
        <w:tabs>
          <w:tab w:val="left" w:pos="1985"/>
        </w:tabs>
        <w:ind w:left="1418"/>
      </w:pPr>
      <w:r>
        <w:t>Conforme o art. 1º da Lei nº 6360/1976 ficam sujeitos às normas de vigilância sanitária os medicamentos, as drogas, os insumos farmacêuticos e correlatos, definidos na Lei nº 5.991, de 1973, bem como os produtos de higiene, os cosméticos, perfumes, saneantes domissanitários, produtos destinados à correção estética e outros.</w:t>
      </w:r>
    </w:p>
    <w:p w14:paraId="6FAEEB9D" w14:textId="1B751FA6" w:rsidR="00A06A27" w:rsidRDefault="00000000">
      <w:pPr>
        <w:pStyle w:val="Nvel1-SemNum"/>
        <w:tabs>
          <w:tab w:val="left" w:pos="993"/>
          <w:tab w:val="left" w:pos="1134"/>
        </w:tabs>
        <w:rPr>
          <w:color w:val="000000" w:themeColor="text1"/>
        </w:rPr>
      </w:pPr>
      <w:r>
        <w:rPr>
          <w:color w:val="000000" w:themeColor="text1"/>
        </w:rPr>
        <w:t>Indicação de marcas ou modelos (</w:t>
      </w:r>
      <w:r>
        <w:fldChar w:fldCharType="begin"/>
      </w:r>
      <w:r>
        <w:instrText>HYPERLINK "http://www.planalto.gov.br/ccivil_03/_ato2019-2022/2021/lei/L14133.htm" \l "art41" \o "http://www.planalto.gov.br/ccivil_03/_ato2019-2022/2021/lei/L14133.htm#art41"</w:instrText>
      </w:r>
      <w:r>
        <w:fldChar w:fldCharType="separate"/>
      </w:r>
      <w:r>
        <w:rPr>
          <w:rStyle w:val="Hyperlink"/>
          <w:color w:val="000000" w:themeColor="text1"/>
        </w:rPr>
        <w:t>Art. 41, inciso I, da Lei nº 14.133, de 2021</w:t>
      </w:r>
      <w:r>
        <w:rPr>
          <w:rStyle w:val="Hyperlink"/>
          <w:color w:val="000000" w:themeColor="text1"/>
        </w:rPr>
        <w:fldChar w:fldCharType="end"/>
      </w:r>
      <w:r>
        <w:rPr>
          <w:color w:val="000000" w:themeColor="text1"/>
        </w:rPr>
        <w:t>):</w:t>
      </w:r>
    </w:p>
    <w:p w14:paraId="2491CC17" w14:textId="1022FC5C" w:rsidR="00A06A27" w:rsidRDefault="00000000" w:rsidP="00F22B7A">
      <w:pPr>
        <w:pStyle w:val="Nivel2"/>
        <w:rPr>
          <w:highlight w:val="white"/>
        </w:rPr>
      </w:pPr>
      <w:r>
        <w:rPr>
          <w:highlight w:val="white"/>
        </w:rPr>
        <w:t>Na presente contratação não será admitida a indicação de marca(s), característica(s) ou modelo(s).</w:t>
      </w:r>
    </w:p>
    <w:p w14:paraId="084F511F" w14:textId="77777777" w:rsidR="00A06A27" w:rsidRDefault="00000000">
      <w:pPr>
        <w:pStyle w:val="Nvel1-SemNumPreto"/>
        <w:tabs>
          <w:tab w:val="left" w:pos="993"/>
          <w:tab w:val="left" w:pos="1134"/>
        </w:tabs>
        <w:rPr>
          <w:color w:val="000000" w:themeColor="text1"/>
        </w:rPr>
      </w:pPr>
      <w:r>
        <w:rPr>
          <w:color w:val="000000" w:themeColor="text1"/>
        </w:rPr>
        <w:t>Subcontratação</w:t>
      </w:r>
    </w:p>
    <w:p w14:paraId="65E7BFAB" w14:textId="75B87222" w:rsidR="00A06A27" w:rsidRDefault="00000000" w:rsidP="00F22B7A">
      <w:pPr>
        <w:pStyle w:val="Nivel2"/>
        <w:rPr>
          <w:i/>
        </w:rPr>
      </w:pPr>
      <w:r>
        <w:t>Não é admitida a subcontratação do objeto contratual.</w:t>
      </w:r>
    </w:p>
    <w:p w14:paraId="06B0DFD0" w14:textId="77777777" w:rsidR="00A06A27" w:rsidRDefault="00000000">
      <w:pPr>
        <w:pStyle w:val="Nvel1-SemNumPreto"/>
        <w:tabs>
          <w:tab w:val="left" w:pos="993"/>
          <w:tab w:val="left" w:pos="1134"/>
        </w:tabs>
        <w:rPr>
          <w:color w:val="000000" w:themeColor="text1"/>
        </w:rPr>
      </w:pPr>
      <w:r>
        <w:rPr>
          <w:color w:val="000000" w:themeColor="text1"/>
        </w:rPr>
        <w:t>Garantia da contratação</w:t>
      </w:r>
    </w:p>
    <w:p w14:paraId="4A86D620" w14:textId="77777777" w:rsidR="00A06A27" w:rsidRPr="00F22B7A" w:rsidRDefault="00000000" w:rsidP="00F22B7A">
      <w:pPr>
        <w:pStyle w:val="Nivel2"/>
      </w:pPr>
      <w:r w:rsidRPr="00F22B7A">
        <w:t xml:space="preserve">Não haverá exigência da garantia da contratação dos </w:t>
      </w:r>
      <w:hyperlink r:id="rId8" w:anchor="art96" w:tooltip="http://www.planalto.gov.br/ccivil_03/_ato2019-2022/2021/lei/L14133.htm#art96" w:history="1">
        <w:r w:rsidRPr="00F22B7A">
          <w:t>artigos 96 e seguintes da Lei nº 14.133, de 2021</w:t>
        </w:r>
      </w:hyperlink>
      <w:r w:rsidRPr="00F22B7A">
        <w:t>, pelas razões constantes do Estudo Técnico Preliminar.</w:t>
      </w:r>
    </w:p>
    <w:p w14:paraId="4857A41C" w14:textId="77777777" w:rsidR="00A06A27" w:rsidRDefault="00000000">
      <w:pPr>
        <w:pStyle w:val="Nivel01"/>
      </w:pPr>
      <w:r>
        <w:t>MODELO DE EXECUÇÃO DO OBJETO</w:t>
      </w:r>
    </w:p>
    <w:p w14:paraId="653FA58E" w14:textId="77777777" w:rsidR="00A06A27" w:rsidRDefault="00000000">
      <w:pPr>
        <w:pStyle w:val="Nvel1-SemNum"/>
        <w:rPr>
          <w:color w:val="auto"/>
        </w:rPr>
      </w:pPr>
      <w:r>
        <w:rPr>
          <w:color w:val="auto"/>
        </w:rPr>
        <w:t>Condições de Entrega</w:t>
      </w:r>
    </w:p>
    <w:p w14:paraId="55BF1B31" w14:textId="77777777" w:rsidR="00A06A27" w:rsidRPr="000E5C0A" w:rsidRDefault="00000000" w:rsidP="000E5C0A">
      <w:pPr>
        <w:pStyle w:val="Nivel2"/>
      </w:pPr>
      <w:r>
        <w:rPr>
          <w:color w:val="000000" w:themeColor="text1"/>
        </w:rPr>
        <w:t xml:space="preserve">O prazo de entrega dos bens será de até 10 (Dez) dias úteis, contados a partir do envio da nota de empenho e ordem </w:t>
      </w:r>
      <w:r w:rsidRPr="000E5C0A">
        <w:t>de serviços constando o quantitativo a ser solicitado, conforme necessidade do órgão solicitante.</w:t>
      </w:r>
    </w:p>
    <w:p w14:paraId="1F830224" w14:textId="77777777" w:rsidR="00A06A27" w:rsidRPr="000E5C0A" w:rsidRDefault="00000000" w:rsidP="000E5C0A">
      <w:pPr>
        <w:pStyle w:val="Nivel2"/>
      </w:pPr>
      <w:r w:rsidRPr="000E5C0A">
        <w:t>Caso não seja possível a entrega na data assinalada, a empresa deverá comunicar as razões respectivas com pelo menos 05 dias de antecedência para que qualquer pleito de prorrogação de prazo seja analisado, ressalvadas situações de caso fortuito e força maior.</w:t>
      </w:r>
    </w:p>
    <w:p w14:paraId="7FF5E2A9" w14:textId="77777777" w:rsidR="00A06A27" w:rsidRPr="000E5C0A" w:rsidRDefault="00000000" w:rsidP="000E5C0A">
      <w:pPr>
        <w:pStyle w:val="Nivel2"/>
      </w:pPr>
      <w:r w:rsidRPr="000E5C0A">
        <w:t>O Item deverá ser entregue na Rua Saldanha Marinho, nº 92, bairro Lava Pés, Paraíba do Sul/RJ, de 09 às 16h.</w:t>
      </w:r>
    </w:p>
    <w:p w14:paraId="17056775" w14:textId="77777777" w:rsidR="00A06A27" w:rsidRDefault="00000000">
      <w:pPr>
        <w:pStyle w:val="Nivel01"/>
        <w:rPr>
          <w:bCs w:val="0"/>
          <w:color w:val="000000" w:themeColor="text1"/>
        </w:rPr>
      </w:pPr>
      <w:r>
        <w:t>Garantia, manutenção e assistência técnica</w:t>
      </w:r>
    </w:p>
    <w:p w14:paraId="455EA2EF" w14:textId="77777777" w:rsidR="00A06A27" w:rsidRDefault="00000000">
      <w:pPr>
        <w:pStyle w:val="Nvel2-Red"/>
        <w:rPr>
          <w:i w:val="0"/>
          <w:iCs w:val="0"/>
          <w:color w:val="auto"/>
        </w:rPr>
      </w:pPr>
      <w:r>
        <w:rPr>
          <w:i w:val="0"/>
          <w:iCs w:val="0"/>
          <w:color w:val="auto"/>
        </w:rPr>
        <w:t>O prazo de garantia é aquele estabelecido na Lei nº 8.078, de 11 de setembro de 1990 (Código de Defesa do Consumidor)</w:t>
      </w:r>
    </w:p>
    <w:p w14:paraId="5A9D83D6" w14:textId="77777777" w:rsidR="00A06A27" w:rsidRDefault="00000000">
      <w:pPr>
        <w:pStyle w:val="Nivel01"/>
      </w:pPr>
      <w:r>
        <w:t>MODELO DE GESTÃO DO CONTRATO</w:t>
      </w:r>
    </w:p>
    <w:p w14:paraId="67D7A0DA" w14:textId="77777777" w:rsidR="00A06A27" w:rsidRDefault="00000000">
      <w:pPr>
        <w:pStyle w:val="Nivel2"/>
      </w:pPr>
      <w:r>
        <w:t>O contrato deverá ser executado fielmente pelas partes, de acordo com as cláusulas avençadas e as normas da Lei nº 14.133, de 2021, e cada parte responderá pelas consequências de sua inexecução total ou parcial.</w:t>
      </w:r>
    </w:p>
    <w:p w14:paraId="5642AB8D" w14:textId="77777777" w:rsidR="00A06A27" w:rsidRDefault="00000000">
      <w:pPr>
        <w:pStyle w:val="Nivel2"/>
      </w:pPr>
      <w:r>
        <w:t>Em caso de impedimento, ordem de paralisação ou suspensão do contrato, o cronograma de execução será prorrogado automaticamente pelo tempo correspondente, anotadas tais circunstâncias mediante simples apostila.</w:t>
      </w:r>
    </w:p>
    <w:p w14:paraId="56BC30B0" w14:textId="77777777" w:rsidR="00A06A27" w:rsidRDefault="00000000">
      <w:pPr>
        <w:pStyle w:val="Nivel2"/>
      </w:pPr>
      <w:r>
        <w:t>As comunicações entre o órgão ou entidade e a contratada devem ser realizadas por escrito sempre que o ato exigir tal formalidade, admitindo-se o uso de mensagem eletrônica para esse fim.</w:t>
      </w:r>
    </w:p>
    <w:p w14:paraId="0CA4C26E" w14:textId="77777777" w:rsidR="00A06A27" w:rsidRDefault="00000000">
      <w:pPr>
        <w:pStyle w:val="Nivel2"/>
      </w:pPr>
      <w:r>
        <w:t>O órgão ou entidade poderá convocar representante da empresa para adoção de providências que devam ser cumpridas de imediato.</w:t>
      </w:r>
    </w:p>
    <w:p w14:paraId="27C3BE6B" w14:textId="77777777" w:rsidR="00A06A27" w:rsidRDefault="00000000">
      <w:pPr>
        <w:pStyle w:val="Nivel2"/>
      </w:pPr>
      <w:r>
        <w:lastRenderedPageBreak/>
        <w:t xml:space="preserve"> Após a assinatura do contrato ou instrumento equivalente</w:t>
      </w:r>
      <w:r>
        <w:rPr>
          <w:strike/>
        </w:rPr>
        <w:t>,</w:t>
      </w:r>
      <w: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B6CDB27" w14:textId="77777777" w:rsidR="00A06A27" w:rsidRPr="00890255" w:rsidRDefault="00000000">
      <w:pPr>
        <w:pStyle w:val="Nivel2"/>
        <w:numPr>
          <w:ilvl w:val="0"/>
          <w:numId w:val="0"/>
        </w:numPr>
        <w:rPr>
          <w:b/>
          <w:bCs/>
          <w:u w:val="single"/>
        </w:rPr>
      </w:pPr>
      <w:r w:rsidRPr="00890255">
        <w:rPr>
          <w:b/>
          <w:bCs/>
          <w:u w:val="single"/>
        </w:rPr>
        <w:t>Fiscalização</w:t>
      </w:r>
    </w:p>
    <w:p w14:paraId="3A201733" w14:textId="77777777" w:rsidR="00A06A27" w:rsidRDefault="00000000">
      <w:pPr>
        <w:pStyle w:val="Nivel2"/>
      </w:pPr>
      <w:r>
        <w:t>A execução do contrato deverá ser acompanhada e fiscalizada pelo(s) fiscal(</w:t>
      </w:r>
      <w:proofErr w:type="spellStart"/>
      <w:r>
        <w:t>is</w:t>
      </w:r>
      <w:proofErr w:type="spellEnd"/>
      <w:r>
        <w:t>) do contrato, ou pelos respectivos substitutos (</w:t>
      </w:r>
      <w:hyperlink r:id="rId9" w:anchor="art117" w:tooltip="http://www.planalto.gov.br/ccivil_03/_ato2019-2022/2021/lei/L14133.htm#art117" w:history="1">
        <w:r>
          <w:rPr>
            <w:rStyle w:val="Hyperlink"/>
          </w:rPr>
          <w:t>Lei nº 14.133, de 2021, art. 117, caput</w:t>
        </w:r>
      </w:hyperlink>
      <w:r>
        <w:t>).</w:t>
      </w:r>
    </w:p>
    <w:p w14:paraId="7C26C38F" w14:textId="77777777" w:rsidR="00A06A27" w:rsidRDefault="00000000">
      <w:pPr>
        <w:pStyle w:val="Nvel1-SemNumPreto"/>
        <w:rPr>
          <w:color w:val="auto"/>
        </w:rPr>
      </w:pPr>
      <w:r>
        <w:rPr>
          <w:color w:val="auto"/>
        </w:rPr>
        <w:t>Fiscalização Técnica</w:t>
      </w:r>
    </w:p>
    <w:p w14:paraId="76294273" w14:textId="77777777" w:rsidR="00A06A27" w:rsidRDefault="00000000">
      <w:pPr>
        <w:pStyle w:val="Nivel2"/>
      </w:pPr>
      <w:r>
        <w:t>O fiscal técnico do contrato acompanhará a execução do contrato, para que sejam cumpridas todas as condições estabelecidas no contrato, de modo a assegurar os melhores resultados para a Administração. (Decreto nº 11.246, de 2022, art. 22, VI);</w:t>
      </w:r>
    </w:p>
    <w:p w14:paraId="27E73F93" w14:textId="77777777" w:rsidR="00A06A27" w:rsidRDefault="00000000" w:rsidP="00271BA6">
      <w:pPr>
        <w:pStyle w:val="Nivel3"/>
        <w:tabs>
          <w:tab w:val="left" w:pos="1560"/>
        </w:tabs>
        <w:ind w:left="993"/>
      </w:pPr>
      <w:r>
        <w:t>O fiscal técnico do contrato anotará no histórico de gerenciamento do contrato todas as ocorrências relacionadas à execução do contrato, com a descrição do que for necessário para a regularização das faltas ou dos defeitos observados. (</w:t>
      </w:r>
      <w:hyperlink r:id="rId10" w:anchor="art117§1" w:tooltip="http://www.planalto.gov.br/ccivil_03/_ato2019-2022/2021/lei/L14133.htm#art117§1" w:history="1">
        <w:r>
          <w:rPr>
            <w:rStyle w:val="Hyperlink"/>
          </w:rPr>
          <w:t>Lei nº 14.133, de 2021, art. 117, §1º</w:t>
        </w:r>
      </w:hyperlink>
      <w:r>
        <w:t xml:space="preserve">, e </w:t>
      </w:r>
      <w:hyperlink r:id="rId11" w:anchor="art22" w:tooltip="https://www.planalto.gov.br/ccivil_03/_ato2019-2022/2022/Decreto/D11246.htm#art22" w:history="1">
        <w:r>
          <w:rPr>
            <w:rStyle w:val="Hyperlink"/>
          </w:rPr>
          <w:t>Decreto nº 11.246, de 2022, art. 22, II);</w:t>
        </w:r>
      </w:hyperlink>
    </w:p>
    <w:p w14:paraId="6D7E9F60" w14:textId="77777777" w:rsidR="00A06A27" w:rsidRDefault="00000000" w:rsidP="00271BA6">
      <w:pPr>
        <w:pStyle w:val="Nivel3"/>
        <w:tabs>
          <w:tab w:val="left" w:pos="1560"/>
        </w:tabs>
        <w:ind w:left="993"/>
      </w:pPr>
      <w:r>
        <w:t>Identificada qualquer inexatidão ou irregularidade, o fiscal técnico do contrato emitirá notificações para a correção da execução do contrato, determinando prazo para a correção. (</w:t>
      </w:r>
      <w:hyperlink r:id="rId12" w:anchor="art22" w:tooltip="https://www.planalto.gov.br/ccivil_03/_ato2019-2022/2022/Decreto/D11246.htm#art22" w:history="1">
        <w:r>
          <w:rPr>
            <w:rStyle w:val="Hyperlink"/>
          </w:rPr>
          <w:t>Decreto nº 11.246, de 2022, art. 22, III</w:t>
        </w:r>
      </w:hyperlink>
      <w:r>
        <w:t xml:space="preserve">); </w:t>
      </w:r>
    </w:p>
    <w:p w14:paraId="2DB50FD3" w14:textId="77777777" w:rsidR="00A06A27" w:rsidRDefault="00000000" w:rsidP="00271BA6">
      <w:pPr>
        <w:pStyle w:val="Nivel3"/>
        <w:tabs>
          <w:tab w:val="left" w:pos="1560"/>
        </w:tabs>
        <w:ind w:left="993"/>
      </w:pPr>
      <w:r>
        <w:t>O fiscal técnico do contrato informará ao gestor do contato, em tempo hábil, a situação que demandar decisão ou adoção de medidas que ultrapassem sua competência, para que adote as medidas necessárias e saneadoras, se for o caso. (</w:t>
      </w:r>
      <w:hyperlink r:id="rId13" w:anchor="art22" w:tooltip="https://www.planalto.gov.br/ccivil_03/_ato2019-2022/2022/Decreto/D11246.htm#art22" w:history="1">
        <w:r>
          <w:rPr>
            <w:rStyle w:val="Hyperlink"/>
          </w:rPr>
          <w:t>Decreto nº 11.246, de 2022, art. 22, IV</w:t>
        </w:r>
      </w:hyperlink>
      <w:r>
        <w:t>).</w:t>
      </w:r>
    </w:p>
    <w:p w14:paraId="162CE580" w14:textId="77777777" w:rsidR="00A06A27" w:rsidRDefault="00000000" w:rsidP="00271BA6">
      <w:pPr>
        <w:pStyle w:val="Nivel3"/>
        <w:tabs>
          <w:tab w:val="left" w:pos="1560"/>
        </w:tabs>
        <w:ind w:left="993"/>
      </w:pPr>
      <w:r>
        <w:t>No caso de ocorrências que possam inviabilizar a execução do contrato nas datas aprazadas, o fiscal técnico do contrato comunicará o fato imediatamente ao gestor do contrato. (</w:t>
      </w:r>
      <w:hyperlink r:id="rId14" w:anchor="art22" w:tooltip="https://www.planalto.gov.br/ccivil_03/_ato2019-2022/2022/Decreto/D11246.htm#art22" w:history="1">
        <w:r>
          <w:rPr>
            <w:rStyle w:val="Hyperlink"/>
          </w:rPr>
          <w:t>Decreto nº 11.246, de 2022, art. 22, V</w:t>
        </w:r>
      </w:hyperlink>
      <w:r>
        <w:t>).</w:t>
      </w:r>
    </w:p>
    <w:p w14:paraId="536D1CCA" w14:textId="77777777" w:rsidR="00A06A27" w:rsidRDefault="00000000" w:rsidP="00271BA6">
      <w:pPr>
        <w:pStyle w:val="Nivel3"/>
        <w:tabs>
          <w:tab w:val="left" w:pos="1560"/>
        </w:tabs>
        <w:ind w:left="993"/>
      </w:pPr>
      <w:r>
        <w:t xml:space="preserve">O fiscal técnico do contrato comunicará ao gestor do contrato, em tempo hábil, o término do contrato sob sua responsabilidade, com vistas à renovação tempestiva ou à prorrogação contratual </w:t>
      </w:r>
      <w:hyperlink r:id="rId15" w:anchor="art22" w:tooltip="https://www.planalto.gov.br/ccivil_03/_ato2019-2022/2022/Decreto/D11246.htm#art22" w:history="1">
        <w:r>
          <w:rPr>
            <w:rStyle w:val="Hyperlink"/>
          </w:rPr>
          <w:t>(Decreto nº 11.246, de 2022, art. 22, VII</w:t>
        </w:r>
      </w:hyperlink>
      <w:r>
        <w:t>).</w:t>
      </w:r>
    </w:p>
    <w:p w14:paraId="1BF6618E" w14:textId="77777777" w:rsidR="00A06A27" w:rsidRPr="00271BA6" w:rsidRDefault="00000000">
      <w:pPr>
        <w:pStyle w:val="Nivel3"/>
        <w:numPr>
          <w:ilvl w:val="0"/>
          <w:numId w:val="0"/>
        </w:numPr>
        <w:rPr>
          <w:b/>
          <w:bCs/>
          <w:u w:val="single"/>
        </w:rPr>
      </w:pPr>
      <w:r w:rsidRPr="00271BA6">
        <w:rPr>
          <w:b/>
          <w:bCs/>
          <w:u w:val="single"/>
        </w:rPr>
        <w:t>Fiscalização Administrativa</w:t>
      </w:r>
    </w:p>
    <w:p w14:paraId="560934D7" w14:textId="77777777" w:rsidR="00A06A27" w:rsidRDefault="00000000">
      <w:pPr>
        <w:pStyle w:val="Nivel2"/>
      </w:pPr>
      <w: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16" w:anchor="art23" w:tooltip="https://www.planalto.gov.br/ccivil_03/_ato2019-2022/2022/Decreto/D11246.htm#art23" w:history="1">
        <w:r>
          <w:rPr>
            <w:rStyle w:val="Hyperlink"/>
          </w:rPr>
          <w:t>Art. 23, I e II, do Decreto nº 11.246, de 2022</w:t>
        </w:r>
      </w:hyperlink>
      <w:r>
        <w:t>).</w:t>
      </w:r>
    </w:p>
    <w:p w14:paraId="3A3CF50C" w14:textId="77777777" w:rsidR="00A06A27" w:rsidRDefault="00000000" w:rsidP="00271BA6">
      <w:pPr>
        <w:pStyle w:val="Nivel3"/>
        <w:tabs>
          <w:tab w:val="left" w:pos="1560"/>
        </w:tabs>
        <w:ind w:left="993"/>
      </w:pPr>
      <w: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17" w:anchor="art23" w:tooltip="https://www.planalto.gov.br/ccivil_03/_ato2019-2022/2022/Decreto/D11246.htm#art23" w:history="1">
        <w:r>
          <w:rPr>
            <w:rStyle w:val="Hyperlink"/>
          </w:rPr>
          <w:t>Decreto nº 11.246, de 2022, art. 23, IV</w:t>
        </w:r>
      </w:hyperlink>
      <w:r>
        <w:t>).</w:t>
      </w:r>
    </w:p>
    <w:p w14:paraId="4F919823" w14:textId="77777777" w:rsidR="00A06A27" w:rsidRDefault="00000000">
      <w:pPr>
        <w:pStyle w:val="Nvel2-Red"/>
        <w:rPr>
          <w:i w:val="0"/>
          <w:iCs w:val="0"/>
          <w:color w:val="auto"/>
        </w:rPr>
      </w:pPr>
      <w:r>
        <w:rPr>
          <w:i w:val="0"/>
          <w:iCs w:val="0"/>
          <w:color w:val="auto"/>
        </w:rPr>
        <w:t>Além do disposto acima, a fiscalização contratual obedecerá às seguintes rotinas:</w:t>
      </w:r>
    </w:p>
    <w:p w14:paraId="1F865B32" w14:textId="77777777" w:rsidR="00A06A27" w:rsidRDefault="00000000" w:rsidP="00271BA6">
      <w:pPr>
        <w:pStyle w:val="Nvel3-R"/>
        <w:tabs>
          <w:tab w:val="left" w:pos="1560"/>
        </w:tabs>
        <w:ind w:left="993"/>
        <w:rPr>
          <w:i w:val="0"/>
          <w:iCs w:val="0"/>
          <w:color w:val="auto"/>
        </w:rPr>
      </w:pPr>
      <w:r>
        <w:rPr>
          <w:i w:val="0"/>
          <w:iCs w:val="0"/>
          <w:color w:val="auto"/>
        </w:rPr>
        <w:t>Supervisionar a entrega dos materiais;</w:t>
      </w:r>
    </w:p>
    <w:p w14:paraId="006556E6" w14:textId="77777777" w:rsidR="00A06A27" w:rsidRDefault="00000000" w:rsidP="00271BA6">
      <w:pPr>
        <w:pStyle w:val="Nvel3-R"/>
        <w:tabs>
          <w:tab w:val="left" w:pos="1560"/>
        </w:tabs>
        <w:ind w:left="993"/>
        <w:rPr>
          <w:i w:val="0"/>
          <w:iCs w:val="0"/>
          <w:color w:val="auto"/>
        </w:rPr>
      </w:pPr>
      <w:r>
        <w:rPr>
          <w:i w:val="0"/>
          <w:iCs w:val="0"/>
          <w:color w:val="auto"/>
        </w:rPr>
        <w:t>Notificar a empresa sobre a intenção da Sec. Municipal de Saúde em aplicar as sanções;</w:t>
      </w:r>
    </w:p>
    <w:p w14:paraId="4AC35ED7" w14:textId="77777777" w:rsidR="00A06A27" w:rsidRDefault="00000000" w:rsidP="00271BA6">
      <w:pPr>
        <w:pStyle w:val="Nvel3-R"/>
        <w:tabs>
          <w:tab w:val="left" w:pos="1560"/>
        </w:tabs>
        <w:ind w:left="993"/>
        <w:rPr>
          <w:i w:val="0"/>
          <w:iCs w:val="0"/>
          <w:color w:val="auto"/>
        </w:rPr>
      </w:pPr>
      <w:r>
        <w:rPr>
          <w:i w:val="0"/>
          <w:iCs w:val="0"/>
          <w:color w:val="auto"/>
        </w:rPr>
        <w:t>Atestar as notas fiscais;</w:t>
      </w:r>
    </w:p>
    <w:p w14:paraId="441A3B2B" w14:textId="77777777" w:rsidR="00A06A27" w:rsidRDefault="00000000" w:rsidP="00271BA6">
      <w:pPr>
        <w:pStyle w:val="Nvel3-R"/>
        <w:tabs>
          <w:tab w:val="left" w:pos="1560"/>
        </w:tabs>
        <w:ind w:left="993"/>
        <w:rPr>
          <w:i w:val="0"/>
          <w:iCs w:val="0"/>
          <w:color w:val="auto"/>
        </w:rPr>
      </w:pPr>
      <w:r>
        <w:rPr>
          <w:i w:val="0"/>
          <w:iCs w:val="0"/>
          <w:color w:val="auto"/>
        </w:rPr>
        <w:t>Outras medidas necessárias ao fiel cumprimento do contrato.</w:t>
      </w:r>
    </w:p>
    <w:p w14:paraId="3D5CB969" w14:textId="77777777" w:rsidR="00A06A27" w:rsidRDefault="00000000">
      <w:pPr>
        <w:pStyle w:val="Nvel1-SemNumPreto"/>
        <w:rPr>
          <w:i/>
          <w:iCs/>
          <w:color w:val="auto"/>
        </w:rPr>
      </w:pPr>
      <w:r>
        <w:rPr>
          <w:color w:val="auto"/>
        </w:rPr>
        <w:lastRenderedPageBreak/>
        <w:t>Gestor do Contrato</w:t>
      </w:r>
    </w:p>
    <w:p w14:paraId="2941D45A" w14:textId="77777777" w:rsidR="00A06A27" w:rsidRDefault="00000000">
      <w:pPr>
        <w:pStyle w:val="Nivel2"/>
      </w:pPr>
      <w: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5D7C470D" w14:textId="77777777" w:rsidR="00A06A27" w:rsidRDefault="00000000">
      <w:pPr>
        <w:pStyle w:val="Nivel2"/>
      </w:pPr>
      <w: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03BEAD12" w14:textId="77777777" w:rsidR="00A06A27" w:rsidRDefault="00000000">
      <w:pPr>
        <w:pStyle w:val="Nivel2"/>
      </w:pPr>
      <w: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45023BDE" w14:textId="77777777" w:rsidR="00A06A27" w:rsidRDefault="00000000">
      <w:pPr>
        <w:pStyle w:val="Nivel2"/>
      </w:pPr>
      <w: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01BF9390" w14:textId="77777777" w:rsidR="00A06A27" w:rsidRDefault="00000000">
      <w:pPr>
        <w:pStyle w:val="Nivel2"/>
      </w:pPr>
      <w: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2D8C9B9C" w14:textId="77777777" w:rsidR="00A06A27" w:rsidRDefault="00000000">
      <w:pPr>
        <w:pStyle w:val="Nivel2"/>
      </w:pPr>
      <w: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063A6E2B" w14:textId="77777777" w:rsidR="00A06A27" w:rsidRDefault="00000000">
      <w:pPr>
        <w:pStyle w:val="Nivel2"/>
      </w:pPr>
      <w:r>
        <w:t>O gestor do contrato deverá enviar a documentação pertinente ao setor de contratos para a formalização dos procedimentos de liquidação e pagamento, no valor dimensionado pela fiscalização e gestão nos termos do contrato.</w:t>
      </w:r>
    </w:p>
    <w:p w14:paraId="0AA11E79" w14:textId="77777777" w:rsidR="00A06A27" w:rsidRDefault="00000000">
      <w:pPr>
        <w:pStyle w:val="Nivel01"/>
      </w:pPr>
      <w:r>
        <w:t>CRITÉRIOS DE MEDIÇÃO E DE PAGAMENTO</w:t>
      </w:r>
    </w:p>
    <w:p w14:paraId="621AB9EF" w14:textId="77777777" w:rsidR="00A06A27" w:rsidRDefault="00000000">
      <w:pPr>
        <w:pStyle w:val="Nvel1-SemNumPreto"/>
        <w:rPr>
          <w:color w:val="auto"/>
        </w:rPr>
      </w:pPr>
      <w:r>
        <w:rPr>
          <w:color w:val="auto"/>
        </w:rPr>
        <w:t>Recebimento</w:t>
      </w:r>
    </w:p>
    <w:p w14:paraId="365BE595" w14:textId="77777777" w:rsidR="00A06A27" w:rsidRDefault="00000000">
      <w:pPr>
        <w:pStyle w:val="Nivel2"/>
        <w:rPr>
          <w:lang w:eastAsia="en-US"/>
        </w:rPr>
      </w:pPr>
      <w:r>
        <w:rPr>
          <w:color w:val="auto"/>
          <w:lang w:eastAsia="en-US"/>
        </w:rPr>
        <w:t xml:space="preserve">Os bens </w:t>
      </w:r>
      <w:r>
        <w:rPr>
          <w:lang w:eastAsia="en-US"/>
        </w:rPr>
        <w:t xml:space="preserve">serão recebidos provisoriamente, de forma sumária, no ato da entrega, juntamente com a </w:t>
      </w:r>
      <w:r>
        <w:rPr>
          <w:rFonts w:eastAsia="Calibri"/>
          <w:lang w:eastAsia="en-US"/>
        </w:rPr>
        <w:t>nota</w:t>
      </w:r>
      <w:r>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Pr>
          <w:color w:val="FF0000"/>
          <w:lang w:eastAsia="en-US"/>
        </w:rPr>
        <w:t xml:space="preserve"> </w:t>
      </w:r>
      <w:r>
        <w:rPr>
          <w:lang w:eastAsia="en-US"/>
        </w:rPr>
        <w:t>e na proposta.</w:t>
      </w:r>
    </w:p>
    <w:p w14:paraId="7E836436" w14:textId="77777777" w:rsidR="00A06A27" w:rsidRDefault="00000000">
      <w:pPr>
        <w:pStyle w:val="Nivel2"/>
        <w:rPr>
          <w:lang w:eastAsia="en-US"/>
        </w:rPr>
      </w:pPr>
      <w:r>
        <w:rPr>
          <w:color w:val="auto"/>
          <w:lang w:eastAsia="en-US"/>
        </w:rPr>
        <w:t>Os bens poderão ser rejeitados, no todo ou em parte, inclusive antes do recebimento provisório, quando em desacordo com as especificações constantes no Termo de Referência e na proposta, devendo ser substituídos no prazo de cinco (5) dias</w:t>
      </w:r>
      <w:r>
        <w:rPr>
          <w:lang w:eastAsia="en-US"/>
        </w:rPr>
        <w:t>, a contar da notificação da contratada, às suas custas, sem prejuízo da aplicação das penalidades.</w:t>
      </w:r>
    </w:p>
    <w:p w14:paraId="11A858B7" w14:textId="77777777" w:rsidR="00A06A27" w:rsidRDefault="00000000">
      <w:pPr>
        <w:pStyle w:val="Nivel2"/>
        <w:rPr>
          <w:lang w:eastAsia="en-US"/>
        </w:rPr>
      </w:pPr>
      <w:r>
        <w:rPr>
          <w:lang w:eastAsia="en-US"/>
        </w:rPr>
        <w:t>O recebimento definitivo ocorrerá no prazo de 5(cinco</w:t>
      </w:r>
      <w:r>
        <w:rPr>
          <w:color w:val="auto"/>
          <w:lang w:eastAsia="en-US"/>
        </w:rPr>
        <w:t xml:space="preserve">) dias úteis, a contar do recebimento da nota fiscal ou instrumento de cobrança equivalente pela Administração, após a verificação </w:t>
      </w:r>
      <w:r>
        <w:rPr>
          <w:lang w:eastAsia="en-US"/>
        </w:rPr>
        <w:t>da qualidade e quantidade do material e consequente aceitação mediante termo detalhado.</w:t>
      </w:r>
    </w:p>
    <w:p w14:paraId="026029F1" w14:textId="77777777" w:rsidR="00A06A27" w:rsidRDefault="00000000">
      <w:pPr>
        <w:pStyle w:val="Nivel2"/>
        <w:rPr>
          <w:lang w:eastAsia="en-US"/>
        </w:rPr>
      </w:pPr>
      <w:r>
        <w:rPr>
          <w:lang w:eastAsia="en-US"/>
        </w:rPr>
        <w:t xml:space="preserve">Para as contratações decorrentes de despesas cujos valores não ultrapassem o limite de que trata o </w:t>
      </w:r>
      <w:hyperlink r:id="rId18" w:anchor="art75" w:tooltip="http://www.planalto.gov.br/ccivil_03/_ato2019-2022/2021/lei/L14133.htm#art75" w:history="1">
        <w:r>
          <w:rPr>
            <w:rStyle w:val="Hyperlink"/>
            <w:lang w:eastAsia="en-US"/>
          </w:rPr>
          <w:t>inciso II do art. 75 da Lei nº 14.133, de 2021</w:t>
        </w:r>
      </w:hyperlink>
      <w:r>
        <w:rPr>
          <w:lang w:eastAsia="en-US"/>
        </w:rPr>
        <w:t xml:space="preserve">, o prazo máximo para o recebimento definitivo será de </w:t>
      </w:r>
      <w:r>
        <w:rPr>
          <w:color w:val="auto"/>
          <w:lang w:eastAsia="en-US"/>
        </w:rPr>
        <w:t xml:space="preserve">até 10 (dez) dias </w:t>
      </w:r>
      <w:r>
        <w:rPr>
          <w:lang w:eastAsia="en-US"/>
        </w:rPr>
        <w:t>úteis.</w:t>
      </w:r>
    </w:p>
    <w:p w14:paraId="3E35C4A3" w14:textId="77777777" w:rsidR="00A06A27" w:rsidRDefault="00000000">
      <w:pPr>
        <w:pStyle w:val="Nivel2"/>
        <w:rPr>
          <w:lang w:eastAsia="en-US"/>
        </w:rPr>
      </w:pPr>
      <w:r>
        <w:rPr>
          <w:lang w:eastAsia="en-US"/>
        </w:rPr>
        <w:lastRenderedPageBreak/>
        <w:t xml:space="preserve">O prazo para recebimento definitivo poderá ser excepcionalmente prorrogado, </w:t>
      </w:r>
      <w:r>
        <w:rPr>
          <w:color w:val="auto"/>
          <w:lang w:eastAsia="en-US"/>
        </w:rPr>
        <w:t>de forma justificada, por igual período, quando houver necessidade de diligências para a aferição do ate</w:t>
      </w:r>
      <w:r>
        <w:rPr>
          <w:lang w:eastAsia="en-US"/>
        </w:rPr>
        <w:t>ndimento das exigências contratuais.</w:t>
      </w:r>
    </w:p>
    <w:p w14:paraId="2FC58300" w14:textId="77777777" w:rsidR="00A06A27" w:rsidRDefault="00000000">
      <w:pPr>
        <w:pStyle w:val="Nivel2"/>
        <w:rPr>
          <w:lang w:eastAsia="en-US"/>
        </w:rPr>
      </w:pPr>
      <w:r>
        <w:rPr>
          <w:lang w:eastAsia="en-US"/>
        </w:rPr>
        <w:t xml:space="preserve">No caso de controvérsia sobre a execução do objeto, quanto à dimensão, qualidade e quantidade, deverá ser observado o teor do </w:t>
      </w:r>
      <w:hyperlink r:id="rId19" w:anchor="art143" w:tooltip="http://www.planalto.gov.br/ccivil_03/_ato2019-2022/2021/lei/L14133.htm#art143" w:history="1">
        <w:r>
          <w:rPr>
            <w:rStyle w:val="Hyperlink"/>
            <w:lang w:eastAsia="en-US"/>
          </w:rPr>
          <w:t>art. 143 da Lei nº 14.133, de 2021</w:t>
        </w:r>
      </w:hyperlink>
      <w:r>
        <w:rPr>
          <w:lang w:eastAsia="en-US"/>
        </w:rPr>
        <w:t xml:space="preserve">, comunicando-se à empresa para emissão de Nota Fiscal no que </w:t>
      </w:r>
      <w:proofErr w:type="spellStart"/>
      <w:r>
        <w:rPr>
          <w:lang w:eastAsia="en-US"/>
        </w:rPr>
        <w:t>pertine</w:t>
      </w:r>
      <w:proofErr w:type="spellEnd"/>
      <w:r>
        <w:rPr>
          <w:lang w:eastAsia="en-US"/>
        </w:rPr>
        <w:t xml:space="preserve"> à parcela incontroversa da execução do objeto, para efeito de liquidação e pagamento.</w:t>
      </w:r>
    </w:p>
    <w:p w14:paraId="473F630D" w14:textId="77777777" w:rsidR="00A06A27" w:rsidRDefault="00000000">
      <w:pPr>
        <w:pStyle w:val="Nivel2"/>
        <w:rPr>
          <w:lang w:eastAsia="en-US"/>
        </w:rPr>
      </w:pPr>
      <w:r>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5C7D192" w14:textId="77777777" w:rsidR="00A06A27" w:rsidRDefault="00000000">
      <w:pPr>
        <w:pStyle w:val="Nivel2"/>
        <w:rPr>
          <w:lang w:eastAsia="en-US"/>
        </w:rPr>
      </w:pPr>
      <w:r>
        <w:rPr>
          <w:lang w:eastAsia="en-US"/>
        </w:rPr>
        <w:t>O recebimento provisório ou definitivo não excluirá a responsabilidade civil pela solidez e pela segurança dos bens nem a responsabilidade ético-profissional pela perfeita execução do contrato.</w:t>
      </w:r>
    </w:p>
    <w:p w14:paraId="3DBFC4CD" w14:textId="77777777" w:rsidR="00A06A27" w:rsidRDefault="00000000">
      <w:pPr>
        <w:pStyle w:val="Nvel1-SemNumPreto"/>
      </w:pPr>
      <w:r>
        <w:rPr>
          <w:color w:val="auto"/>
        </w:rPr>
        <w:t>Liquidação</w:t>
      </w:r>
    </w:p>
    <w:p w14:paraId="00EDC27F" w14:textId="77777777" w:rsidR="00A06A27" w:rsidRDefault="00000000">
      <w:pPr>
        <w:pStyle w:val="Nivel2"/>
        <w:rPr>
          <w:lang w:eastAsia="en-US"/>
        </w:rPr>
      </w:pPr>
      <w:r>
        <w:rPr>
          <w:lang w:eastAsia="en-US"/>
        </w:rPr>
        <w:t>Recebida a Nota Fiscal ou documento de cobrança equivalente, correrá o prazo de dez dias úteis para fins de liquidação, na forma desta seção, prorrogáveis por igual período, nos termos do art. 7º, §3</w:t>
      </w:r>
      <w:r>
        <w:rPr>
          <w:rStyle w:val="Hyperlink"/>
          <w:lang w:eastAsia="en-US"/>
        </w:rPr>
        <w:t>º da Instrução Normativa SEGES/ME nº 77/2022</w:t>
      </w:r>
      <w:r>
        <w:rPr>
          <w:lang w:eastAsia="en-US"/>
        </w:rPr>
        <w:t>.</w:t>
      </w:r>
    </w:p>
    <w:p w14:paraId="3C4B2355" w14:textId="77777777" w:rsidR="00A06A27" w:rsidRDefault="00000000" w:rsidP="00271BA6">
      <w:pPr>
        <w:pStyle w:val="Nivel3"/>
        <w:tabs>
          <w:tab w:val="left" w:pos="1560"/>
        </w:tabs>
        <w:ind w:left="993"/>
      </w:pPr>
      <w:r>
        <w:t xml:space="preserve">O prazo de que trata o item anterior será reduzido à metade, mantendo-se a possibilidade de prorrogação, no caso de contratações decorrentes de despesas cujos valores não ultrapassem o limite de que trata o </w:t>
      </w:r>
      <w:hyperlink r:id="rId20" w:anchor="art75" w:tooltip="http://www.planalto.gov.br/ccivil_03/_ato2019-2022/2021/lei/L14133.htm#art75" w:history="1">
        <w:r>
          <w:rPr>
            <w:rStyle w:val="Hyperlink"/>
          </w:rPr>
          <w:t>inciso II do art. 75 da Lei nº 14.133, de 2021</w:t>
        </w:r>
      </w:hyperlink>
      <w:r>
        <w:t>.</w:t>
      </w:r>
    </w:p>
    <w:p w14:paraId="29973944" w14:textId="77777777" w:rsidR="00A06A27" w:rsidRDefault="00000000">
      <w:pPr>
        <w:pStyle w:val="Nivel2"/>
        <w:rPr>
          <w:lang w:eastAsia="en-US"/>
        </w:rPr>
      </w:pPr>
      <w:r>
        <w:rPr>
          <w:lang w:eastAsia="en-US"/>
        </w:rPr>
        <w:t xml:space="preserve">Para fins de liquidação, o setor competente deverá verificar se a nota fiscal ou instrumento de cobrança equivalente apresentado expressa os elementos necessários e essenciais do documento, tais como: </w:t>
      </w:r>
    </w:p>
    <w:p w14:paraId="297CAC4A" w14:textId="77777777" w:rsidR="00A06A27" w:rsidRDefault="00000000" w:rsidP="00271BA6">
      <w:pPr>
        <w:pStyle w:val="Nivel3"/>
        <w:tabs>
          <w:tab w:val="left" w:pos="1701"/>
        </w:tabs>
        <w:ind w:left="993"/>
        <w:rPr>
          <w:lang w:eastAsia="en-US"/>
        </w:rPr>
      </w:pPr>
      <w:r>
        <w:rPr>
          <w:lang w:eastAsia="en-US"/>
        </w:rPr>
        <w:t>o prazo de validade;</w:t>
      </w:r>
    </w:p>
    <w:p w14:paraId="2EEA4A68" w14:textId="77777777" w:rsidR="00A06A27" w:rsidRDefault="00000000" w:rsidP="00271BA6">
      <w:pPr>
        <w:pStyle w:val="Nivel3"/>
        <w:tabs>
          <w:tab w:val="left" w:pos="1701"/>
        </w:tabs>
        <w:ind w:left="993"/>
        <w:rPr>
          <w:lang w:eastAsia="en-US"/>
        </w:rPr>
      </w:pPr>
      <w:r>
        <w:rPr>
          <w:lang w:eastAsia="en-US"/>
        </w:rPr>
        <w:t xml:space="preserve">a data da emissão; </w:t>
      </w:r>
    </w:p>
    <w:p w14:paraId="6D35421C" w14:textId="77777777" w:rsidR="00A06A27" w:rsidRDefault="00000000" w:rsidP="00271BA6">
      <w:pPr>
        <w:pStyle w:val="Nivel3"/>
        <w:tabs>
          <w:tab w:val="left" w:pos="1701"/>
        </w:tabs>
        <w:ind w:left="993"/>
        <w:rPr>
          <w:lang w:eastAsia="en-US"/>
        </w:rPr>
      </w:pPr>
      <w:r>
        <w:rPr>
          <w:lang w:eastAsia="en-US"/>
        </w:rPr>
        <w:t xml:space="preserve">os dados do contrato e do órgão contratante; </w:t>
      </w:r>
    </w:p>
    <w:p w14:paraId="2F360D35" w14:textId="77777777" w:rsidR="00A06A27" w:rsidRDefault="00000000" w:rsidP="00271BA6">
      <w:pPr>
        <w:pStyle w:val="Nivel3"/>
        <w:tabs>
          <w:tab w:val="left" w:pos="1701"/>
        </w:tabs>
        <w:ind w:left="993"/>
        <w:rPr>
          <w:lang w:eastAsia="en-US"/>
        </w:rPr>
      </w:pPr>
      <w:r>
        <w:rPr>
          <w:lang w:eastAsia="en-US"/>
        </w:rPr>
        <w:t xml:space="preserve">o período respectivo de execução do contrato; </w:t>
      </w:r>
    </w:p>
    <w:p w14:paraId="47A5666C" w14:textId="77777777" w:rsidR="00A06A27" w:rsidRDefault="00000000" w:rsidP="00271BA6">
      <w:pPr>
        <w:pStyle w:val="Nivel3"/>
        <w:tabs>
          <w:tab w:val="left" w:pos="1701"/>
        </w:tabs>
        <w:ind w:left="993"/>
        <w:rPr>
          <w:lang w:eastAsia="en-US"/>
        </w:rPr>
      </w:pPr>
      <w:r>
        <w:rPr>
          <w:lang w:eastAsia="en-US"/>
        </w:rPr>
        <w:t xml:space="preserve">o valor a pagar; e </w:t>
      </w:r>
    </w:p>
    <w:p w14:paraId="2F57119B" w14:textId="77777777" w:rsidR="00A06A27" w:rsidRDefault="00000000" w:rsidP="00271BA6">
      <w:pPr>
        <w:pStyle w:val="Nivel3"/>
        <w:tabs>
          <w:tab w:val="left" w:pos="1701"/>
        </w:tabs>
        <w:ind w:left="993"/>
        <w:rPr>
          <w:lang w:eastAsia="en-US"/>
        </w:rPr>
      </w:pPr>
      <w:r>
        <w:rPr>
          <w:lang w:eastAsia="en-US"/>
        </w:rPr>
        <w:t>eventual destaque do valor de retenções tributárias cabíveis.</w:t>
      </w:r>
    </w:p>
    <w:p w14:paraId="3A4B2F04" w14:textId="77777777" w:rsidR="00A06A27" w:rsidRDefault="00000000" w:rsidP="00271BA6">
      <w:pPr>
        <w:pStyle w:val="Nivel2"/>
        <w:tabs>
          <w:tab w:val="left" w:pos="1134"/>
        </w:tabs>
        <w:rPr>
          <w:lang w:eastAsia="en-US"/>
        </w:rPr>
      </w:pPr>
      <w:r>
        <w:rPr>
          <w:rFonts w:eastAsia="Calibri"/>
          <w:lang w:eastAsia="en-US"/>
        </w:rPr>
        <w:t xml:space="preserve"> Havendo erro na apresentação da nota fiscal ou instrumento de cobrança equivalente, ou circunstância que impeça a </w:t>
      </w:r>
      <w:r>
        <w:rPr>
          <w:lang w:eastAsia="en-US"/>
        </w:rPr>
        <w:t>liquidação da despesa, esta ficará sobrestada até que o contratado providencie as medidas saneadoras, reiniciando-se o prazo após a comprovação da regularização da situação, sem ônus ao contratante;</w:t>
      </w:r>
    </w:p>
    <w:p w14:paraId="71577FC5" w14:textId="77777777" w:rsidR="00A06A27" w:rsidRDefault="00000000" w:rsidP="00271BA6">
      <w:pPr>
        <w:pStyle w:val="Nivel2"/>
        <w:tabs>
          <w:tab w:val="left" w:pos="1134"/>
        </w:tabs>
        <w:rPr>
          <w:lang w:eastAsia="en-US"/>
        </w:rPr>
      </w:pPr>
      <w:r>
        <w:rPr>
          <w:lang w:eastAsia="en-US"/>
        </w:rPr>
        <w:t xml:space="preserve"> A nota fiscal ou instrumento de cobrança equivalente deverá ser obrigatoriamente acompanhado da comprovação da regularidade fiscal, constatada por meio de consulta </w:t>
      </w:r>
      <w:r>
        <w:rPr>
          <w:i/>
          <w:iCs/>
          <w:lang w:eastAsia="en-US"/>
        </w:rPr>
        <w:t>on-line</w:t>
      </w:r>
      <w:r>
        <w:rPr>
          <w:lang w:eastAsia="en-US"/>
        </w:rPr>
        <w:t xml:space="preserve"> ao SICAF ou, na impossibilidade de acesso ao referido Sistema, mediante consulta aos sítios eletrônicos oficiais ou à documentação mencionada no </w:t>
      </w:r>
      <w:hyperlink r:id="rId21" w:anchor="art68" w:tooltip="http://www.planalto.gov.br/ccivil_03/_ato2019-2022/2021/lei/L14133.htm#art68" w:history="1">
        <w:r>
          <w:rPr>
            <w:rStyle w:val="Hyperlink"/>
            <w:lang w:eastAsia="en-US"/>
          </w:rPr>
          <w:t xml:space="preserve">art. 68 da Lei nº 14.133, de 2021.  </w:t>
        </w:r>
      </w:hyperlink>
      <w:r>
        <w:rPr>
          <w:lang w:eastAsia="en-US"/>
        </w:rPr>
        <w:t xml:space="preserve"> </w:t>
      </w:r>
    </w:p>
    <w:p w14:paraId="44CDA82B" w14:textId="77777777" w:rsidR="00A06A27" w:rsidRDefault="00000000" w:rsidP="00271BA6">
      <w:pPr>
        <w:pStyle w:val="Nivel2"/>
        <w:tabs>
          <w:tab w:val="left" w:pos="1134"/>
        </w:tabs>
      </w:pPr>
      <w:r>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20B9605A" w14:textId="77777777" w:rsidR="00A06A27" w:rsidRDefault="00000000" w:rsidP="00271BA6">
      <w:pPr>
        <w:pStyle w:val="Nivel2"/>
        <w:tabs>
          <w:tab w:val="left" w:pos="1134"/>
        </w:tabs>
        <w:rPr>
          <w:lang w:eastAsia="en-US"/>
        </w:rPr>
      </w:pPr>
      <w:r>
        <w:rPr>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2B2114D" w14:textId="77777777" w:rsidR="00A06A27" w:rsidRDefault="00000000" w:rsidP="00271BA6">
      <w:pPr>
        <w:pStyle w:val="Nivel2"/>
        <w:tabs>
          <w:tab w:val="left" w:pos="1134"/>
        </w:tabs>
        <w:rPr>
          <w:lang w:eastAsia="en-US"/>
        </w:rPr>
      </w:pPr>
      <w:r>
        <w:rPr>
          <w:lang w:eastAsia="en-US"/>
        </w:rPr>
        <w:lastRenderedPageBreak/>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44E57B8" w14:textId="77777777" w:rsidR="00A06A27" w:rsidRDefault="00000000" w:rsidP="00271BA6">
      <w:pPr>
        <w:pStyle w:val="Nivel2"/>
        <w:tabs>
          <w:tab w:val="left" w:pos="1134"/>
        </w:tabs>
        <w:rPr>
          <w:lang w:eastAsia="en-US"/>
        </w:rPr>
      </w:pPr>
      <w:r>
        <w:rPr>
          <w:lang w:eastAsia="en-US"/>
        </w:rPr>
        <w:t xml:space="preserve">Persistindo a irregularidade, o contratante deverá adotar as medidas necessárias à rescisão contratual nos autos do processo administrativo correspondente, assegurada ao contratado a ampla defesa. </w:t>
      </w:r>
    </w:p>
    <w:p w14:paraId="4C87EFC8" w14:textId="77777777" w:rsidR="00A06A27" w:rsidRDefault="00000000" w:rsidP="00271BA6">
      <w:pPr>
        <w:pStyle w:val="Nivel2"/>
        <w:tabs>
          <w:tab w:val="left" w:pos="1134"/>
        </w:tabs>
        <w:rPr>
          <w:lang w:eastAsia="en-US"/>
        </w:rPr>
      </w:pPr>
      <w:r>
        <w:rPr>
          <w:lang w:eastAsia="en-US"/>
        </w:rPr>
        <w:t xml:space="preserve">Havendo a efetiva execução do objeto, os pagamentos serão realizados normalmente, até que se decida pela rescisão do contrato, caso o contratado não regularize sua situação junto ao SICAF.  </w:t>
      </w:r>
    </w:p>
    <w:p w14:paraId="1606B67F" w14:textId="77777777" w:rsidR="00A06A27" w:rsidRDefault="00000000">
      <w:pPr>
        <w:pStyle w:val="Nvel1-SemNumPreto"/>
        <w:rPr>
          <w:color w:val="auto"/>
        </w:rPr>
      </w:pPr>
      <w:r>
        <w:rPr>
          <w:color w:val="auto"/>
        </w:rPr>
        <w:t>Prazo de pagamento</w:t>
      </w:r>
    </w:p>
    <w:p w14:paraId="1A93F171" w14:textId="77777777" w:rsidR="00A06A27" w:rsidRDefault="00000000">
      <w:pPr>
        <w:pStyle w:val="Nivel2"/>
      </w:pPr>
      <w:r>
        <w:t xml:space="preserve">O pagamento será efetuado no prazo de até 30 (trinta) dias úteis contados da finalização da liquidação da despesa, conforme seção anterior, nos termos da </w:t>
      </w:r>
      <w:hyperlink r:id="rId22" w:tooltip="https://in.gov.br/en/web/dou/-/instrucao-normativa-seges/me-n-77-de-4-de-novembro-de-2022-441681061" w:history="1">
        <w:r>
          <w:rPr>
            <w:rStyle w:val="Hyperlink"/>
          </w:rPr>
          <w:t>Instrução Normativa SEGES/ME nº 77, de 2022</w:t>
        </w:r>
      </w:hyperlink>
      <w:r>
        <w:t>.</w:t>
      </w:r>
    </w:p>
    <w:p w14:paraId="38A24495" w14:textId="77777777" w:rsidR="00A06A27" w:rsidRDefault="00000000">
      <w:pPr>
        <w:pStyle w:val="Nvel1-SemNumPreto"/>
        <w:rPr>
          <w:color w:val="auto"/>
        </w:rPr>
      </w:pPr>
      <w:r>
        <w:rPr>
          <w:color w:val="auto"/>
        </w:rPr>
        <w:t>Forma de pagamento</w:t>
      </w:r>
    </w:p>
    <w:p w14:paraId="442DDB60" w14:textId="77777777" w:rsidR="00A06A27" w:rsidRDefault="00000000">
      <w:pPr>
        <w:pStyle w:val="Nivel2"/>
        <w:rPr>
          <w:lang w:eastAsia="en-US"/>
        </w:rPr>
      </w:pPr>
      <w:r>
        <w:rPr>
          <w:lang w:eastAsia="en-US"/>
        </w:rPr>
        <w:t>O pagamento será realizado por meio de ordem bancária, para crédito em banco, agência e conta corrente indicados pelo contratado.</w:t>
      </w:r>
    </w:p>
    <w:p w14:paraId="2E45C426" w14:textId="77777777" w:rsidR="00A06A27" w:rsidRDefault="00000000">
      <w:pPr>
        <w:pStyle w:val="Nivel2"/>
        <w:rPr>
          <w:lang w:eastAsia="en-US"/>
        </w:rPr>
      </w:pPr>
      <w:r>
        <w:rPr>
          <w:lang w:eastAsia="en-US"/>
        </w:rPr>
        <w:t>Será considerada data do pagamento o dia em que constar como emitida a ordem bancária para pagamento.</w:t>
      </w:r>
    </w:p>
    <w:p w14:paraId="4582AA37" w14:textId="77777777" w:rsidR="00A06A27" w:rsidRDefault="00000000">
      <w:pPr>
        <w:pStyle w:val="Nivel2"/>
        <w:rPr>
          <w:lang w:eastAsia="en-US"/>
        </w:rPr>
      </w:pPr>
      <w:r>
        <w:rPr>
          <w:lang w:eastAsia="en-US"/>
        </w:rPr>
        <w:t>Quando do pagamento, será efetuada a retenção tributária prevista na legislação aplicável.</w:t>
      </w:r>
    </w:p>
    <w:p w14:paraId="40C8D39A" w14:textId="77777777" w:rsidR="00A06A27" w:rsidRDefault="00000000" w:rsidP="00271BA6">
      <w:pPr>
        <w:pStyle w:val="Nivel3"/>
        <w:tabs>
          <w:tab w:val="left" w:pos="1701"/>
        </w:tabs>
        <w:ind w:left="993"/>
        <w:rPr>
          <w:lang w:eastAsia="en-US"/>
        </w:rPr>
      </w:pPr>
      <w:r>
        <w:rPr>
          <w:lang w:eastAsia="en-US"/>
        </w:rPr>
        <w:t>Independentemente do percentual de tributo inserido na planilha, quando houver, serão retidos na fonte, quando da realização do pagamento, os percentuais estabelecidos na legislação vigente.</w:t>
      </w:r>
    </w:p>
    <w:p w14:paraId="736A89B1" w14:textId="77777777" w:rsidR="00A06A27" w:rsidRDefault="00000000">
      <w:pPr>
        <w:pStyle w:val="Nivel2"/>
        <w:rPr>
          <w:lang w:eastAsia="en-US"/>
        </w:rPr>
      </w:pPr>
      <w:r>
        <w:rPr>
          <w:lang w:eastAsia="en-US"/>
        </w:rPr>
        <w:t xml:space="preserve">O contratado regularmente optante pelo Simples Nacional, nos termos da </w:t>
      </w:r>
      <w:hyperlink r:id="rId23" w:tooltip="https://www.planalto.gov.br/ccivil_03/leis/lcp/lcp123.htm" w:history="1">
        <w:r>
          <w:rPr>
            <w:rStyle w:val="Hyperlink"/>
            <w:lang w:eastAsia="en-US"/>
          </w:rPr>
          <w:t>Lei Complementar nº 123, de 2006</w:t>
        </w:r>
      </w:hyperlink>
      <w:r>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93147D5" w14:textId="77777777" w:rsidR="00A06A27" w:rsidRPr="00271BA6" w:rsidRDefault="00000000" w:rsidP="00271BA6">
      <w:pPr>
        <w:pStyle w:val="Nvel2-Red"/>
        <w:numPr>
          <w:ilvl w:val="0"/>
          <w:numId w:val="0"/>
        </w:numPr>
        <w:tabs>
          <w:tab w:val="left" w:pos="993"/>
          <w:tab w:val="left" w:pos="1134"/>
        </w:tabs>
        <w:rPr>
          <w:b/>
          <w:bCs/>
          <w:i w:val="0"/>
          <w:iCs w:val="0"/>
          <w:color w:val="000000" w:themeColor="text1"/>
          <w:u w:val="single"/>
        </w:rPr>
      </w:pPr>
      <w:r w:rsidRPr="00271BA6">
        <w:rPr>
          <w:b/>
          <w:bCs/>
          <w:i w:val="0"/>
          <w:iCs w:val="0"/>
          <w:color w:val="000000" w:themeColor="text1"/>
          <w:u w:val="single"/>
        </w:rPr>
        <w:t>Cessão de crédito</w:t>
      </w:r>
    </w:p>
    <w:p w14:paraId="529D8C05" w14:textId="77777777" w:rsidR="00A06A27" w:rsidRPr="00271BA6" w:rsidRDefault="00000000" w:rsidP="00271BA6">
      <w:pPr>
        <w:pStyle w:val="Nivel2"/>
        <w:rPr>
          <w:lang w:eastAsia="en-US"/>
        </w:rPr>
      </w:pPr>
      <w:r w:rsidRPr="00271BA6">
        <w:rPr>
          <w:lang w:eastAsia="en-US"/>
        </w:rPr>
        <w:t xml:space="preserve">É admitida a cessão fiduciária de direitos creditícios com instituição financeira, nos termos e de acordo com os procedimentos previstos na </w:t>
      </w:r>
      <w:hyperlink r:id="rId24" w:tooltip="https://www.gov.br/compras/pt-br/acesso-a-informacao/legislacao/instrucoes-normativas/instrucao-normativa-no-53-de-8-de-julho-de-2020" w:history="1">
        <w:r w:rsidRPr="00271BA6">
          <w:rPr>
            <w:lang w:eastAsia="en-US"/>
          </w:rPr>
          <w:t>Instrução Normativa SEGES/ME nº 53, de 8 de Julho de 2020</w:t>
        </w:r>
      </w:hyperlink>
      <w:r w:rsidRPr="00271BA6">
        <w:rPr>
          <w:lang w:eastAsia="en-US"/>
        </w:rPr>
        <w:t>, conforme as regras deste presente tópico.</w:t>
      </w:r>
    </w:p>
    <w:p w14:paraId="01118D43" w14:textId="77777777" w:rsidR="00A06A27" w:rsidRPr="00271BA6" w:rsidRDefault="00000000" w:rsidP="00271BA6">
      <w:pPr>
        <w:pStyle w:val="Nivel2"/>
        <w:rPr>
          <w:lang w:eastAsia="en-US"/>
        </w:rPr>
      </w:pPr>
      <w:r w:rsidRPr="00271BA6">
        <w:rPr>
          <w:lang w:eastAsia="en-US"/>
        </w:rPr>
        <w:t>As cessões de crédito não abrangidas pela Instrução Normativa SEGES/ME nº 53, de 8 de julho de 2020 dependerão de prévia aprovação do contratante.</w:t>
      </w:r>
      <w:bookmarkEnd w:id="0"/>
    </w:p>
    <w:p w14:paraId="1964F6F8" w14:textId="77777777" w:rsidR="00A06A27" w:rsidRPr="00271BA6" w:rsidRDefault="00000000" w:rsidP="00271BA6">
      <w:pPr>
        <w:pStyle w:val="Nivel2"/>
        <w:rPr>
          <w:lang w:eastAsia="en-US"/>
        </w:rPr>
      </w:pPr>
      <w:r w:rsidRPr="00271BA6">
        <w:rPr>
          <w:lang w:eastAsia="en-US"/>
        </w:rPr>
        <w:t>A eficácia da cessão de crédito não abrangidas pela Instrução Normativa SEGES/ME nº 53, de 8 de julho de 2020, em relação à Administração, está condicionada à celebração de termo aditivo ao contrato administrativo.</w:t>
      </w:r>
    </w:p>
    <w:p w14:paraId="51634157" w14:textId="77777777" w:rsidR="00A06A27" w:rsidRPr="00271BA6" w:rsidRDefault="00000000" w:rsidP="00271BA6">
      <w:pPr>
        <w:pStyle w:val="Nivel3"/>
        <w:tabs>
          <w:tab w:val="left" w:pos="1701"/>
        </w:tabs>
        <w:ind w:left="993"/>
        <w:rPr>
          <w:lang w:eastAsia="en-US"/>
        </w:rPr>
      </w:pPr>
      <w:r w:rsidRPr="00271BA6">
        <w:rPr>
          <w:lang w:eastAsia="en-US"/>
        </w:rPr>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25" w:anchor=":~:text=LEI%20N%C2%BA%208.429%2C%20DE%202%20DE%20JUNHO%20DE%201992&amp;text=Disp%C3%B5e%20sobre%20as%20san%C3%A7%C3%B5es%20aplic%C3%A1veis,fundacional%20e%20d%C3%A1%20outras%20provid%C3%AAncias." w:tooltip="https://www.planalto.gov.br/ccivil_03/leis/l8429.htm#:~:text=LEI%20N%C2%BA%208.429%2C%20DE%202%20DE%20JUNHO%20DE%201992&amp;text=Disp%C3%B5e%20sobre%20as%20san%C3%A7%C3%B5es%20aplic%C3%A1veis,fundacional%20e%20d%C3%A1%20outras%20provid%C3%AAncias." w:history="1">
        <w:r w:rsidRPr="00271BA6">
          <w:rPr>
            <w:lang w:eastAsia="en-US"/>
          </w:rPr>
          <w:t>o art. 12 da Lei nº 8.429, de 1992</w:t>
        </w:r>
      </w:hyperlink>
      <w:r w:rsidRPr="00271BA6">
        <w:rPr>
          <w:lang w:eastAsia="en-US"/>
        </w:rPr>
        <w:t xml:space="preserve">, nos termos do </w:t>
      </w:r>
      <w:hyperlink r:id="rId26" w:tooltip="http://www.planalto.gov.br/ccivil_03/AGU/Pareceres/2019-2022/PRC-JL-01-2020.htm" w:history="1">
        <w:r w:rsidRPr="00271BA6">
          <w:rPr>
            <w:lang w:eastAsia="en-US"/>
          </w:rPr>
          <w:t>Parecer JL-01, de 18 de maio de 2020.</w:t>
        </w:r>
      </w:hyperlink>
      <w:bookmarkStart w:id="1" w:name="undefined"/>
    </w:p>
    <w:p w14:paraId="67CE8341" w14:textId="77777777" w:rsidR="00A06A27" w:rsidRPr="00271BA6" w:rsidRDefault="00000000" w:rsidP="00271BA6">
      <w:pPr>
        <w:pStyle w:val="Nivel3"/>
        <w:tabs>
          <w:tab w:val="left" w:pos="1701"/>
        </w:tabs>
        <w:ind w:left="993"/>
        <w:rPr>
          <w:lang w:eastAsia="en-US"/>
        </w:rPr>
      </w:pPr>
      <w:r w:rsidRPr="00271BA6">
        <w:rPr>
          <w:lang w:eastAsia="en-US"/>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w:t>
      </w:r>
      <w:r w:rsidRPr="00271BA6">
        <w:rPr>
          <w:lang w:eastAsia="en-US"/>
        </w:rPr>
        <w:lastRenderedPageBreak/>
        <w:t>desconto de multas, glosas e prejuízos causados à Administração.(INSTRUÇÃO NORMATIVA Nº 53, DE 8 DE JULHO DE 2020 e Anexos)</w:t>
      </w:r>
    </w:p>
    <w:p w14:paraId="788E3245" w14:textId="77777777" w:rsidR="00A06A27" w:rsidRPr="00271BA6" w:rsidRDefault="00000000" w:rsidP="00271BA6">
      <w:pPr>
        <w:pStyle w:val="Nivel2"/>
        <w:rPr>
          <w:lang w:eastAsia="en-US"/>
        </w:rPr>
      </w:pPr>
      <w:r w:rsidRPr="00271BA6">
        <w:rPr>
          <w:lang w:eastAsia="en-US"/>
        </w:rPr>
        <w:t>A cessão de crédito não afetará a execução do objeto contratado, que continuará sob a integral responsabilidade do contratado.</w:t>
      </w:r>
    </w:p>
    <w:p w14:paraId="022B8339" w14:textId="77777777" w:rsidR="00A06A27" w:rsidRDefault="00000000">
      <w:pPr>
        <w:pStyle w:val="Nivel01"/>
      </w:pPr>
      <w:r>
        <w:t>FORMA E CRITÉRIOS DE SELEÇÃO DO FORNECEDOR E FORMA DE FORNECIMENTO</w:t>
      </w:r>
    </w:p>
    <w:p w14:paraId="5A55C273" w14:textId="77777777" w:rsidR="00A06A27" w:rsidRDefault="00000000">
      <w:pPr>
        <w:pStyle w:val="Nvel1-SemNumPreto"/>
        <w:rPr>
          <w:color w:val="auto"/>
          <w:highlight w:val="yellow"/>
        </w:rPr>
      </w:pPr>
      <w:r>
        <w:rPr>
          <w:color w:val="auto"/>
        </w:rPr>
        <w:t>Forma de seleção e critério de julgamento da proposta</w:t>
      </w:r>
    </w:p>
    <w:p w14:paraId="27119E15" w14:textId="32D343A0" w:rsidR="00A06A27" w:rsidRDefault="00000000">
      <w:pPr>
        <w:pStyle w:val="Nivel2"/>
      </w:pPr>
      <w:r>
        <w:rPr>
          <w:rStyle w:val="normaltextrun"/>
          <w:shd w:val="clear" w:color="auto" w:fill="FFFFFF"/>
        </w:rPr>
        <w:t xml:space="preserve">O </w:t>
      </w:r>
      <w:r>
        <w:rPr>
          <w:rStyle w:val="findhit"/>
          <w:shd w:val="clear" w:color="auto" w:fill="FFFFFF"/>
        </w:rPr>
        <w:t>fornecimento do objeto será</w:t>
      </w:r>
      <w:r w:rsidR="00BF6C25">
        <w:rPr>
          <w:rStyle w:val="findhit"/>
          <w:shd w:val="clear" w:color="auto" w:fill="FFFFFF"/>
        </w:rPr>
        <w:t xml:space="preserve"> </w:t>
      </w:r>
      <w:r>
        <w:rPr>
          <w:shd w:val="clear" w:color="auto" w:fill="FFFFFF"/>
        </w:rPr>
        <w:t>Integral.</w:t>
      </w:r>
    </w:p>
    <w:p w14:paraId="69EA501C" w14:textId="77777777" w:rsidR="00A06A27" w:rsidRDefault="00000000">
      <w:pPr>
        <w:pStyle w:val="Nvel1-SemNumPreto"/>
        <w:rPr>
          <w:color w:val="auto"/>
        </w:rPr>
      </w:pPr>
      <w:r>
        <w:rPr>
          <w:color w:val="auto"/>
        </w:rPr>
        <w:t>Exigências de habilitação</w:t>
      </w:r>
    </w:p>
    <w:p w14:paraId="5D10431F" w14:textId="77777777" w:rsidR="00A06A27" w:rsidRDefault="00000000">
      <w:pPr>
        <w:pStyle w:val="Nivel2"/>
      </w:pPr>
      <w:r>
        <w:t>Para fins de habilitação, deverá o licitante comprovar os seguintes requisitos:</w:t>
      </w:r>
    </w:p>
    <w:p w14:paraId="53EBED41" w14:textId="77777777" w:rsidR="00A06A27" w:rsidRDefault="00000000">
      <w:pPr>
        <w:pStyle w:val="Nvel1-SemNumPreto"/>
        <w:rPr>
          <w:color w:val="auto"/>
        </w:rPr>
      </w:pPr>
      <w:r>
        <w:rPr>
          <w:color w:val="auto"/>
        </w:rPr>
        <w:t>Habilitação jurídica</w:t>
      </w:r>
    </w:p>
    <w:p w14:paraId="1CF9AD28" w14:textId="77777777" w:rsidR="00A06A27" w:rsidRDefault="00000000">
      <w:pPr>
        <w:pStyle w:val="Nivel2"/>
      </w:pPr>
      <w:r>
        <w:rPr>
          <w:b/>
          <w:bCs/>
        </w:rPr>
        <w:t>Empresário individual:</w:t>
      </w:r>
      <w:r>
        <w:t xml:space="preserve"> inscrição no Registro Público de Empresas Mercantis, a cargo da Junta Comercial da respectiva sede; </w:t>
      </w:r>
    </w:p>
    <w:p w14:paraId="3174A981" w14:textId="77777777" w:rsidR="00A06A27" w:rsidRDefault="00000000">
      <w:pPr>
        <w:pStyle w:val="Nivel2"/>
      </w:pPr>
      <w:r>
        <w:rPr>
          <w:b/>
          <w:bCs/>
        </w:rPr>
        <w:t>Microempreendedor Individual - MEI:</w:t>
      </w:r>
      <w:r>
        <w:t xml:space="preserve"> Certificado da Condição de Microempreendedor Individual - CCMEI, cuja aceitação ficará condicionada à verificação da autenticidade no sítio </w:t>
      </w:r>
      <w:hyperlink r:id="rId27" w:tooltip="https://www.gov.br/empresas-e-negocios/pt-br/empreendedor" w:history="1">
        <w:r>
          <w:rPr>
            <w:rStyle w:val="Hyperlink"/>
          </w:rPr>
          <w:t>https://www.gov.br/empresas-e-negocios/pt-br/empreendedor</w:t>
        </w:r>
      </w:hyperlink>
      <w:r>
        <w:t xml:space="preserve">; </w:t>
      </w:r>
    </w:p>
    <w:p w14:paraId="639788C3" w14:textId="77777777" w:rsidR="00A06A27" w:rsidRDefault="00000000">
      <w:pPr>
        <w:pStyle w:val="Nivel2"/>
      </w:pPr>
      <w: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476684F2" w14:textId="77777777" w:rsidR="00A06A27" w:rsidRDefault="00000000">
      <w:pPr>
        <w:pStyle w:val="Nivel2"/>
      </w:pPr>
      <w:r>
        <w:rPr>
          <w:b/>
          <w:bCs/>
        </w:rPr>
        <w:t>Sociedade empresária estrangeira:</w:t>
      </w:r>
      <w: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8" w:tooltip="https://www.gov.br/economia/pt-br/assuntos/drei/legislacao/arquivos/legislacoes-federais/indrei772020.pdf" w:history="1">
        <w:r>
          <w:rPr>
            <w:rStyle w:val="Hyperlink"/>
          </w:rPr>
          <w:t>Normativa DREI/ME n.º 77, de 18 de março de 2020</w:t>
        </w:r>
      </w:hyperlink>
      <w:r>
        <w:t>.</w:t>
      </w:r>
    </w:p>
    <w:p w14:paraId="4307052A" w14:textId="77777777" w:rsidR="00A06A27" w:rsidRDefault="00000000">
      <w:pPr>
        <w:pStyle w:val="Nivel2"/>
      </w:pPr>
      <w:r>
        <w:rPr>
          <w:b/>
          <w:bCs/>
        </w:rPr>
        <w:t xml:space="preserve">Sociedade simples: </w:t>
      </w:r>
      <w:r>
        <w:t>inscrição do ato constitutivo no Registro Civil de Pessoas Jurídicas do local de sua sede, acompanhada de documento comprobatório de seus administradores;</w:t>
      </w:r>
    </w:p>
    <w:p w14:paraId="7F5E0082" w14:textId="77777777" w:rsidR="00A06A27" w:rsidRDefault="00000000">
      <w:pPr>
        <w:pStyle w:val="Nivel2"/>
      </w:pPr>
      <w:r>
        <w:rPr>
          <w:b/>
          <w:bCs/>
        </w:rPr>
        <w:t>Filial, sucursal ou agência de sociedade simples ou empresária:</w:t>
      </w:r>
      <w:r>
        <w:t xml:space="preserve"> inscrição do ato constitutivo da filial, sucursal ou agência da sociedade simples ou empresária, respectivamente, no Registro Civil das Pessoas Jurídicas ou no Registro Público de Empresas </w:t>
      </w:r>
      <w:bookmarkStart w:id="2" w:name="_Int_ySfCXwr4"/>
      <w:r>
        <w:t>Mercantis onde</w:t>
      </w:r>
      <w:bookmarkEnd w:id="2"/>
      <w:r>
        <w:t xml:space="preserve"> opera, com averbação no Registro onde tem sede a matriz</w:t>
      </w:r>
    </w:p>
    <w:p w14:paraId="54467CC7" w14:textId="77777777" w:rsidR="00A06A27" w:rsidRDefault="00000000">
      <w:pPr>
        <w:pStyle w:val="Nivel2"/>
      </w:pPr>
      <w:r>
        <w:rPr>
          <w:b/>
          <w:bCs/>
        </w:rPr>
        <w:t>Sociedade cooperativa:</w:t>
      </w:r>
      <w:r>
        <w:t xml:space="preserve"> ata de fundação e estatuto social, com a ata da assembleia que o aprovou, devidamente arquivado na Junta Comercial ou inscrito no Registro Civil das Pessoas Jurídicas da respectiva sede, além do registro de que trata o </w:t>
      </w:r>
      <w:hyperlink r:id="rId29" w:anchor="art107" w:tooltip="https://www.planalto.gov.br/ccivil_03/leis/l5764.htm#art107" w:history="1">
        <w:r>
          <w:rPr>
            <w:rStyle w:val="Hyperlink"/>
          </w:rPr>
          <w:t>art. 107 da Lei nº 5.764, de 16 de dezembro 1971</w:t>
        </w:r>
      </w:hyperlink>
      <w:r>
        <w:t>.</w:t>
      </w:r>
    </w:p>
    <w:p w14:paraId="2F2DBA62" w14:textId="77777777" w:rsidR="00A06A27" w:rsidRDefault="00000000">
      <w:pPr>
        <w:pStyle w:val="Nivel2"/>
      </w:pPr>
      <w:r>
        <w:t>Os documentos apresentados deverão estar acompanhados de todas as alterações ou da consolidação respectiva.</w:t>
      </w:r>
    </w:p>
    <w:p w14:paraId="0853FE26" w14:textId="77777777" w:rsidR="00A06A27" w:rsidRDefault="00000000">
      <w:pPr>
        <w:pStyle w:val="Nvel1-SemNumPreto"/>
        <w:rPr>
          <w:color w:val="auto"/>
        </w:rPr>
      </w:pPr>
      <w:r>
        <w:rPr>
          <w:color w:val="auto"/>
        </w:rPr>
        <w:t>Habilitação fiscal, social e trabalhista</w:t>
      </w:r>
    </w:p>
    <w:p w14:paraId="1949A24B" w14:textId="77777777" w:rsidR="00A06A27" w:rsidRDefault="00000000">
      <w:pPr>
        <w:pStyle w:val="Nivel2"/>
      </w:pPr>
      <w:r>
        <w:t>Prova de inscrição no Cadastro Nacional de Pessoas Jurídicas ou no Cadastro de Pessoas Físicas, conforme o caso;</w:t>
      </w:r>
    </w:p>
    <w:p w14:paraId="38E3CA59" w14:textId="77777777" w:rsidR="00A06A27" w:rsidRDefault="00000000">
      <w:pPr>
        <w:pStyle w:val="Nivel2"/>
      </w:pPr>
      <w: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w:t>
      </w:r>
      <w:r>
        <w:lastRenderedPageBreak/>
        <w:t>de 02 de outubro de 2014, do Secretário da Receita Federal do Brasil e da Procuradora-Geral da Fazenda Nacional.</w:t>
      </w:r>
    </w:p>
    <w:p w14:paraId="15D68D87" w14:textId="77777777" w:rsidR="00A06A27" w:rsidRDefault="00000000">
      <w:pPr>
        <w:pStyle w:val="Nivel2"/>
      </w:pPr>
      <w:r>
        <w:t>Prova de regularidade com o Fundo de Garantia do Tempo de Serviço (FGTS);</w:t>
      </w:r>
    </w:p>
    <w:p w14:paraId="63003BAC" w14:textId="77777777" w:rsidR="00A06A27" w:rsidRDefault="00000000">
      <w:pPr>
        <w:pStyle w:val="Nivel2"/>
        <w:rPr>
          <w:color w:val="auto"/>
        </w:rPr>
      </w:pPr>
      <w:r>
        <w:t xml:space="preserve">Prova de inexistência de débitos inadimplidos perante a Justiça do Trabalho, mediante a apresentação de certidão negativa ou positiva com efeito de negativa, nos </w:t>
      </w:r>
      <w:r>
        <w:rPr>
          <w:color w:val="auto"/>
        </w:rPr>
        <w:t>termos do Título VII-A da Consolidação das Leis do Trabalho, aprovada pelo Decreto-Lei nº 5.452, de 1º de maio de 1943;</w:t>
      </w:r>
    </w:p>
    <w:p w14:paraId="1AFE2834" w14:textId="77777777" w:rsidR="00A06A27" w:rsidRDefault="00000000">
      <w:pPr>
        <w:pStyle w:val="Nivel2"/>
        <w:rPr>
          <w:color w:val="auto"/>
        </w:rPr>
      </w:pPr>
      <w:r>
        <w:rPr>
          <w:color w:val="auto"/>
        </w:rPr>
        <w:t xml:space="preserve">Prova de inscrição no cadastro de contribuintes </w:t>
      </w:r>
      <w:r>
        <w:rPr>
          <w:i/>
          <w:iCs/>
          <w:color w:val="auto"/>
        </w:rPr>
        <w:t>Estadual ou Distrital</w:t>
      </w:r>
      <w:r>
        <w:rPr>
          <w:color w:val="auto"/>
        </w:rPr>
        <w:t xml:space="preserve"> relativo ao domicílio ou sede do fornecedor, pertinente ao seu ramo de atividade e compatível com o objeto contratual; </w:t>
      </w:r>
    </w:p>
    <w:p w14:paraId="235909E4" w14:textId="77777777" w:rsidR="00A06A27" w:rsidRDefault="00000000">
      <w:pPr>
        <w:pStyle w:val="Nivel2"/>
        <w:rPr>
          <w:color w:val="auto"/>
        </w:rPr>
      </w:pPr>
      <w:r>
        <w:rPr>
          <w:color w:val="auto"/>
        </w:rPr>
        <w:t xml:space="preserve">Prova de regularidade com a Fazenda </w:t>
      </w:r>
      <w:r>
        <w:rPr>
          <w:i/>
          <w:iCs/>
          <w:color w:val="auto"/>
        </w:rPr>
        <w:t>Estadual ou Distrital</w:t>
      </w:r>
      <w:r>
        <w:rPr>
          <w:color w:val="auto"/>
        </w:rPr>
        <w:t xml:space="preserve"> do domicílio ou sede do fornecedor, relativa à atividade em cujo exercício contrata ou concorre;</w:t>
      </w:r>
    </w:p>
    <w:p w14:paraId="29DD2FBE" w14:textId="694B9513" w:rsidR="00A06A27" w:rsidRDefault="00000000">
      <w:pPr>
        <w:pStyle w:val="Nivel2"/>
      </w:pPr>
      <w:r>
        <w:rPr>
          <w:color w:val="auto"/>
        </w:rPr>
        <w:t xml:space="preserve">Caso o fornecedor seja considerado isento dos tributos </w:t>
      </w:r>
      <w:r>
        <w:rPr>
          <w:i/>
          <w:iCs/>
          <w:color w:val="auto"/>
        </w:rPr>
        <w:t xml:space="preserve">Estadual ou Distrital </w:t>
      </w:r>
      <w:r>
        <w:rPr>
          <w:color w:val="auto"/>
        </w:rPr>
        <w:t xml:space="preserve">relacionados ao objeto contratual, deverá comprovar tal condição mediante a apresentação de declaração da Fazenda respectiva do seu </w:t>
      </w:r>
      <w:r>
        <w:t>domicílio ou sede, ou outra equivalente, na forma da lei.</w:t>
      </w:r>
    </w:p>
    <w:p w14:paraId="257D638B" w14:textId="77777777" w:rsidR="00A06A27" w:rsidRDefault="00000000">
      <w:pPr>
        <w:pStyle w:val="Nivel2"/>
      </w:pPr>
      <w: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66084F7" w14:textId="77777777" w:rsidR="00A06A27" w:rsidRDefault="00000000">
      <w:pPr>
        <w:pStyle w:val="Nvel1-SemNumPreto"/>
        <w:rPr>
          <w:color w:val="auto"/>
        </w:rPr>
      </w:pPr>
      <w:r>
        <w:rPr>
          <w:color w:val="auto"/>
        </w:rPr>
        <w:t>Qualificação Econômico-Financeira</w:t>
      </w:r>
    </w:p>
    <w:p w14:paraId="4FD9DDC8" w14:textId="77777777" w:rsidR="00A06A27" w:rsidRDefault="00000000">
      <w:pPr>
        <w:pStyle w:val="Nivel2"/>
      </w:pPr>
      <w:r>
        <w:t>Certidão negativa de insolvência civil expedida pelo distribuidor do domicílio ou sede do licitante, caso se trate de pessoa física, desde que admitida a sua participação na licitação (</w:t>
      </w:r>
      <w:hyperlink r:id="rId30" w:anchor="art5" w:tooltip="https://www.gov.br/compras/pt-br/acesso-a-informacao/legislacao/instrucoes-normativas/instrucao-normativa-seges-me-no-116-de-21-de-dezembro-de-2021#art5" w:history="1">
        <w:r>
          <w:rPr>
            <w:rStyle w:val="Hyperlink"/>
          </w:rPr>
          <w:t>art. 5º, inciso II, alínea “c”, da Instrução Normativa Seges/ME nº 116, de 2021</w:t>
        </w:r>
      </w:hyperlink>
      <w:r>
        <w:t xml:space="preserve">), ou de sociedade simples; </w:t>
      </w:r>
    </w:p>
    <w:p w14:paraId="741E2AA1" w14:textId="77777777" w:rsidR="00A06A27" w:rsidRDefault="00000000">
      <w:pPr>
        <w:pStyle w:val="Nivel2"/>
      </w:pPr>
      <w:r>
        <w:t xml:space="preserve">Certidão negativa de falência expedida pelo distribuidor da sede do fornecedor - </w:t>
      </w:r>
      <w:hyperlink r:id="rId31" w:anchor="art69" w:tooltip="http://www.planalto.gov.br/ccivil_03/_ato2019-2022/2021/lei/L14133.htm#art69" w:history="1">
        <w:r>
          <w:rPr>
            <w:rStyle w:val="Hyperlink"/>
          </w:rPr>
          <w:t>Lei nº 14.133, de 2021, art. 69, caput, inciso II</w:t>
        </w:r>
      </w:hyperlink>
      <w:r>
        <w:t>);</w:t>
      </w:r>
    </w:p>
    <w:p w14:paraId="44564EAF" w14:textId="77777777" w:rsidR="00A06A27" w:rsidRDefault="00000000">
      <w:pPr>
        <w:pStyle w:val="Nivel2"/>
      </w:pPr>
      <w:r>
        <w:t>Balanço patrimonial, demonstração de resultado de exercício e demais demonstrações contábeis dos 2 (dois) últimos exercícios sociais, comprovando;</w:t>
      </w:r>
    </w:p>
    <w:p w14:paraId="3E157481" w14:textId="77777777" w:rsidR="00A06A27" w:rsidRDefault="00000000" w:rsidP="000D27FA">
      <w:pPr>
        <w:pStyle w:val="Nivel3"/>
        <w:tabs>
          <w:tab w:val="left" w:pos="1701"/>
        </w:tabs>
        <w:ind w:left="993"/>
      </w:pPr>
      <w:r>
        <w:t>índices de Liquidez Geral (LG), Liquidez Corrente (LC), e Solvência Geral (SG) superiores a 1 (um);</w:t>
      </w:r>
    </w:p>
    <w:p w14:paraId="5823460A" w14:textId="77777777" w:rsidR="00A06A27" w:rsidRDefault="00000000" w:rsidP="000D27FA">
      <w:pPr>
        <w:pStyle w:val="Nivel3"/>
        <w:tabs>
          <w:tab w:val="left" w:pos="1701"/>
        </w:tabs>
        <w:ind w:left="993"/>
      </w:pPr>
      <w:r>
        <w:t>As empresas criadas no exercício financeiro da licitação deverão atender a todas as exigências da habilitação e poderão substituir os demonstrativos contábeis pelo balanço de abertura.</w:t>
      </w:r>
    </w:p>
    <w:p w14:paraId="5C42CAEB" w14:textId="77777777" w:rsidR="00A06A27" w:rsidRDefault="00000000" w:rsidP="000D27FA">
      <w:pPr>
        <w:pStyle w:val="Nivel3"/>
        <w:tabs>
          <w:tab w:val="left" w:pos="1701"/>
        </w:tabs>
        <w:ind w:left="993"/>
      </w:pPr>
      <w:r>
        <w:t>Os documentos referidos acima limitar-se-ão ao último exercício no caso de a pessoa jurídica ter sido constituída há menos de 2 (dois) anos;</w:t>
      </w:r>
    </w:p>
    <w:p w14:paraId="096F78AF" w14:textId="77777777" w:rsidR="00A06A27" w:rsidRDefault="00000000" w:rsidP="000D27FA">
      <w:pPr>
        <w:pStyle w:val="Nivel3"/>
        <w:tabs>
          <w:tab w:val="left" w:pos="1701"/>
        </w:tabs>
        <w:ind w:left="993"/>
      </w:pPr>
      <w:r>
        <w:t xml:space="preserve">Os documentos referidos acima deverão ser exigidos com base no limite definido pela Receita Federal do Brasil para transmissão da Escrituração Contábil Digital - ECD ao </w:t>
      </w:r>
      <w:proofErr w:type="spellStart"/>
      <w:r>
        <w:t>Sped</w:t>
      </w:r>
      <w:proofErr w:type="spellEnd"/>
      <w:r>
        <w:t>.</w:t>
      </w:r>
    </w:p>
    <w:p w14:paraId="147586DA" w14:textId="77777777" w:rsidR="00A06A27" w:rsidRDefault="00000000" w:rsidP="000D27FA">
      <w:pPr>
        <w:pStyle w:val="Nivel2"/>
        <w:tabs>
          <w:tab w:val="left" w:pos="1701"/>
        </w:tabs>
        <w:ind w:left="993"/>
      </w:pPr>
      <w:r>
        <w:t>As empresas criadas no exercício financeiro da licitação deverão atender a todas as exigências da habilitação e poderão substituir os demonstrativos contábeis pelo balanço de abertura. (Lei nº 14.133, de 2021, art. 65, §1º).</w:t>
      </w:r>
    </w:p>
    <w:p w14:paraId="10BA393E" w14:textId="77777777" w:rsidR="00A06A27" w:rsidRDefault="00000000">
      <w:pPr>
        <w:pStyle w:val="Nivel01"/>
      </w:pPr>
      <w:r>
        <w:t>ESTIMATIVAS DO VALOR DA CONTRATAÇÃO</w:t>
      </w:r>
    </w:p>
    <w:p w14:paraId="5332BAA4" w14:textId="5671AE5A" w:rsidR="00A06A27" w:rsidRPr="000D27FA" w:rsidRDefault="00000000">
      <w:pPr>
        <w:pStyle w:val="Nvel2-Red"/>
        <w:rPr>
          <w:b/>
          <w:bCs/>
          <w:i w:val="0"/>
          <w:iCs w:val="0"/>
        </w:rPr>
      </w:pPr>
      <w:r w:rsidRPr="000D27FA">
        <w:rPr>
          <w:i w:val="0"/>
          <w:iCs w:val="0"/>
          <w:color w:val="auto"/>
        </w:rPr>
        <w:t xml:space="preserve">O custo estimado total da contratação é de R$ 43.950,00 (quarenta e três mil reais e novecentos e cinquenta reais), conforme custos unitários apostos </w:t>
      </w:r>
      <w:r w:rsidR="000D27FA">
        <w:rPr>
          <w:i w:val="0"/>
          <w:iCs w:val="0"/>
          <w:color w:val="auto"/>
        </w:rPr>
        <w:t>na tabela acima</w:t>
      </w:r>
      <w:r w:rsidRPr="000D27FA">
        <w:rPr>
          <w:i w:val="0"/>
          <w:iCs w:val="0"/>
        </w:rPr>
        <w:t>.</w:t>
      </w:r>
    </w:p>
    <w:p w14:paraId="5C2F0B7B" w14:textId="77777777" w:rsidR="00A06A27" w:rsidRDefault="00000000">
      <w:pPr>
        <w:pStyle w:val="Nivel01"/>
      </w:pPr>
      <w:r>
        <w:t>ADEQUAÇÃO ORÇAMENTÁRIA</w:t>
      </w:r>
    </w:p>
    <w:p w14:paraId="13D848B9" w14:textId="18107936" w:rsidR="00A06A27" w:rsidRDefault="00000000">
      <w:pPr>
        <w:pStyle w:val="Nivel2"/>
      </w:pPr>
      <w:r>
        <w:t xml:space="preserve">As despesas decorrentes da presente contratação correrão à conta de recursos específicos consignados no Orçamento </w:t>
      </w:r>
      <w:r w:rsidR="00516946">
        <w:t>do Município de Paraíba do Sul</w:t>
      </w:r>
      <w:r>
        <w:t>.</w:t>
      </w:r>
    </w:p>
    <w:p w14:paraId="6B6AAF48" w14:textId="41F93080" w:rsidR="00A06A27" w:rsidRDefault="00000000">
      <w:pPr>
        <w:pStyle w:val="Nivel2"/>
      </w:pPr>
      <w:r>
        <w:t>A contratação será atendida pela</w:t>
      </w:r>
      <w:r w:rsidR="00FD7F21">
        <w:t>s</w:t>
      </w:r>
      <w:r>
        <w:t xml:space="preserve"> seguinte</w:t>
      </w:r>
      <w:r w:rsidR="00FD7F21">
        <w:t>s</w:t>
      </w:r>
      <w:r>
        <w:t xml:space="preserve"> </w:t>
      </w:r>
      <w:bookmarkEnd w:id="1"/>
      <w:r w:rsidR="00FD7F21">
        <w:t>dotações</w:t>
      </w:r>
      <w:r>
        <w:t>:</w:t>
      </w:r>
    </w:p>
    <w:tbl>
      <w:tblPr>
        <w:tblpPr w:leftFromText="141" w:rightFromText="141" w:vertAnchor="text" w:horzAnchor="margin" w:tblpXSpec="center" w:tblpY="255"/>
        <w:tblW w:w="102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3015"/>
        <w:gridCol w:w="2492"/>
        <w:gridCol w:w="2039"/>
        <w:gridCol w:w="1485"/>
      </w:tblGrid>
      <w:tr w:rsidR="00A06A27" w14:paraId="2CA85BBE" w14:textId="77777777" w:rsidTr="0048237E">
        <w:trPr>
          <w:trHeight w:val="709"/>
          <w:jc w:val="center"/>
        </w:trPr>
        <w:tc>
          <w:tcPr>
            <w:tcW w:w="1242" w:type="dxa"/>
            <w:vAlign w:val="center"/>
          </w:tcPr>
          <w:p w14:paraId="76D34155" w14:textId="77777777" w:rsidR="00A06A27" w:rsidRPr="0048237E" w:rsidRDefault="00000000" w:rsidP="0048237E">
            <w:pPr>
              <w:jc w:val="center"/>
              <w:rPr>
                <w:rFonts w:ascii="Arial" w:hAnsi="Arial" w:cs="Arial"/>
                <w:b/>
                <w:bCs/>
                <w:sz w:val="20"/>
                <w:szCs w:val="20"/>
              </w:rPr>
            </w:pPr>
            <w:r w:rsidRPr="0048237E">
              <w:rPr>
                <w:rFonts w:ascii="Arial" w:eastAsia="Times New Roman" w:hAnsi="Arial" w:cs="Arial"/>
                <w:b/>
                <w:bCs/>
                <w:sz w:val="20"/>
                <w:szCs w:val="20"/>
              </w:rPr>
              <w:lastRenderedPageBreak/>
              <w:t>U.G.</w:t>
            </w:r>
          </w:p>
        </w:tc>
        <w:tc>
          <w:tcPr>
            <w:tcW w:w="3015" w:type="dxa"/>
            <w:vAlign w:val="center"/>
          </w:tcPr>
          <w:p w14:paraId="217E548A" w14:textId="77777777" w:rsidR="00A06A27" w:rsidRPr="0048237E" w:rsidRDefault="00000000" w:rsidP="0048237E">
            <w:pPr>
              <w:jc w:val="center"/>
              <w:rPr>
                <w:rFonts w:ascii="Arial" w:hAnsi="Arial" w:cs="Arial"/>
                <w:b/>
                <w:bCs/>
                <w:sz w:val="20"/>
                <w:szCs w:val="20"/>
              </w:rPr>
            </w:pPr>
            <w:r w:rsidRPr="0048237E">
              <w:rPr>
                <w:rFonts w:ascii="Arial" w:eastAsia="Times New Roman" w:hAnsi="Arial" w:cs="Arial"/>
                <w:b/>
                <w:bCs/>
                <w:sz w:val="20"/>
                <w:szCs w:val="20"/>
              </w:rPr>
              <w:t>Fonte de Recurso</w:t>
            </w:r>
          </w:p>
        </w:tc>
        <w:tc>
          <w:tcPr>
            <w:tcW w:w="2492" w:type="dxa"/>
            <w:vAlign w:val="center"/>
          </w:tcPr>
          <w:p w14:paraId="067DF2F3" w14:textId="77777777" w:rsidR="00A06A27" w:rsidRPr="0048237E" w:rsidRDefault="00000000" w:rsidP="0048237E">
            <w:pPr>
              <w:jc w:val="center"/>
              <w:rPr>
                <w:rFonts w:ascii="Arial" w:hAnsi="Arial" w:cs="Arial"/>
                <w:b/>
                <w:bCs/>
                <w:sz w:val="20"/>
                <w:szCs w:val="20"/>
              </w:rPr>
            </w:pPr>
            <w:r w:rsidRPr="0048237E">
              <w:rPr>
                <w:rFonts w:ascii="Arial" w:eastAsia="Times New Roman" w:hAnsi="Arial" w:cs="Arial"/>
                <w:b/>
                <w:bCs/>
                <w:sz w:val="20"/>
                <w:szCs w:val="20"/>
              </w:rPr>
              <w:t>Elemento de Despesa</w:t>
            </w:r>
          </w:p>
        </w:tc>
        <w:tc>
          <w:tcPr>
            <w:tcW w:w="2039" w:type="dxa"/>
            <w:vAlign w:val="center"/>
          </w:tcPr>
          <w:p w14:paraId="28DE0C53" w14:textId="77777777" w:rsidR="00A06A27" w:rsidRPr="0048237E" w:rsidRDefault="00000000" w:rsidP="0048237E">
            <w:pPr>
              <w:jc w:val="center"/>
              <w:rPr>
                <w:rFonts w:ascii="Arial" w:hAnsi="Arial" w:cs="Arial"/>
                <w:b/>
                <w:bCs/>
                <w:sz w:val="20"/>
                <w:szCs w:val="20"/>
              </w:rPr>
            </w:pPr>
            <w:r w:rsidRPr="0048237E">
              <w:rPr>
                <w:rFonts w:ascii="Arial" w:eastAsia="Times New Roman" w:hAnsi="Arial" w:cs="Arial"/>
                <w:b/>
                <w:bCs/>
                <w:sz w:val="20"/>
                <w:szCs w:val="20"/>
              </w:rPr>
              <w:t>Programa de Trabalho</w:t>
            </w:r>
          </w:p>
        </w:tc>
        <w:tc>
          <w:tcPr>
            <w:tcW w:w="1485" w:type="dxa"/>
            <w:vAlign w:val="center"/>
          </w:tcPr>
          <w:p w14:paraId="698BA0E5" w14:textId="77777777" w:rsidR="00A06A27" w:rsidRPr="0048237E" w:rsidRDefault="00000000" w:rsidP="0048237E">
            <w:pPr>
              <w:jc w:val="center"/>
              <w:rPr>
                <w:rFonts w:ascii="Arial" w:hAnsi="Arial" w:cs="Arial"/>
                <w:b/>
                <w:bCs/>
                <w:sz w:val="20"/>
                <w:szCs w:val="20"/>
              </w:rPr>
            </w:pPr>
            <w:r w:rsidRPr="0048237E">
              <w:rPr>
                <w:rFonts w:ascii="Arial" w:eastAsia="Times New Roman" w:hAnsi="Arial" w:cs="Arial"/>
                <w:b/>
                <w:bCs/>
                <w:sz w:val="20"/>
                <w:szCs w:val="20"/>
              </w:rPr>
              <w:t>Código Reduzido</w:t>
            </w:r>
          </w:p>
        </w:tc>
      </w:tr>
      <w:tr w:rsidR="00A06A27" w14:paraId="57743E78" w14:textId="77777777" w:rsidTr="0048237E">
        <w:trPr>
          <w:trHeight w:val="291"/>
          <w:jc w:val="center"/>
        </w:trPr>
        <w:tc>
          <w:tcPr>
            <w:tcW w:w="1242" w:type="dxa"/>
            <w:vAlign w:val="center"/>
          </w:tcPr>
          <w:p w14:paraId="51D446BD" w14:textId="77777777" w:rsidR="00A06A27" w:rsidRPr="0048237E" w:rsidRDefault="00000000" w:rsidP="0048237E">
            <w:pPr>
              <w:jc w:val="center"/>
              <w:rPr>
                <w:rFonts w:ascii="Arial" w:hAnsi="Arial" w:cs="Arial"/>
                <w:b/>
                <w:bCs/>
                <w:sz w:val="20"/>
                <w:szCs w:val="20"/>
              </w:rPr>
            </w:pPr>
            <w:r w:rsidRPr="0048237E">
              <w:rPr>
                <w:rFonts w:ascii="Arial" w:hAnsi="Arial" w:cs="Arial"/>
                <w:b/>
                <w:bCs/>
                <w:sz w:val="20"/>
                <w:szCs w:val="20"/>
              </w:rPr>
              <w:t>04.01</w:t>
            </w:r>
          </w:p>
        </w:tc>
        <w:tc>
          <w:tcPr>
            <w:tcW w:w="3015" w:type="dxa"/>
            <w:vAlign w:val="center"/>
          </w:tcPr>
          <w:p w14:paraId="57AA9BC6" w14:textId="77777777" w:rsidR="00A06A27" w:rsidRPr="0048237E" w:rsidRDefault="00000000" w:rsidP="0048237E">
            <w:pPr>
              <w:jc w:val="center"/>
              <w:rPr>
                <w:rFonts w:ascii="Arial" w:hAnsi="Arial" w:cs="Arial"/>
                <w:sz w:val="20"/>
                <w:szCs w:val="20"/>
              </w:rPr>
            </w:pPr>
            <w:r w:rsidRPr="0048237E">
              <w:rPr>
                <w:rFonts w:ascii="Arial" w:hAnsi="Arial" w:cs="Arial"/>
                <w:sz w:val="20"/>
                <w:szCs w:val="20"/>
              </w:rPr>
              <w:t>621 - Trans. SUS Estadual</w:t>
            </w:r>
          </w:p>
        </w:tc>
        <w:tc>
          <w:tcPr>
            <w:tcW w:w="2492" w:type="dxa"/>
            <w:vAlign w:val="center"/>
          </w:tcPr>
          <w:p w14:paraId="4726CFF9" w14:textId="77777777" w:rsidR="00A06A27" w:rsidRPr="0048237E" w:rsidRDefault="00000000" w:rsidP="0048237E">
            <w:pPr>
              <w:jc w:val="center"/>
              <w:rPr>
                <w:rFonts w:ascii="Arial" w:hAnsi="Arial" w:cs="Arial"/>
                <w:sz w:val="18"/>
                <w:szCs w:val="18"/>
              </w:rPr>
            </w:pPr>
            <w:r w:rsidRPr="0048237E">
              <w:rPr>
                <w:rFonts w:ascii="Arial" w:hAnsi="Arial" w:cs="Arial"/>
                <w:sz w:val="20"/>
                <w:szCs w:val="20"/>
              </w:rPr>
              <w:t>3.3.90.30.00.00.00</w:t>
            </w:r>
          </w:p>
        </w:tc>
        <w:tc>
          <w:tcPr>
            <w:tcW w:w="2039" w:type="dxa"/>
            <w:vAlign w:val="center"/>
          </w:tcPr>
          <w:p w14:paraId="37056384" w14:textId="77777777" w:rsidR="00A06A27" w:rsidRPr="0048237E" w:rsidRDefault="00000000" w:rsidP="0048237E">
            <w:pPr>
              <w:jc w:val="center"/>
              <w:rPr>
                <w:rFonts w:ascii="Arial" w:hAnsi="Arial" w:cs="Arial"/>
                <w:sz w:val="20"/>
                <w:szCs w:val="20"/>
              </w:rPr>
            </w:pPr>
            <w:r w:rsidRPr="0048237E">
              <w:rPr>
                <w:rFonts w:ascii="Arial" w:hAnsi="Arial" w:cs="Arial"/>
                <w:sz w:val="20"/>
                <w:szCs w:val="20"/>
              </w:rPr>
              <w:t>10.301.0038 2. 182</w:t>
            </w:r>
          </w:p>
        </w:tc>
        <w:tc>
          <w:tcPr>
            <w:tcW w:w="1485" w:type="dxa"/>
            <w:vAlign w:val="center"/>
          </w:tcPr>
          <w:p w14:paraId="64C7938C" w14:textId="77777777" w:rsidR="00A06A27" w:rsidRPr="0048237E" w:rsidRDefault="00000000" w:rsidP="0048237E">
            <w:pPr>
              <w:jc w:val="center"/>
              <w:rPr>
                <w:rFonts w:ascii="Arial" w:hAnsi="Arial" w:cs="Arial"/>
                <w:sz w:val="20"/>
                <w:szCs w:val="20"/>
              </w:rPr>
            </w:pPr>
            <w:r w:rsidRPr="0048237E">
              <w:rPr>
                <w:rFonts w:ascii="Arial" w:hAnsi="Arial" w:cs="Arial"/>
                <w:sz w:val="20"/>
                <w:szCs w:val="20"/>
              </w:rPr>
              <w:t>614</w:t>
            </w:r>
          </w:p>
        </w:tc>
      </w:tr>
      <w:tr w:rsidR="00A06A27" w14:paraId="18AD1272" w14:textId="77777777" w:rsidTr="0048237E">
        <w:trPr>
          <w:trHeight w:val="291"/>
          <w:jc w:val="center"/>
        </w:trPr>
        <w:tc>
          <w:tcPr>
            <w:tcW w:w="1242" w:type="dxa"/>
            <w:vAlign w:val="center"/>
          </w:tcPr>
          <w:p w14:paraId="218D6EEB" w14:textId="77777777" w:rsidR="00A06A27" w:rsidRPr="0048237E" w:rsidRDefault="00000000" w:rsidP="0048237E">
            <w:pPr>
              <w:jc w:val="center"/>
              <w:rPr>
                <w:rFonts w:ascii="Arial" w:hAnsi="Arial" w:cs="Arial"/>
                <w:b/>
                <w:bCs/>
                <w:sz w:val="20"/>
                <w:szCs w:val="20"/>
              </w:rPr>
            </w:pPr>
            <w:r w:rsidRPr="0048237E">
              <w:rPr>
                <w:rFonts w:ascii="Arial" w:hAnsi="Arial" w:cs="Arial"/>
                <w:b/>
                <w:bCs/>
                <w:sz w:val="20"/>
                <w:szCs w:val="20"/>
              </w:rPr>
              <w:t>04.01</w:t>
            </w:r>
          </w:p>
        </w:tc>
        <w:tc>
          <w:tcPr>
            <w:tcW w:w="3015" w:type="dxa"/>
            <w:vAlign w:val="center"/>
          </w:tcPr>
          <w:p w14:paraId="49E4E15F" w14:textId="77777777" w:rsidR="00A06A27" w:rsidRPr="0048237E" w:rsidRDefault="00000000" w:rsidP="0048237E">
            <w:pPr>
              <w:jc w:val="center"/>
              <w:rPr>
                <w:rFonts w:ascii="Arial" w:hAnsi="Arial" w:cs="Arial"/>
                <w:sz w:val="20"/>
                <w:szCs w:val="20"/>
              </w:rPr>
            </w:pPr>
            <w:r w:rsidRPr="0048237E">
              <w:rPr>
                <w:rFonts w:ascii="Arial" w:hAnsi="Arial" w:cs="Arial"/>
                <w:sz w:val="20"/>
                <w:szCs w:val="20"/>
              </w:rPr>
              <w:t>600 - Trans. SUS Federal</w:t>
            </w:r>
          </w:p>
        </w:tc>
        <w:tc>
          <w:tcPr>
            <w:tcW w:w="2492" w:type="dxa"/>
            <w:vAlign w:val="center"/>
          </w:tcPr>
          <w:p w14:paraId="6CA6D599" w14:textId="77777777" w:rsidR="00A06A27" w:rsidRPr="0048237E" w:rsidRDefault="00000000" w:rsidP="0048237E">
            <w:pPr>
              <w:jc w:val="center"/>
              <w:rPr>
                <w:rFonts w:ascii="Arial" w:hAnsi="Arial" w:cs="Arial"/>
                <w:sz w:val="20"/>
                <w:szCs w:val="20"/>
              </w:rPr>
            </w:pPr>
            <w:r w:rsidRPr="0048237E">
              <w:rPr>
                <w:rFonts w:ascii="Arial" w:hAnsi="Arial" w:cs="Arial"/>
                <w:sz w:val="20"/>
                <w:szCs w:val="20"/>
              </w:rPr>
              <w:t>3.3.90.30.00.00.00</w:t>
            </w:r>
          </w:p>
        </w:tc>
        <w:tc>
          <w:tcPr>
            <w:tcW w:w="2039" w:type="dxa"/>
            <w:vAlign w:val="center"/>
          </w:tcPr>
          <w:p w14:paraId="575D317C" w14:textId="77777777" w:rsidR="00A06A27" w:rsidRPr="0048237E" w:rsidRDefault="00000000" w:rsidP="0048237E">
            <w:pPr>
              <w:jc w:val="center"/>
              <w:rPr>
                <w:rFonts w:ascii="Arial" w:hAnsi="Arial" w:cs="Arial"/>
                <w:sz w:val="20"/>
                <w:szCs w:val="20"/>
              </w:rPr>
            </w:pPr>
            <w:r w:rsidRPr="0048237E">
              <w:rPr>
                <w:rFonts w:ascii="Arial" w:hAnsi="Arial" w:cs="Arial"/>
                <w:sz w:val="20"/>
                <w:szCs w:val="20"/>
              </w:rPr>
              <w:t>10.301.0019 2.189</w:t>
            </w:r>
          </w:p>
        </w:tc>
        <w:tc>
          <w:tcPr>
            <w:tcW w:w="1485" w:type="dxa"/>
            <w:vAlign w:val="center"/>
          </w:tcPr>
          <w:p w14:paraId="2D405942" w14:textId="77777777" w:rsidR="00A06A27" w:rsidRPr="0048237E" w:rsidRDefault="00000000" w:rsidP="0048237E">
            <w:pPr>
              <w:jc w:val="center"/>
              <w:rPr>
                <w:rFonts w:ascii="Arial" w:hAnsi="Arial" w:cs="Arial"/>
                <w:sz w:val="20"/>
                <w:szCs w:val="20"/>
              </w:rPr>
            </w:pPr>
            <w:r w:rsidRPr="0048237E">
              <w:rPr>
                <w:rFonts w:ascii="Arial" w:hAnsi="Arial" w:cs="Arial"/>
                <w:sz w:val="20"/>
                <w:szCs w:val="20"/>
              </w:rPr>
              <w:t>530</w:t>
            </w:r>
          </w:p>
        </w:tc>
      </w:tr>
      <w:tr w:rsidR="00A06A27" w14:paraId="0D7757C7" w14:textId="77777777" w:rsidTr="0048237E">
        <w:trPr>
          <w:trHeight w:val="291"/>
          <w:jc w:val="center"/>
        </w:trPr>
        <w:tc>
          <w:tcPr>
            <w:tcW w:w="1242" w:type="dxa"/>
            <w:vAlign w:val="center"/>
          </w:tcPr>
          <w:p w14:paraId="42A94E3F" w14:textId="77777777" w:rsidR="00A06A27" w:rsidRPr="0048237E" w:rsidRDefault="00000000" w:rsidP="0048237E">
            <w:pPr>
              <w:jc w:val="center"/>
              <w:rPr>
                <w:rFonts w:ascii="Arial" w:hAnsi="Arial" w:cs="Arial"/>
                <w:b/>
                <w:bCs/>
                <w:sz w:val="20"/>
                <w:szCs w:val="20"/>
              </w:rPr>
            </w:pPr>
            <w:r w:rsidRPr="0048237E">
              <w:rPr>
                <w:rFonts w:ascii="Arial" w:hAnsi="Arial" w:cs="Arial"/>
                <w:b/>
                <w:bCs/>
                <w:sz w:val="20"/>
                <w:szCs w:val="20"/>
              </w:rPr>
              <w:t>04.01</w:t>
            </w:r>
          </w:p>
        </w:tc>
        <w:tc>
          <w:tcPr>
            <w:tcW w:w="3015" w:type="dxa"/>
            <w:vAlign w:val="center"/>
          </w:tcPr>
          <w:p w14:paraId="742B8E84" w14:textId="77777777" w:rsidR="00A06A27" w:rsidRPr="0048237E" w:rsidRDefault="00000000" w:rsidP="0048237E">
            <w:pPr>
              <w:jc w:val="center"/>
              <w:rPr>
                <w:rFonts w:ascii="Arial" w:hAnsi="Arial" w:cs="Arial"/>
                <w:sz w:val="20"/>
                <w:szCs w:val="20"/>
              </w:rPr>
            </w:pPr>
            <w:r w:rsidRPr="0048237E">
              <w:rPr>
                <w:rFonts w:ascii="Arial" w:hAnsi="Arial" w:cs="Arial"/>
                <w:sz w:val="20"/>
                <w:szCs w:val="20"/>
              </w:rPr>
              <w:t>500-Fonte Recursos não vinculados</w:t>
            </w:r>
          </w:p>
        </w:tc>
        <w:tc>
          <w:tcPr>
            <w:tcW w:w="2492" w:type="dxa"/>
            <w:vAlign w:val="center"/>
          </w:tcPr>
          <w:p w14:paraId="460750AB" w14:textId="77777777" w:rsidR="00A06A27" w:rsidRPr="0048237E" w:rsidRDefault="00000000" w:rsidP="0048237E">
            <w:pPr>
              <w:jc w:val="center"/>
              <w:rPr>
                <w:rFonts w:ascii="Arial" w:hAnsi="Arial" w:cs="Arial"/>
                <w:sz w:val="20"/>
                <w:szCs w:val="20"/>
              </w:rPr>
            </w:pPr>
            <w:r w:rsidRPr="0048237E">
              <w:rPr>
                <w:rFonts w:ascii="Arial" w:hAnsi="Arial" w:cs="Arial"/>
                <w:sz w:val="20"/>
                <w:szCs w:val="20"/>
              </w:rPr>
              <w:t>3.3.90.30.00.00.00</w:t>
            </w:r>
          </w:p>
        </w:tc>
        <w:tc>
          <w:tcPr>
            <w:tcW w:w="2039" w:type="dxa"/>
            <w:vAlign w:val="center"/>
          </w:tcPr>
          <w:p w14:paraId="21AE8D8F" w14:textId="77777777" w:rsidR="00A06A27" w:rsidRPr="0048237E" w:rsidRDefault="00000000" w:rsidP="0048237E">
            <w:pPr>
              <w:jc w:val="center"/>
              <w:rPr>
                <w:rFonts w:ascii="Arial" w:hAnsi="Arial" w:cs="Arial"/>
                <w:sz w:val="20"/>
                <w:szCs w:val="20"/>
              </w:rPr>
            </w:pPr>
            <w:r w:rsidRPr="0048237E">
              <w:rPr>
                <w:rFonts w:ascii="Arial" w:hAnsi="Arial" w:cs="Arial"/>
                <w:sz w:val="20"/>
                <w:szCs w:val="20"/>
              </w:rPr>
              <w:t>10.122.0004 2.041</w:t>
            </w:r>
          </w:p>
        </w:tc>
        <w:tc>
          <w:tcPr>
            <w:tcW w:w="1485" w:type="dxa"/>
            <w:vAlign w:val="center"/>
          </w:tcPr>
          <w:p w14:paraId="40796DD5" w14:textId="77777777" w:rsidR="00A06A27" w:rsidRPr="0048237E" w:rsidRDefault="00000000" w:rsidP="0048237E">
            <w:pPr>
              <w:jc w:val="center"/>
              <w:rPr>
                <w:rFonts w:ascii="Arial" w:hAnsi="Arial" w:cs="Arial"/>
                <w:sz w:val="20"/>
                <w:szCs w:val="20"/>
              </w:rPr>
            </w:pPr>
            <w:r w:rsidRPr="0048237E">
              <w:rPr>
                <w:rFonts w:ascii="Arial" w:hAnsi="Arial" w:cs="Arial"/>
                <w:sz w:val="20"/>
                <w:szCs w:val="20"/>
              </w:rPr>
              <w:t>476</w:t>
            </w:r>
          </w:p>
        </w:tc>
      </w:tr>
    </w:tbl>
    <w:p w14:paraId="366F2723" w14:textId="77777777" w:rsidR="00A06A27" w:rsidRDefault="00A06A27">
      <w:pPr>
        <w:pStyle w:val="Nivel2"/>
        <w:numPr>
          <w:ilvl w:val="0"/>
          <w:numId w:val="0"/>
        </w:numPr>
      </w:pPr>
    </w:p>
    <w:p w14:paraId="55C5C822" w14:textId="77777777" w:rsidR="0048237E" w:rsidRDefault="0048237E">
      <w:pPr>
        <w:pStyle w:val="Nivel2"/>
        <w:numPr>
          <w:ilvl w:val="0"/>
          <w:numId w:val="0"/>
        </w:numPr>
      </w:pPr>
    </w:p>
    <w:p w14:paraId="613D4C3E" w14:textId="58B5E958" w:rsidR="00A06A27" w:rsidRDefault="00000000">
      <w:pPr>
        <w:pStyle w:val="Nivel2"/>
        <w:numPr>
          <w:ilvl w:val="0"/>
          <w:numId w:val="0"/>
        </w:numPr>
      </w:pPr>
      <w:r>
        <w:t>Paraíba do Sul, 6 de março de 2024.</w:t>
      </w:r>
    </w:p>
    <w:p w14:paraId="56761CAC" w14:textId="77777777" w:rsidR="00A06A27" w:rsidRDefault="00A06A27" w:rsidP="00752E70">
      <w:pPr>
        <w:contextualSpacing/>
        <w:rPr>
          <w:rFonts w:ascii="Arial" w:hAnsi="Arial" w:cs="Arial"/>
          <w:sz w:val="20"/>
          <w:szCs w:val="20"/>
        </w:rPr>
      </w:pPr>
    </w:p>
    <w:p w14:paraId="0C36C9A1" w14:textId="77777777" w:rsidR="00A06A27" w:rsidRDefault="00A06A27">
      <w:pPr>
        <w:contextualSpacing/>
        <w:jc w:val="center"/>
        <w:rPr>
          <w:rFonts w:ascii="Arial" w:hAnsi="Arial" w:cs="Arial"/>
          <w:sz w:val="20"/>
          <w:szCs w:val="20"/>
        </w:rPr>
      </w:pPr>
    </w:p>
    <w:p w14:paraId="2CE1E27B" w14:textId="77777777" w:rsidR="00A06A27" w:rsidRDefault="00A06A27">
      <w:pPr>
        <w:contextualSpacing/>
        <w:jc w:val="center"/>
        <w:rPr>
          <w:rFonts w:ascii="Arial" w:hAnsi="Arial" w:cs="Arial"/>
          <w:sz w:val="20"/>
          <w:szCs w:val="20"/>
        </w:rPr>
      </w:pPr>
    </w:p>
    <w:p w14:paraId="70BA5CFA" w14:textId="77777777" w:rsidR="00A06A27" w:rsidRDefault="00A06A27">
      <w:pPr>
        <w:contextualSpacing/>
        <w:jc w:val="center"/>
        <w:rPr>
          <w:rFonts w:ascii="Arial" w:hAnsi="Arial" w:cs="Arial"/>
          <w:sz w:val="20"/>
          <w:szCs w:val="20"/>
        </w:rPr>
      </w:pPr>
    </w:p>
    <w:p w14:paraId="388DC9EC" w14:textId="77777777" w:rsidR="00A06A27" w:rsidRDefault="00000000">
      <w:pPr>
        <w:contextualSpacing/>
        <w:jc w:val="center"/>
        <w:rPr>
          <w:rFonts w:ascii="Arial" w:hAnsi="Arial" w:cs="Arial"/>
          <w:sz w:val="20"/>
          <w:szCs w:val="20"/>
        </w:rPr>
      </w:pPr>
      <w:r>
        <w:rPr>
          <w:rFonts w:ascii="Arial" w:hAnsi="Arial" w:cs="Arial"/>
          <w:sz w:val="20"/>
          <w:szCs w:val="20"/>
        </w:rPr>
        <w:t xml:space="preserve">Flávia de Azevedo Santos Mourão </w:t>
      </w:r>
    </w:p>
    <w:p w14:paraId="32883A2D" w14:textId="77777777" w:rsidR="00A06A27" w:rsidRDefault="00000000">
      <w:pPr>
        <w:contextualSpacing/>
        <w:jc w:val="center"/>
        <w:rPr>
          <w:rFonts w:ascii="Arial" w:hAnsi="Arial" w:cs="Arial"/>
          <w:sz w:val="20"/>
          <w:szCs w:val="20"/>
        </w:rPr>
      </w:pPr>
      <w:r>
        <w:rPr>
          <w:rFonts w:ascii="Arial" w:hAnsi="Arial" w:cs="Arial"/>
          <w:sz w:val="20"/>
          <w:szCs w:val="20"/>
        </w:rPr>
        <w:t xml:space="preserve">Auxiliar de Apoio Administrativo </w:t>
      </w:r>
    </w:p>
    <w:p w14:paraId="2F2CA937" w14:textId="77777777" w:rsidR="00A06A27" w:rsidRDefault="00000000">
      <w:pPr>
        <w:contextualSpacing/>
        <w:jc w:val="center"/>
        <w:rPr>
          <w:rFonts w:ascii="Arial" w:hAnsi="Arial" w:cs="Arial"/>
          <w:sz w:val="20"/>
          <w:szCs w:val="20"/>
        </w:rPr>
      </w:pPr>
      <w:r>
        <w:rPr>
          <w:rFonts w:ascii="Arial" w:hAnsi="Arial" w:cs="Arial"/>
          <w:sz w:val="20"/>
          <w:szCs w:val="20"/>
        </w:rPr>
        <w:t xml:space="preserve">Matrícula: E-2247 </w:t>
      </w:r>
    </w:p>
    <w:p w14:paraId="5F6466CA" w14:textId="77777777" w:rsidR="00A06A27" w:rsidRDefault="00000000">
      <w:pPr>
        <w:contextualSpacing/>
        <w:jc w:val="center"/>
        <w:rPr>
          <w:rFonts w:ascii="Arial" w:hAnsi="Arial" w:cs="Arial"/>
          <w:sz w:val="20"/>
          <w:szCs w:val="20"/>
        </w:rPr>
      </w:pPr>
      <w:r>
        <w:rPr>
          <w:rFonts w:ascii="Arial" w:hAnsi="Arial" w:cs="Arial"/>
          <w:sz w:val="20"/>
          <w:szCs w:val="20"/>
        </w:rPr>
        <w:t xml:space="preserve">Responsável pela Elaboração </w:t>
      </w:r>
    </w:p>
    <w:p w14:paraId="29C83BFC" w14:textId="77777777" w:rsidR="00A06A27" w:rsidRDefault="00A06A27">
      <w:pPr>
        <w:contextualSpacing/>
        <w:jc w:val="center"/>
        <w:rPr>
          <w:rFonts w:ascii="Arial" w:hAnsi="Arial" w:cs="Arial"/>
          <w:sz w:val="20"/>
          <w:szCs w:val="20"/>
        </w:rPr>
      </w:pPr>
    </w:p>
    <w:p w14:paraId="01B1FBE8" w14:textId="77777777" w:rsidR="00A06A27" w:rsidRDefault="00A06A27">
      <w:pPr>
        <w:contextualSpacing/>
        <w:jc w:val="center"/>
        <w:rPr>
          <w:rFonts w:ascii="Arial" w:hAnsi="Arial" w:cs="Arial"/>
          <w:sz w:val="20"/>
          <w:szCs w:val="20"/>
        </w:rPr>
      </w:pPr>
    </w:p>
    <w:p w14:paraId="2419A017" w14:textId="77777777" w:rsidR="00A06A27" w:rsidRDefault="00A06A27">
      <w:pPr>
        <w:contextualSpacing/>
        <w:jc w:val="center"/>
        <w:rPr>
          <w:rFonts w:ascii="Arial" w:hAnsi="Arial" w:cs="Arial"/>
          <w:sz w:val="20"/>
          <w:szCs w:val="20"/>
        </w:rPr>
      </w:pPr>
    </w:p>
    <w:p w14:paraId="061F5DAA" w14:textId="77777777" w:rsidR="00A06A27" w:rsidRDefault="00A06A27">
      <w:pPr>
        <w:contextualSpacing/>
        <w:jc w:val="center"/>
        <w:rPr>
          <w:rFonts w:ascii="Arial" w:hAnsi="Arial" w:cs="Arial"/>
          <w:sz w:val="20"/>
          <w:szCs w:val="20"/>
        </w:rPr>
      </w:pPr>
    </w:p>
    <w:p w14:paraId="7C58FBED" w14:textId="77777777" w:rsidR="00A06A27" w:rsidRDefault="00A06A27">
      <w:pPr>
        <w:contextualSpacing/>
        <w:jc w:val="center"/>
        <w:rPr>
          <w:rFonts w:ascii="Arial" w:hAnsi="Arial" w:cs="Arial"/>
          <w:sz w:val="20"/>
          <w:szCs w:val="20"/>
        </w:rPr>
      </w:pPr>
    </w:p>
    <w:p w14:paraId="7CC5A3A3" w14:textId="77777777" w:rsidR="00A06A27" w:rsidRDefault="00A06A27">
      <w:pPr>
        <w:contextualSpacing/>
        <w:jc w:val="center"/>
        <w:rPr>
          <w:rFonts w:ascii="Arial" w:hAnsi="Arial" w:cs="Arial"/>
          <w:sz w:val="20"/>
          <w:szCs w:val="20"/>
        </w:rPr>
      </w:pPr>
    </w:p>
    <w:p w14:paraId="45239DD3" w14:textId="77777777" w:rsidR="00A06A27" w:rsidRDefault="00000000">
      <w:pPr>
        <w:contextualSpacing/>
        <w:jc w:val="center"/>
        <w:rPr>
          <w:rFonts w:ascii="Arial" w:hAnsi="Arial" w:cs="Arial"/>
          <w:sz w:val="20"/>
          <w:szCs w:val="20"/>
        </w:rPr>
      </w:pPr>
      <w:r>
        <w:rPr>
          <w:rFonts w:ascii="Arial" w:hAnsi="Arial" w:cs="Arial"/>
          <w:sz w:val="20"/>
          <w:szCs w:val="20"/>
        </w:rPr>
        <w:t xml:space="preserve">Roberta dos Santos Silva Oliveira </w:t>
      </w:r>
    </w:p>
    <w:p w14:paraId="026A7A01" w14:textId="77777777" w:rsidR="00A06A27" w:rsidRDefault="00000000">
      <w:pPr>
        <w:contextualSpacing/>
        <w:jc w:val="center"/>
        <w:rPr>
          <w:rFonts w:ascii="Arial" w:hAnsi="Arial" w:cs="Arial"/>
          <w:sz w:val="20"/>
          <w:szCs w:val="20"/>
        </w:rPr>
      </w:pPr>
      <w:r>
        <w:rPr>
          <w:rFonts w:ascii="Arial" w:hAnsi="Arial" w:cs="Arial"/>
          <w:sz w:val="20"/>
          <w:szCs w:val="20"/>
        </w:rPr>
        <w:t xml:space="preserve">Coordenadora de Materiais e Suplementos </w:t>
      </w:r>
    </w:p>
    <w:p w14:paraId="49D71D61" w14:textId="77777777" w:rsidR="00A06A27" w:rsidRDefault="00000000">
      <w:pPr>
        <w:contextualSpacing/>
        <w:jc w:val="center"/>
        <w:rPr>
          <w:rFonts w:ascii="Arial" w:hAnsi="Arial" w:cs="Arial"/>
          <w:sz w:val="20"/>
          <w:szCs w:val="20"/>
        </w:rPr>
      </w:pPr>
      <w:r>
        <w:rPr>
          <w:rFonts w:ascii="Arial" w:hAnsi="Arial" w:cs="Arial"/>
          <w:sz w:val="20"/>
          <w:szCs w:val="20"/>
        </w:rPr>
        <w:t xml:space="preserve">Matrícula: E-1661 </w:t>
      </w:r>
    </w:p>
    <w:p w14:paraId="5C8EE1BD" w14:textId="77777777" w:rsidR="00A06A27" w:rsidRDefault="00000000">
      <w:pPr>
        <w:contextualSpacing/>
        <w:jc w:val="center"/>
        <w:rPr>
          <w:rFonts w:ascii="Arial" w:hAnsi="Arial" w:cs="Arial"/>
          <w:sz w:val="20"/>
          <w:szCs w:val="20"/>
        </w:rPr>
      </w:pPr>
      <w:r>
        <w:rPr>
          <w:rFonts w:ascii="Arial" w:hAnsi="Arial" w:cs="Arial"/>
          <w:sz w:val="20"/>
          <w:szCs w:val="20"/>
        </w:rPr>
        <w:t xml:space="preserve">Responsável pela Elaboração </w:t>
      </w:r>
    </w:p>
    <w:p w14:paraId="7076F5C9" w14:textId="77777777" w:rsidR="00A06A27" w:rsidRDefault="00A06A27">
      <w:pPr>
        <w:contextualSpacing/>
        <w:jc w:val="center"/>
        <w:rPr>
          <w:rFonts w:ascii="Arial" w:hAnsi="Arial" w:cs="Arial"/>
          <w:sz w:val="20"/>
          <w:szCs w:val="20"/>
        </w:rPr>
      </w:pPr>
    </w:p>
    <w:p w14:paraId="1EC00FF7" w14:textId="77777777" w:rsidR="00A06A27" w:rsidRDefault="00A06A27">
      <w:pPr>
        <w:contextualSpacing/>
        <w:jc w:val="center"/>
        <w:rPr>
          <w:rFonts w:ascii="Arial" w:hAnsi="Arial" w:cs="Arial"/>
          <w:sz w:val="20"/>
          <w:szCs w:val="20"/>
        </w:rPr>
      </w:pPr>
    </w:p>
    <w:p w14:paraId="49313898" w14:textId="77777777" w:rsidR="00A06A27" w:rsidRDefault="00A06A27">
      <w:pPr>
        <w:contextualSpacing/>
        <w:jc w:val="center"/>
        <w:rPr>
          <w:rFonts w:ascii="Arial" w:hAnsi="Arial" w:cs="Arial"/>
          <w:sz w:val="20"/>
          <w:szCs w:val="20"/>
        </w:rPr>
      </w:pPr>
    </w:p>
    <w:p w14:paraId="0054EC19" w14:textId="77777777" w:rsidR="00A06A27" w:rsidRDefault="00A06A27">
      <w:pPr>
        <w:contextualSpacing/>
        <w:jc w:val="center"/>
        <w:rPr>
          <w:rFonts w:ascii="Arial" w:hAnsi="Arial" w:cs="Arial"/>
          <w:sz w:val="20"/>
          <w:szCs w:val="20"/>
        </w:rPr>
      </w:pPr>
    </w:p>
    <w:p w14:paraId="54F23C7E" w14:textId="77777777" w:rsidR="00A06A27" w:rsidRDefault="00A06A27">
      <w:pPr>
        <w:contextualSpacing/>
        <w:jc w:val="center"/>
        <w:rPr>
          <w:rFonts w:ascii="Arial" w:hAnsi="Arial" w:cs="Arial"/>
          <w:sz w:val="20"/>
          <w:szCs w:val="20"/>
        </w:rPr>
      </w:pPr>
    </w:p>
    <w:p w14:paraId="6C079D91" w14:textId="77777777" w:rsidR="00A06A27" w:rsidRDefault="00A06A27">
      <w:pPr>
        <w:contextualSpacing/>
        <w:jc w:val="center"/>
        <w:rPr>
          <w:rFonts w:ascii="Arial" w:hAnsi="Arial" w:cs="Arial"/>
          <w:sz w:val="20"/>
          <w:szCs w:val="20"/>
        </w:rPr>
      </w:pPr>
    </w:p>
    <w:p w14:paraId="7B34AC33" w14:textId="77777777" w:rsidR="00A06A27" w:rsidRDefault="00000000">
      <w:pPr>
        <w:contextualSpacing/>
        <w:jc w:val="center"/>
        <w:rPr>
          <w:rFonts w:ascii="Arial" w:hAnsi="Arial" w:cs="Arial"/>
          <w:sz w:val="20"/>
          <w:szCs w:val="20"/>
        </w:rPr>
      </w:pPr>
      <w:r>
        <w:rPr>
          <w:rFonts w:ascii="Arial" w:hAnsi="Arial" w:cs="Arial"/>
          <w:sz w:val="20"/>
          <w:szCs w:val="20"/>
        </w:rPr>
        <w:t>Elizangela Gomes da Silva Mafra</w:t>
      </w:r>
    </w:p>
    <w:p w14:paraId="2EBF095A" w14:textId="77777777" w:rsidR="00A06A27" w:rsidRDefault="00000000">
      <w:pPr>
        <w:contextualSpacing/>
        <w:jc w:val="center"/>
        <w:rPr>
          <w:rFonts w:ascii="Arial" w:hAnsi="Arial" w:cs="Arial"/>
          <w:sz w:val="20"/>
          <w:szCs w:val="20"/>
        </w:rPr>
      </w:pPr>
      <w:r>
        <w:rPr>
          <w:rFonts w:ascii="Arial" w:hAnsi="Arial" w:cs="Arial"/>
          <w:sz w:val="20"/>
          <w:szCs w:val="20"/>
        </w:rPr>
        <w:t xml:space="preserve">Secretária Municipal de Saúde </w:t>
      </w:r>
    </w:p>
    <w:p w14:paraId="71D6A007" w14:textId="77777777" w:rsidR="00A06A27" w:rsidRDefault="00A06A27">
      <w:pPr>
        <w:jc w:val="center"/>
        <w:rPr>
          <w:b/>
          <w:bCs/>
        </w:rPr>
      </w:pPr>
    </w:p>
    <w:sectPr w:rsidR="00A06A27" w:rsidSect="007C20B4">
      <w:headerReference w:type="default" r:id="rId32"/>
      <w:footerReference w:type="default" r:id="rId33"/>
      <w:type w:val="continuous"/>
      <w:pgSz w:w="11906" w:h="16838"/>
      <w:pgMar w:top="1940" w:right="720" w:bottom="1135" w:left="720" w:header="180" w:footer="46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7E3C55" w14:textId="77777777" w:rsidR="007C20B4" w:rsidRDefault="007C20B4">
      <w:r>
        <w:separator/>
      </w:r>
    </w:p>
  </w:endnote>
  <w:endnote w:type="continuationSeparator" w:id="0">
    <w:p w14:paraId="5753E2C9" w14:textId="77777777" w:rsidR="007C20B4" w:rsidRDefault="007C20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roxima Nova Rg">
    <w:altName w:val="Tahoma"/>
    <w:panose1 w:val="00000000000000000000"/>
    <w:charset w:val="00"/>
    <w:family w:val="modern"/>
    <w:notTrueType/>
    <w:pitch w:val="variable"/>
    <w:sig w:usb0="A00002AF" w:usb1="5000E0F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FD0DCF" w14:textId="77777777" w:rsidR="00A06A27" w:rsidRDefault="00000000">
    <w:pPr>
      <w:pStyle w:val="Rodap"/>
      <w:jc w:val="center"/>
      <w:rPr>
        <w:rFonts w:ascii="Proxima Nova Rg" w:hAnsi="Proxima Nova Rg"/>
        <w:sz w:val="18"/>
        <w:szCs w:val="18"/>
      </w:rPr>
    </w:pPr>
    <w:r>
      <w:rPr>
        <w:rFonts w:ascii="Proxima Nova Rg" w:hAnsi="Proxima Nova Rg"/>
        <w:noProof/>
        <w:sz w:val="18"/>
        <w:szCs w:val="18"/>
      </w:rPr>
      <mc:AlternateContent>
        <mc:Choice Requires="wpg">
          <w:drawing>
            <wp:anchor distT="0" distB="0" distL="114300" distR="114300" simplePos="0" relativeHeight="251658240" behindDoc="1" locked="0" layoutInCell="1" allowOverlap="1" wp14:anchorId="16104D65" wp14:editId="0A75CB93">
              <wp:simplePos x="0" y="0"/>
              <wp:positionH relativeFrom="margin">
                <wp:align>center</wp:align>
              </wp:positionH>
              <wp:positionV relativeFrom="paragraph">
                <wp:posOffset>-203200</wp:posOffset>
              </wp:positionV>
              <wp:extent cx="4914900" cy="17780"/>
              <wp:effectExtent l="0" t="0" r="0" b="1270"/>
              <wp:wrapNone/>
              <wp:docPr id="2" name="Conector reto 1"/>
              <wp:cNvGraphicFramePr/>
              <a:graphic xmlns:a="http://schemas.openxmlformats.org/drawingml/2006/main">
                <a:graphicData uri="http://schemas.microsoft.com/office/word/2010/wordprocessingShape">
                  <wps:wsp>
                    <wps:cNvCnPr/>
                    <wps:spPr bwMode="auto">
                      <a:xfrm>
                        <a:off x="0" y="0"/>
                        <a:ext cx="4914900" cy="1778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v:line id="shape 1" o:spid="_x0000_s1" style="position:absolute;left:0;text-align:left;z-index:-251658240;mso-wrap-distance-left:9.00pt;mso-wrap-distance-top:0.00pt;mso-wrap-distance-right:9.00pt;mso-wrap-distance-bottom:0.00pt;visibility:visible;" from="0.0pt,-16.0pt" to="387.0pt,-14.6pt" filled="f" strokecolor="#000000" strokeweight="1.50pt">
              <v:stroke dashstyle="solid"/>
            </v:line>
          </w:pict>
        </mc:Fallback>
      </mc:AlternateContent>
    </w:r>
    <w:r>
      <w:rPr>
        <w:rFonts w:ascii="Proxima Nova Rg" w:hAnsi="Proxima Nova Rg"/>
        <w:sz w:val="18"/>
        <w:szCs w:val="18"/>
      </w:rPr>
      <w:t>Av. Prefeito Bento Gonçalves Pereira, nº 410 | Paraíba do Sul – RJ | CEP: 25850-000 | Tel.: (24) 2263-5631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64F0C3" w14:textId="77777777" w:rsidR="007C20B4" w:rsidRDefault="007C20B4">
      <w:r>
        <w:separator/>
      </w:r>
    </w:p>
  </w:footnote>
  <w:footnote w:type="continuationSeparator" w:id="0">
    <w:p w14:paraId="262949BB" w14:textId="77777777" w:rsidR="007C20B4" w:rsidRDefault="007C20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66C8FD" w14:textId="77777777" w:rsidR="00A06A27" w:rsidRDefault="00000000">
    <w:pPr>
      <w:pStyle w:val="Cabealho"/>
      <w:tabs>
        <w:tab w:val="clear" w:pos="4252"/>
        <w:tab w:val="clear" w:pos="8504"/>
        <w:tab w:val="left" w:pos="9315"/>
      </w:tabs>
    </w:pPr>
    <w:r>
      <w:rPr>
        <w:noProof/>
      </w:rPr>
      <mc:AlternateContent>
        <mc:Choice Requires="wpg">
          <w:drawing>
            <wp:anchor distT="0" distB="0" distL="114300" distR="114300" simplePos="0" relativeHeight="251657216" behindDoc="1" locked="0" layoutInCell="1" allowOverlap="1" wp14:anchorId="4CBBCECF" wp14:editId="5BF9B7E2">
              <wp:simplePos x="0" y="0"/>
              <wp:positionH relativeFrom="page">
                <wp:posOffset>9525</wp:posOffset>
              </wp:positionH>
              <wp:positionV relativeFrom="paragraph">
                <wp:posOffset>-295910</wp:posOffset>
              </wp:positionV>
              <wp:extent cx="7539990" cy="10658475"/>
              <wp:effectExtent l="19050" t="0" r="3810" b="0"/>
              <wp:wrapNone/>
              <wp:docPr id="1807643488" name="Imagem 1618929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m 13"/>
                      <pic:cNvPicPr>
                        <a:picLocks noChangeAspect="1"/>
                      </pic:cNvPicPr>
                    </pic:nvPicPr>
                    <pic:blipFill>
                      <a:blip r:embed="rId1"/>
                      <a:stretch/>
                    </pic:blipFill>
                    <pic:spPr bwMode="auto">
                      <a:xfrm>
                        <a:off x="0" y="0"/>
                        <a:ext cx="7539990" cy="10658475"/>
                      </a:xfrm>
                      <a:prstGeom prst="rect">
                        <a:avLst/>
                      </a:prstGeom>
                    </pic:spPr>
                  </pic:pic>
                </a:graphicData>
              </a:graphic>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7216;o:allowoverlap:true;o:allowincell:true;mso-position-horizontal-relative:page;margin-left:0.75pt;mso-position-horizontal:absolute;mso-position-vertical-relative:text;margin-top:-23.30pt;mso-position-vertical:absolute;width:593.70pt;height:839.25pt;mso-wrap-distance-left:9.00pt;mso-wrap-distance-top:0.00pt;mso-wrap-distance-right:9.00pt;mso-wrap-distance-bottom:0.00pt;" stroked="false">
              <v:path textboxrect="0,0,0,0"/>
              <v:imagedata r:id="rId2" o:title=""/>
            </v:shape>
          </w:pict>
        </mc:Fallback>
      </mc:AlternateContent>
    </w:r>
    <w:r>
      <w:tab/>
    </w:r>
  </w:p>
  <w:p w14:paraId="3E399124" w14:textId="77777777" w:rsidR="00A06A27" w:rsidRDefault="00000000">
    <w:pPr>
      <w:pStyle w:val="Cabealho"/>
      <w:tabs>
        <w:tab w:val="clear" w:pos="4252"/>
        <w:tab w:val="clear" w:pos="8504"/>
        <w:tab w:val="left" w:pos="9015"/>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5454"/>
    <w:multiLevelType w:val="multilevel"/>
    <w:tmpl w:val="E99A5232"/>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781"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DF1017E"/>
    <w:multiLevelType w:val="multilevel"/>
    <w:tmpl w:val="F4421904"/>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781"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EF61C3A"/>
    <w:multiLevelType w:val="hybridMultilevel"/>
    <w:tmpl w:val="1CCE5194"/>
    <w:lvl w:ilvl="0" w:tplc="0D2E049C">
      <w:start w:val="1"/>
      <w:numFmt w:val="upperRoman"/>
      <w:lvlText w:val="%1."/>
      <w:lvlJc w:val="right"/>
      <w:pPr>
        <w:ind w:left="720" w:hanging="360"/>
      </w:pPr>
      <w:rPr>
        <w:b/>
        <w:bCs/>
      </w:rPr>
    </w:lvl>
    <w:lvl w:ilvl="1" w:tplc="1A9ACA9E">
      <w:start w:val="1"/>
      <w:numFmt w:val="lowerLetter"/>
      <w:lvlText w:val="%2."/>
      <w:lvlJc w:val="left"/>
      <w:pPr>
        <w:ind w:left="1440" w:hanging="360"/>
      </w:pPr>
    </w:lvl>
    <w:lvl w:ilvl="2" w:tplc="BBE84DB6">
      <w:start w:val="1"/>
      <w:numFmt w:val="lowerRoman"/>
      <w:lvlText w:val="%3."/>
      <w:lvlJc w:val="right"/>
      <w:pPr>
        <w:ind w:left="2160" w:hanging="180"/>
      </w:pPr>
    </w:lvl>
    <w:lvl w:ilvl="3" w:tplc="8D1AC536">
      <w:start w:val="1"/>
      <w:numFmt w:val="decimal"/>
      <w:lvlText w:val="%4."/>
      <w:lvlJc w:val="left"/>
      <w:pPr>
        <w:ind w:left="2880" w:hanging="360"/>
      </w:pPr>
    </w:lvl>
    <w:lvl w:ilvl="4" w:tplc="4EC67C34">
      <w:start w:val="1"/>
      <w:numFmt w:val="lowerLetter"/>
      <w:lvlText w:val="%5."/>
      <w:lvlJc w:val="left"/>
      <w:pPr>
        <w:ind w:left="3600" w:hanging="360"/>
      </w:pPr>
    </w:lvl>
    <w:lvl w:ilvl="5" w:tplc="3D34596A">
      <w:start w:val="1"/>
      <w:numFmt w:val="lowerRoman"/>
      <w:lvlText w:val="%6."/>
      <w:lvlJc w:val="right"/>
      <w:pPr>
        <w:ind w:left="4320" w:hanging="180"/>
      </w:pPr>
    </w:lvl>
    <w:lvl w:ilvl="6" w:tplc="A1B08800">
      <w:start w:val="1"/>
      <w:numFmt w:val="decimal"/>
      <w:lvlText w:val="%7."/>
      <w:lvlJc w:val="left"/>
      <w:pPr>
        <w:ind w:left="5040" w:hanging="360"/>
      </w:pPr>
    </w:lvl>
    <w:lvl w:ilvl="7" w:tplc="10F03906">
      <w:start w:val="1"/>
      <w:numFmt w:val="lowerLetter"/>
      <w:lvlText w:val="%8."/>
      <w:lvlJc w:val="left"/>
      <w:pPr>
        <w:ind w:left="5760" w:hanging="360"/>
      </w:pPr>
    </w:lvl>
    <w:lvl w:ilvl="8" w:tplc="0060E340">
      <w:start w:val="1"/>
      <w:numFmt w:val="lowerRoman"/>
      <w:lvlText w:val="%9."/>
      <w:lvlJc w:val="right"/>
      <w:pPr>
        <w:ind w:left="6480" w:hanging="180"/>
      </w:pPr>
    </w:lvl>
  </w:abstractNum>
  <w:abstractNum w:abstractNumId="3" w15:restartNumberingAfterBreak="0">
    <w:nsid w:val="13EC664C"/>
    <w:multiLevelType w:val="multilevel"/>
    <w:tmpl w:val="9642FD30"/>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781"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411795E"/>
    <w:multiLevelType w:val="hybridMultilevel"/>
    <w:tmpl w:val="B7689B7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6003748"/>
    <w:multiLevelType w:val="multilevel"/>
    <w:tmpl w:val="CD70E4EA"/>
    <w:lvl w:ilvl="0">
      <w:start w:val="1"/>
      <w:numFmt w:val="decimal"/>
      <w:lvlText w:val="%1."/>
      <w:lvlJc w:val="left"/>
      <w:pPr>
        <w:ind w:left="360" w:hanging="360"/>
      </w:pPr>
      <w:rPr>
        <w:b/>
      </w:rPr>
    </w:lvl>
    <w:lvl w:ilvl="1">
      <w:start w:val="1"/>
      <w:numFmt w:val="upperRoman"/>
      <w:lvlText w:val="%2."/>
      <w:lvlJc w:val="right"/>
      <w:pPr>
        <w:ind w:left="927" w:hanging="360"/>
      </w:pPr>
    </w:lvl>
    <w:lvl w:ilvl="2">
      <w:start w:val="1"/>
      <w:numFmt w:val="decimal"/>
      <w:lvlText w:val="%1.%2.%3."/>
      <w:lvlJc w:val="left"/>
      <w:pPr>
        <w:ind w:left="1781"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7053F83"/>
    <w:multiLevelType w:val="multilevel"/>
    <w:tmpl w:val="86AC02C4"/>
    <w:lvl w:ilvl="0">
      <w:start w:val="1"/>
      <w:numFmt w:val="decimal"/>
      <w:lvlText w:val="%1."/>
      <w:lvlJc w:val="left"/>
      <w:pPr>
        <w:ind w:left="720" w:hanging="360"/>
      </w:pPr>
      <w:rPr>
        <w:b/>
        <w:bCs/>
        <w:sz w:val="28"/>
        <w:szCs w:val="28"/>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56F5E39"/>
    <w:multiLevelType w:val="multilevel"/>
    <w:tmpl w:val="14A443E0"/>
    <w:lvl w:ilvl="0">
      <w:start w:val="1"/>
      <w:numFmt w:val="decimal"/>
      <w:pStyle w:val="Nivel1"/>
      <w:lvlText w:val="%1."/>
      <w:lvlJc w:val="left"/>
      <w:pPr>
        <w:tabs>
          <w:tab w:val="num" w:pos="0"/>
        </w:tabs>
        <w:ind w:left="360" w:hanging="360"/>
      </w:pPr>
      <w:rPr>
        <w:b/>
        <w:color w:val="auto"/>
      </w:rPr>
    </w:lvl>
    <w:lvl w:ilvl="1">
      <w:start w:val="4"/>
      <w:numFmt w:val="decimal"/>
      <w:lvlText w:val="%1.%2."/>
      <w:lvlJc w:val="left"/>
      <w:pPr>
        <w:tabs>
          <w:tab w:val="num" w:pos="0"/>
        </w:tabs>
        <w:ind w:left="432" w:hanging="432"/>
      </w:pPr>
      <w:rPr>
        <w:b w:val="0"/>
        <w:i w:val="0"/>
        <w:strike w:val="0"/>
        <w:color w:val="auto"/>
        <w:u w:val="none"/>
      </w:rPr>
    </w:lvl>
    <w:lvl w:ilvl="2">
      <w:start w:val="1"/>
      <w:numFmt w:val="decimal"/>
      <w:lvlText w:val="%1.%2.%3."/>
      <w:lvlJc w:val="left"/>
      <w:pPr>
        <w:tabs>
          <w:tab w:val="num" w:pos="0"/>
        </w:tabs>
        <w:ind w:left="504" w:hanging="504"/>
      </w:pPr>
      <w:rPr>
        <w:b w:val="0"/>
        <w:i w:val="0"/>
        <w:color w:val="auto"/>
        <w:sz w:val="20"/>
        <w:szCs w:val="20"/>
      </w:rPr>
    </w:lvl>
    <w:lvl w:ilvl="3">
      <w:start w:val="1"/>
      <w:numFmt w:val="decimal"/>
      <w:lvlText w:val="%1.%2.%3.%4."/>
      <w:lvlJc w:val="left"/>
      <w:pPr>
        <w:tabs>
          <w:tab w:val="num" w:pos="0"/>
        </w:tabs>
        <w:ind w:left="648" w:hanging="648"/>
      </w:pPr>
      <w:rPr>
        <w:color w:val="auto"/>
      </w:rPr>
    </w:lvl>
    <w:lvl w:ilvl="4">
      <w:start w:val="1"/>
      <w:numFmt w:val="decimal"/>
      <w:lvlText w:val="%1.%2.%3.%4.%5."/>
      <w:lvlJc w:val="left"/>
      <w:pPr>
        <w:tabs>
          <w:tab w:val="num" w:pos="0"/>
        </w:tabs>
        <w:ind w:left="3486"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28AC18D9"/>
    <w:multiLevelType w:val="multilevel"/>
    <w:tmpl w:val="EDB8523E"/>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781"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21D3AFD"/>
    <w:multiLevelType w:val="multilevel"/>
    <w:tmpl w:val="596A8F9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781"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B503EF1"/>
    <w:multiLevelType w:val="hybridMultilevel"/>
    <w:tmpl w:val="BED237B2"/>
    <w:lvl w:ilvl="0" w:tplc="35F0C0D6">
      <w:start w:val="1"/>
      <w:numFmt w:val="decimal"/>
      <w:lvlText w:val="%1."/>
      <w:lvlJc w:val="left"/>
      <w:pPr>
        <w:ind w:left="720" w:hanging="360"/>
      </w:pPr>
    </w:lvl>
    <w:lvl w:ilvl="1" w:tplc="5838DA6A">
      <w:start w:val="1"/>
      <w:numFmt w:val="lowerLetter"/>
      <w:lvlText w:val="%2."/>
      <w:lvlJc w:val="left"/>
      <w:pPr>
        <w:ind w:left="1440" w:hanging="360"/>
      </w:pPr>
    </w:lvl>
    <w:lvl w:ilvl="2" w:tplc="C3BEC11E">
      <w:start w:val="1"/>
      <w:numFmt w:val="lowerRoman"/>
      <w:lvlText w:val="%3."/>
      <w:lvlJc w:val="right"/>
      <w:pPr>
        <w:ind w:left="2160" w:hanging="180"/>
      </w:pPr>
    </w:lvl>
    <w:lvl w:ilvl="3" w:tplc="26A6F520">
      <w:start w:val="1"/>
      <w:numFmt w:val="decimal"/>
      <w:lvlText w:val="%4."/>
      <w:lvlJc w:val="left"/>
      <w:pPr>
        <w:ind w:left="2880" w:hanging="360"/>
      </w:pPr>
    </w:lvl>
    <w:lvl w:ilvl="4" w:tplc="5EF8DF02">
      <w:start w:val="1"/>
      <w:numFmt w:val="lowerLetter"/>
      <w:lvlText w:val="%5."/>
      <w:lvlJc w:val="left"/>
      <w:pPr>
        <w:ind w:left="3600" w:hanging="360"/>
      </w:pPr>
    </w:lvl>
    <w:lvl w:ilvl="5" w:tplc="056C667E">
      <w:start w:val="1"/>
      <w:numFmt w:val="lowerRoman"/>
      <w:lvlText w:val="%6."/>
      <w:lvlJc w:val="right"/>
      <w:pPr>
        <w:ind w:left="4320" w:hanging="180"/>
      </w:pPr>
    </w:lvl>
    <w:lvl w:ilvl="6" w:tplc="81E6D7F2">
      <w:start w:val="1"/>
      <w:numFmt w:val="decimal"/>
      <w:lvlText w:val="%7."/>
      <w:lvlJc w:val="left"/>
      <w:pPr>
        <w:ind w:left="5040" w:hanging="360"/>
      </w:pPr>
    </w:lvl>
    <w:lvl w:ilvl="7" w:tplc="0F021A08">
      <w:start w:val="1"/>
      <w:numFmt w:val="lowerLetter"/>
      <w:lvlText w:val="%8."/>
      <w:lvlJc w:val="left"/>
      <w:pPr>
        <w:ind w:left="5760" w:hanging="360"/>
      </w:pPr>
    </w:lvl>
    <w:lvl w:ilvl="8" w:tplc="F84C0D20">
      <w:start w:val="1"/>
      <w:numFmt w:val="lowerRoman"/>
      <w:lvlText w:val="%9."/>
      <w:lvlJc w:val="right"/>
      <w:pPr>
        <w:ind w:left="6480" w:hanging="180"/>
      </w:pPr>
    </w:lvl>
  </w:abstractNum>
  <w:abstractNum w:abstractNumId="11" w15:restartNumberingAfterBreak="0">
    <w:nsid w:val="3E032AA5"/>
    <w:multiLevelType w:val="multilevel"/>
    <w:tmpl w:val="7B1EB410"/>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781"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1895A73"/>
    <w:multiLevelType w:val="multilevel"/>
    <w:tmpl w:val="5BFEB6A2"/>
    <w:lvl w:ilvl="0">
      <w:start w:val="3"/>
      <w:numFmt w:val="decimal"/>
      <w:lvlText w:val="%1."/>
      <w:lvlJc w:val="left"/>
      <w:pPr>
        <w:tabs>
          <w:tab w:val="num" w:pos="0"/>
        </w:tabs>
        <w:ind w:left="72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13"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4" w15:restartNumberingAfterBreak="0">
    <w:nsid w:val="49324613"/>
    <w:multiLevelType w:val="multilevel"/>
    <w:tmpl w:val="13E82EA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781"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CAE4E75"/>
    <w:multiLevelType w:val="hybridMultilevel"/>
    <w:tmpl w:val="3DE8446E"/>
    <w:lvl w:ilvl="0" w:tplc="B7C8E83A">
      <w:start w:val="1"/>
      <w:numFmt w:val="decimal"/>
      <w:lvlText w:val="%1."/>
      <w:lvlJc w:val="left"/>
      <w:pPr>
        <w:ind w:left="720" w:hanging="360"/>
      </w:pPr>
    </w:lvl>
    <w:lvl w:ilvl="1" w:tplc="75DE3286">
      <w:start w:val="1"/>
      <w:numFmt w:val="lowerLetter"/>
      <w:lvlText w:val="%2."/>
      <w:lvlJc w:val="left"/>
      <w:pPr>
        <w:ind w:left="1440" w:hanging="360"/>
      </w:pPr>
    </w:lvl>
    <w:lvl w:ilvl="2" w:tplc="85F8EC7E">
      <w:start w:val="1"/>
      <w:numFmt w:val="lowerRoman"/>
      <w:lvlText w:val="%3."/>
      <w:lvlJc w:val="right"/>
      <w:pPr>
        <w:ind w:left="2160" w:hanging="180"/>
      </w:pPr>
    </w:lvl>
    <w:lvl w:ilvl="3" w:tplc="31060CCC">
      <w:start w:val="1"/>
      <w:numFmt w:val="decimal"/>
      <w:lvlText w:val="%4."/>
      <w:lvlJc w:val="left"/>
      <w:pPr>
        <w:ind w:left="2880" w:hanging="360"/>
      </w:pPr>
    </w:lvl>
    <w:lvl w:ilvl="4" w:tplc="55D2E578">
      <w:start w:val="1"/>
      <w:numFmt w:val="lowerLetter"/>
      <w:lvlText w:val="%5."/>
      <w:lvlJc w:val="left"/>
      <w:pPr>
        <w:ind w:left="3600" w:hanging="360"/>
      </w:pPr>
    </w:lvl>
    <w:lvl w:ilvl="5" w:tplc="C12415EA">
      <w:start w:val="1"/>
      <w:numFmt w:val="lowerRoman"/>
      <w:lvlText w:val="%6."/>
      <w:lvlJc w:val="right"/>
      <w:pPr>
        <w:ind w:left="4320" w:hanging="180"/>
      </w:pPr>
    </w:lvl>
    <w:lvl w:ilvl="6" w:tplc="00CE19F6">
      <w:start w:val="1"/>
      <w:numFmt w:val="decimal"/>
      <w:lvlText w:val="%7."/>
      <w:lvlJc w:val="left"/>
      <w:pPr>
        <w:ind w:left="5040" w:hanging="360"/>
      </w:pPr>
    </w:lvl>
    <w:lvl w:ilvl="7" w:tplc="6248D396">
      <w:start w:val="1"/>
      <w:numFmt w:val="lowerLetter"/>
      <w:lvlText w:val="%8."/>
      <w:lvlJc w:val="left"/>
      <w:pPr>
        <w:ind w:left="5760" w:hanging="360"/>
      </w:pPr>
    </w:lvl>
    <w:lvl w:ilvl="8" w:tplc="9BCA3342">
      <w:start w:val="1"/>
      <w:numFmt w:val="lowerRoman"/>
      <w:lvlText w:val="%9."/>
      <w:lvlJc w:val="right"/>
      <w:pPr>
        <w:ind w:left="6480" w:hanging="180"/>
      </w:pPr>
    </w:lvl>
  </w:abstractNum>
  <w:abstractNum w:abstractNumId="16" w15:restartNumberingAfterBreak="0">
    <w:nsid w:val="609E51D0"/>
    <w:multiLevelType w:val="hybridMultilevel"/>
    <w:tmpl w:val="D0700FCC"/>
    <w:lvl w:ilvl="0" w:tplc="56960C3C">
      <w:start w:val="1"/>
      <w:numFmt w:val="bullet"/>
      <w:lvlText w:val="·"/>
      <w:lvlJc w:val="left"/>
      <w:pPr>
        <w:ind w:left="709" w:hanging="360"/>
      </w:pPr>
      <w:rPr>
        <w:rFonts w:ascii="Symbol" w:eastAsia="Symbol" w:hAnsi="Symbol" w:cs="Symbol" w:hint="default"/>
        <w:u w:val="none"/>
      </w:rPr>
    </w:lvl>
    <w:lvl w:ilvl="1" w:tplc="B1267CE8">
      <w:start w:val="1"/>
      <w:numFmt w:val="bullet"/>
      <w:lvlText w:val="o"/>
      <w:lvlJc w:val="left"/>
      <w:pPr>
        <w:ind w:left="1429" w:hanging="360"/>
      </w:pPr>
      <w:rPr>
        <w:rFonts w:ascii="Courier New" w:eastAsia="Courier New" w:hAnsi="Courier New" w:cs="Courier New" w:hint="default"/>
      </w:rPr>
    </w:lvl>
    <w:lvl w:ilvl="2" w:tplc="68BC6DB6">
      <w:start w:val="1"/>
      <w:numFmt w:val="bullet"/>
      <w:lvlText w:val="§"/>
      <w:lvlJc w:val="left"/>
      <w:pPr>
        <w:ind w:left="2149" w:hanging="360"/>
      </w:pPr>
      <w:rPr>
        <w:rFonts w:ascii="Wingdings" w:eastAsia="Wingdings" w:hAnsi="Wingdings" w:cs="Wingdings" w:hint="default"/>
      </w:rPr>
    </w:lvl>
    <w:lvl w:ilvl="3" w:tplc="820A3B9E">
      <w:start w:val="1"/>
      <w:numFmt w:val="bullet"/>
      <w:lvlText w:val="·"/>
      <w:lvlJc w:val="left"/>
      <w:pPr>
        <w:ind w:left="2869" w:hanging="360"/>
      </w:pPr>
      <w:rPr>
        <w:rFonts w:ascii="Symbol" w:eastAsia="Symbol" w:hAnsi="Symbol" w:cs="Symbol" w:hint="default"/>
      </w:rPr>
    </w:lvl>
    <w:lvl w:ilvl="4" w:tplc="AA1C679A">
      <w:start w:val="1"/>
      <w:numFmt w:val="bullet"/>
      <w:lvlText w:val="o"/>
      <w:lvlJc w:val="left"/>
      <w:pPr>
        <w:ind w:left="3589" w:hanging="360"/>
      </w:pPr>
      <w:rPr>
        <w:rFonts w:ascii="Courier New" w:eastAsia="Courier New" w:hAnsi="Courier New" w:cs="Courier New" w:hint="default"/>
      </w:rPr>
    </w:lvl>
    <w:lvl w:ilvl="5" w:tplc="1886410E">
      <w:start w:val="1"/>
      <w:numFmt w:val="bullet"/>
      <w:lvlText w:val="§"/>
      <w:lvlJc w:val="left"/>
      <w:pPr>
        <w:ind w:left="4309" w:hanging="360"/>
      </w:pPr>
      <w:rPr>
        <w:rFonts w:ascii="Wingdings" w:eastAsia="Wingdings" w:hAnsi="Wingdings" w:cs="Wingdings" w:hint="default"/>
      </w:rPr>
    </w:lvl>
    <w:lvl w:ilvl="6" w:tplc="4B347EA6">
      <w:start w:val="1"/>
      <w:numFmt w:val="bullet"/>
      <w:lvlText w:val="·"/>
      <w:lvlJc w:val="left"/>
      <w:pPr>
        <w:ind w:left="5029" w:hanging="360"/>
      </w:pPr>
      <w:rPr>
        <w:rFonts w:ascii="Symbol" w:eastAsia="Symbol" w:hAnsi="Symbol" w:cs="Symbol" w:hint="default"/>
      </w:rPr>
    </w:lvl>
    <w:lvl w:ilvl="7" w:tplc="048E031E">
      <w:start w:val="1"/>
      <w:numFmt w:val="bullet"/>
      <w:lvlText w:val="o"/>
      <w:lvlJc w:val="left"/>
      <w:pPr>
        <w:ind w:left="5749" w:hanging="360"/>
      </w:pPr>
      <w:rPr>
        <w:rFonts w:ascii="Courier New" w:eastAsia="Courier New" w:hAnsi="Courier New" w:cs="Courier New" w:hint="default"/>
      </w:rPr>
    </w:lvl>
    <w:lvl w:ilvl="8" w:tplc="15526EFA">
      <w:start w:val="1"/>
      <w:numFmt w:val="bullet"/>
      <w:lvlText w:val="§"/>
      <w:lvlJc w:val="left"/>
      <w:pPr>
        <w:ind w:left="6469" w:hanging="360"/>
      </w:pPr>
      <w:rPr>
        <w:rFonts w:ascii="Wingdings" w:eastAsia="Wingdings" w:hAnsi="Wingdings" w:cs="Wingdings" w:hint="default"/>
      </w:rPr>
    </w:lvl>
  </w:abstractNum>
  <w:abstractNum w:abstractNumId="17" w15:restartNumberingAfterBreak="0">
    <w:nsid w:val="6AB73B0F"/>
    <w:multiLevelType w:val="hybridMultilevel"/>
    <w:tmpl w:val="FD868F9A"/>
    <w:lvl w:ilvl="0" w:tplc="6B2A8CB4">
      <w:start w:val="1"/>
      <w:numFmt w:val="upperLetter"/>
      <w:lvlText w:val="(%1)"/>
      <w:lvlJc w:val="left"/>
      <w:pPr>
        <w:ind w:left="720" w:hanging="360"/>
      </w:pPr>
      <w:rPr>
        <w:rFonts w:hint="default"/>
      </w:rPr>
    </w:lvl>
    <w:lvl w:ilvl="1" w:tplc="36D4E6DE">
      <w:start w:val="1"/>
      <w:numFmt w:val="lowerLetter"/>
      <w:lvlText w:val="%2."/>
      <w:lvlJc w:val="left"/>
      <w:pPr>
        <w:ind w:left="1440" w:hanging="360"/>
      </w:pPr>
    </w:lvl>
    <w:lvl w:ilvl="2" w:tplc="56D46924">
      <w:start w:val="1"/>
      <w:numFmt w:val="lowerRoman"/>
      <w:lvlText w:val="%3."/>
      <w:lvlJc w:val="right"/>
      <w:pPr>
        <w:ind w:left="2160" w:hanging="180"/>
      </w:pPr>
    </w:lvl>
    <w:lvl w:ilvl="3" w:tplc="07F48F80">
      <w:start w:val="1"/>
      <w:numFmt w:val="decimal"/>
      <w:lvlText w:val="%4."/>
      <w:lvlJc w:val="left"/>
      <w:pPr>
        <w:ind w:left="2880" w:hanging="360"/>
      </w:pPr>
    </w:lvl>
    <w:lvl w:ilvl="4" w:tplc="87E6F4C0">
      <w:start w:val="1"/>
      <w:numFmt w:val="lowerLetter"/>
      <w:lvlText w:val="%5."/>
      <w:lvlJc w:val="left"/>
      <w:pPr>
        <w:ind w:left="3600" w:hanging="360"/>
      </w:pPr>
    </w:lvl>
    <w:lvl w:ilvl="5" w:tplc="EF16C632">
      <w:start w:val="1"/>
      <w:numFmt w:val="lowerRoman"/>
      <w:lvlText w:val="%6."/>
      <w:lvlJc w:val="right"/>
      <w:pPr>
        <w:ind w:left="4320" w:hanging="180"/>
      </w:pPr>
    </w:lvl>
    <w:lvl w:ilvl="6" w:tplc="20D050D8">
      <w:start w:val="1"/>
      <w:numFmt w:val="decimal"/>
      <w:lvlText w:val="%7."/>
      <w:lvlJc w:val="left"/>
      <w:pPr>
        <w:ind w:left="5040" w:hanging="360"/>
      </w:pPr>
    </w:lvl>
    <w:lvl w:ilvl="7" w:tplc="FD8448D2">
      <w:start w:val="1"/>
      <w:numFmt w:val="lowerLetter"/>
      <w:lvlText w:val="%8."/>
      <w:lvlJc w:val="left"/>
      <w:pPr>
        <w:ind w:left="5760" w:hanging="360"/>
      </w:pPr>
    </w:lvl>
    <w:lvl w:ilvl="8" w:tplc="0C9E7254">
      <w:start w:val="1"/>
      <w:numFmt w:val="lowerRoman"/>
      <w:lvlText w:val="%9."/>
      <w:lvlJc w:val="right"/>
      <w:pPr>
        <w:ind w:left="6480" w:hanging="180"/>
      </w:pPr>
    </w:lvl>
  </w:abstractNum>
  <w:abstractNum w:abstractNumId="18" w15:restartNumberingAfterBreak="0">
    <w:nsid w:val="72336DC4"/>
    <w:multiLevelType w:val="multilevel"/>
    <w:tmpl w:val="832E02B0"/>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781"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30D1C5D"/>
    <w:multiLevelType w:val="hybridMultilevel"/>
    <w:tmpl w:val="9C9A4216"/>
    <w:lvl w:ilvl="0" w:tplc="D05AB454">
      <w:start w:val="1"/>
      <w:numFmt w:val="upperRoman"/>
      <w:lvlText w:val="%1)"/>
      <w:lvlJc w:val="left"/>
      <w:pPr>
        <w:ind w:left="2136" w:hanging="720"/>
      </w:pPr>
      <w:rPr>
        <w:rFonts w:hint="default"/>
      </w:rPr>
    </w:lvl>
    <w:lvl w:ilvl="1" w:tplc="8CA05942">
      <w:start w:val="1"/>
      <w:numFmt w:val="lowerLetter"/>
      <w:lvlText w:val="%2."/>
      <w:lvlJc w:val="left"/>
      <w:pPr>
        <w:ind w:left="2496" w:hanging="360"/>
      </w:pPr>
    </w:lvl>
    <w:lvl w:ilvl="2" w:tplc="9BD0E3E2">
      <w:start w:val="1"/>
      <w:numFmt w:val="lowerRoman"/>
      <w:lvlText w:val="%3."/>
      <w:lvlJc w:val="right"/>
      <w:pPr>
        <w:ind w:left="3216" w:hanging="180"/>
      </w:pPr>
    </w:lvl>
    <w:lvl w:ilvl="3" w:tplc="D11E1820">
      <w:start w:val="1"/>
      <w:numFmt w:val="decimal"/>
      <w:lvlText w:val="%4."/>
      <w:lvlJc w:val="left"/>
      <w:pPr>
        <w:ind w:left="3936" w:hanging="360"/>
      </w:pPr>
    </w:lvl>
    <w:lvl w:ilvl="4" w:tplc="CEBA2C34">
      <w:start w:val="1"/>
      <w:numFmt w:val="lowerLetter"/>
      <w:lvlText w:val="%5."/>
      <w:lvlJc w:val="left"/>
      <w:pPr>
        <w:ind w:left="4656" w:hanging="360"/>
      </w:pPr>
    </w:lvl>
    <w:lvl w:ilvl="5" w:tplc="4E5ECD48">
      <w:start w:val="1"/>
      <w:numFmt w:val="lowerRoman"/>
      <w:lvlText w:val="%6."/>
      <w:lvlJc w:val="right"/>
      <w:pPr>
        <w:ind w:left="5376" w:hanging="180"/>
      </w:pPr>
    </w:lvl>
    <w:lvl w:ilvl="6" w:tplc="B6D24E7A">
      <w:start w:val="1"/>
      <w:numFmt w:val="decimal"/>
      <w:lvlText w:val="%7."/>
      <w:lvlJc w:val="left"/>
      <w:pPr>
        <w:ind w:left="6096" w:hanging="360"/>
      </w:pPr>
    </w:lvl>
    <w:lvl w:ilvl="7" w:tplc="0B88D5CC">
      <w:start w:val="1"/>
      <w:numFmt w:val="lowerLetter"/>
      <w:lvlText w:val="%8."/>
      <w:lvlJc w:val="left"/>
      <w:pPr>
        <w:ind w:left="6816" w:hanging="360"/>
      </w:pPr>
    </w:lvl>
    <w:lvl w:ilvl="8" w:tplc="A7422426">
      <w:start w:val="1"/>
      <w:numFmt w:val="lowerRoman"/>
      <w:lvlText w:val="%9."/>
      <w:lvlJc w:val="right"/>
      <w:pPr>
        <w:ind w:left="7536" w:hanging="180"/>
      </w:pPr>
    </w:lvl>
  </w:abstractNum>
  <w:abstractNum w:abstractNumId="20" w15:restartNumberingAfterBreak="0">
    <w:nsid w:val="76FE2FC6"/>
    <w:multiLevelType w:val="hybridMultilevel"/>
    <w:tmpl w:val="E56E6B7C"/>
    <w:lvl w:ilvl="0" w:tplc="0D3C0DC8">
      <w:start w:val="1"/>
      <w:numFmt w:val="none"/>
      <w:suff w:val="nothing"/>
      <w:lvlText w:val=""/>
      <w:lvlJc w:val="left"/>
      <w:pPr>
        <w:tabs>
          <w:tab w:val="num" w:pos="0"/>
        </w:tabs>
        <w:ind w:left="7560" w:firstLine="0"/>
      </w:pPr>
    </w:lvl>
    <w:lvl w:ilvl="1" w:tplc="13D4314C">
      <w:start w:val="1"/>
      <w:numFmt w:val="none"/>
      <w:suff w:val="nothing"/>
      <w:lvlText w:val=""/>
      <w:lvlJc w:val="left"/>
      <w:pPr>
        <w:tabs>
          <w:tab w:val="num" w:pos="0"/>
        </w:tabs>
        <w:ind w:left="7560" w:firstLine="0"/>
      </w:pPr>
    </w:lvl>
    <w:lvl w:ilvl="2" w:tplc="9FA29F72">
      <w:start w:val="1"/>
      <w:numFmt w:val="none"/>
      <w:suff w:val="nothing"/>
      <w:lvlText w:val=""/>
      <w:lvlJc w:val="left"/>
      <w:pPr>
        <w:tabs>
          <w:tab w:val="num" w:pos="0"/>
        </w:tabs>
        <w:ind w:left="7560" w:firstLine="0"/>
      </w:pPr>
    </w:lvl>
    <w:lvl w:ilvl="3" w:tplc="50B48528">
      <w:start w:val="1"/>
      <w:numFmt w:val="none"/>
      <w:suff w:val="nothing"/>
      <w:lvlText w:val=""/>
      <w:lvlJc w:val="left"/>
      <w:pPr>
        <w:tabs>
          <w:tab w:val="num" w:pos="0"/>
        </w:tabs>
        <w:ind w:left="7560" w:firstLine="0"/>
      </w:pPr>
    </w:lvl>
    <w:lvl w:ilvl="4" w:tplc="DEE0CFAC">
      <w:start w:val="1"/>
      <w:numFmt w:val="none"/>
      <w:suff w:val="nothing"/>
      <w:lvlText w:val=""/>
      <w:lvlJc w:val="left"/>
      <w:pPr>
        <w:tabs>
          <w:tab w:val="num" w:pos="0"/>
        </w:tabs>
        <w:ind w:left="7560" w:firstLine="0"/>
      </w:pPr>
    </w:lvl>
    <w:lvl w:ilvl="5" w:tplc="71821BF2">
      <w:start w:val="1"/>
      <w:numFmt w:val="none"/>
      <w:suff w:val="nothing"/>
      <w:lvlText w:val=""/>
      <w:lvlJc w:val="left"/>
      <w:pPr>
        <w:tabs>
          <w:tab w:val="num" w:pos="0"/>
        </w:tabs>
        <w:ind w:left="7560" w:firstLine="0"/>
      </w:pPr>
    </w:lvl>
    <w:lvl w:ilvl="6" w:tplc="73DADBDE">
      <w:start w:val="1"/>
      <w:numFmt w:val="none"/>
      <w:suff w:val="nothing"/>
      <w:lvlText w:val=""/>
      <w:lvlJc w:val="left"/>
      <w:pPr>
        <w:tabs>
          <w:tab w:val="num" w:pos="0"/>
        </w:tabs>
        <w:ind w:left="7560" w:firstLine="0"/>
      </w:pPr>
    </w:lvl>
    <w:lvl w:ilvl="7" w:tplc="82381FD6">
      <w:start w:val="1"/>
      <w:numFmt w:val="none"/>
      <w:suff w:val="nothing"/>
      <w:lvlText w:val=""/>
      <w:lvlJc w:val="left"/>
      <w:pPr>
        <w:tabs>
          <w:tab w:val="num" w:pos="0"/>
        </w:tabs>
        <w:ind w:left="7560" w:firstLine="0"/>
      </w:pPr>
    </w:lvl>
    <w:lvl w:ilvl="8" w:tplc="B686A444">
      <w:start w:val="1"/>
      <w:numFmt w:val="none"/>
      <w:suff w:val="nothing"/>
      <w:lvlText w:val=""/>
      <w:lvlJc w:val="left"/>
      <w:pPr>
        <w:tabs>
          <w:tab w:val="num" w:pos="0"/>
        </w:tabs>
        <w:ind w:left="7560" w:firstLine="0"/>
      </w:pPr>
    </w:lvl>
  </w:abstractNum>
  <w:abstractNum w:abstractNumId="21" w15:restartNumberingAfterBreak="0">
    <w:nsid w:val="7934186D"/>
    <w:multiLevelType w:val="hybridMultilevel"/>
    <w:tmpl w:val="6770A8F6"/>
    <w:lvl w:ilvl="0" w:tplc="52C82670">
      <w:start w:val="1"/>
      <w:numFmt w:val="upperRoman"/>
      <w:lvlText w:val="%1)"/>
      <w:lvlJc w:val="left"/>
      <w:pPr>
        <w:ind w:left="1287" w:hanging="720"/>
      </w:pPr>
      <w:rPr>
        <w:rFonts w:hint="default"/>
      </w:rPr>
    </w:lvl>
    <w:lvl w:ilvl="1" w:tplc="E2E88ECA">
      <w:start w:val="1"/>
      <w:numFmt w:val="lowerLetter"/>
      <w:lvlText w:val="%2."/>
      <w:lvlJc w:val="left"/>
      <w:pPr>
        <w:ind w:left="1647" w:hanging="360"/>
      </w:pPr>
    </w:lvl>
    <w:lvl w:ilvl="2" w:tplc="634CDDAE">
      <w:start w:val="1"/>
      <w:numFmt w:val="lowerRoman"/>
      <w:lvlText w:val="%3."/>
      <w:lvlJc w:val="right"/>
      <w:pPr>
        <w:ind w:left="2367" w:hanging="180"/>
      </w:pPr>
    </w:lvl>
    <w:lvl w:ilvl="3" w:tplc="F2D8F646">
      <w:start w:val="1"/>
      <w:numFmt w:val="decimal"/>
      <w:lvlText w:val="%4."/>
      <w:lvlJc w:val="left"/>
      <w:pPr>
        <w:ind w:left="3087" w:hanging="360"/>
      </w:pPr>
    </w:lvl>
    <w:lvl w:ilvl="4" w:tplc="732012F2">
      <w:start w:val="1"/>
      <w:numFmt w:val="lowerLetter"/>
      <w:lvlText w:val="%5."/>
      <w:lvlJc w:val="left"/>
      <w:pPr>
        <w:ind w:left="3807" w:hanging="360"/>
      </w:pPr>
    </w:lvl>
    <w:lvl w:ilvl="5" w:tplc="2EFAAB18">
      <w:start w:val="1"/>
      <w:numFmt w:val="lowerRoman"/>
      <w:lvlText w:val="%6."/>
      <w:lvlJc w:val="right"/>
      <w:pPr>
        <w:ind w:left="4527" w:hanging="180"/>
      </w:pPr>
    </w:lvl>
    <w:lvl w:ilvl="6" w:tplc="69CAF348">
      <w:start w:val="1"/>
      <w:numFmt w:val="decimal"/>
      <w:lvlText w:val="%7."/>
      <w:lvlJc w:val="left"/>
      <w:pPr>
        <w:ind w:left="5247" w:hanging="360"/>
      </w:pPr>
    </w:lvl>
    <w:lvl w:ilvl="7" w:tplc="A992CCE8">
      <w:start w:val="1"/>
      <w:numFmt w:val="lowerLetter"/>
      <w:lvlText w:val="%8."/>
      <w:lvlJc w:val="left"/>
      <w:pPr>
        <w:ind w:left="5967" w:hanging="360"/>
      </w:pPr>
    </w:lvl>
    <w:lvl w:ilvl="8" w:tplc="75F6C446">
      <w:start w:val="1"/>
      <w:numFmt w:val="lowerRoman"/>
      <w:lvlText w:val="%9."/>
      <w:lvlJc w:val="right"/>
      <w:pPr>
        <w:ind w:left="6687" w:hanging="180"/>
      </w:pPr>
    </w:lvl>
  </w:abstractNum>
  <w:abstractNum w:abstractNumId="22" w15:restartNumberingAfterBreak="0">
    <w:nsid w:val="7CEF389C"/>
    <w:multiLevelType w:val="multilevel"/>
    <w:tmpl w:val="D5D49F44"/>
    <w:lvl w:ilvl="0">
      <w:start w:val="1"/>
      <w:numFmt w:val="decimal"/>
      <w:suff w:val="space"/>
      <w:lvlText w:val="%1."/>
      <w:lvlJc w:val="left"/>
      <w:pPr>
        <w:ind w:left="0" w:firstLine="0"/>
      </w:pPr>
      <w:rPr>
        <w:rFonts w:hint="default"/>
        <w:b/>
        <w:i w:val="0"/>
      </w:rPr>
    </w:lvl>
    <w:lvl w:ilvl="1">
      <w:start w:val="1"/>
      <w:numFmt w:val="decimal"/>
      <w:suff w:val="space"/>
      <w:lvlText w:val="%1.%2."/>
      <w:lvlJc w:val="left"/>
      <w:pPr>
        <w:ind w:left="284" w:firstLine="0"/>
      </w:pPr>
      <w:rPr>
        <w:rFonts w:hint="default"/>
        <w:b/>
        <w:i w:val="0"/>
      </w:rPr>
    </w:lvl>
    <w:lvl w:ilvl="2">
      <w:start w:val="1"/>
      <w:numFmt w:val="decimal"/>
      <w:suff w:val="space"/>
      <w:lvlText w:val="%1.%2.%3."/>
      <w:lvlJc w:val="left"/>
      <w:pPr>
        <w:ind w:left="993" w:firstLine="0"/>
      </w:pPr>
      <w:rPr>
        <w:rFonts w:hint="default"/>
        <w:b/>
        <w:i w:val="0"/>
      </w:rPr>
    </w:lvl>
    <w:lvl w:ilvl="3">
      <w:start w:val="1"/>
      <w:numFmt w:val="decimal"/>
      <w:suff w:val="space"/>
      <w:lvlText w:val="%1.%2.%3.%4."/>
      <w:lvlJc w:val="left"/>
      <w:pPr>
        <w:ind w:left="1985" w:firstLine="0"/>
      </w:pPr>
      <w:rPr>
        <w:rFonts w:hint="default"/>
        <w:b/>
        <w:i w:val="0"/>
      </w:rPr>
    </w:lvl>
    <w:lvl w:ilvl="4">
      <w:start w:val="1"/>
      <w:numFmt w:val="decimal"/>
      <w:suff w:val="space"/>
      <w:lvlText w:val="%1.%2.%3.%4.%5."/>
      <w:lvlJc w:val="left"/>
      <w:pPr>
        <w:ind w:left="2835"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16cid:durableId="1279220716">
    <w:abstractNumId w:val="10"/>
  </w:num>
  <w:num w:numId="2" w16cid:durableId="1725251233">
    <w:abstractNumId w:val="17"/>
  </w:num>
  <w:num w:numId="3" w16cid:durableId="1190950603">
    <w:abstractNumId w:val="22"/>
  </w:num>
  <w:num w:numId="4" w16cid:durableId="769665954">
    <w:abstractNumId w:val="12"/>
  </w:num>
  <w:num w:numId="5" w16cid:durableId="611086385">
    <w:abstractNumId w:val="7"/>
  </w:num>
  <w:num w:numId="6" w16cid:durableId="660617522">
    <w:abstractNumId w:val="20"/>
  </w:num>
  <w:num w:numId="7" w16cid:durableId="996225856">
    <w:abstractNumId w:val="15"/>
  </w:num>
  <w:num w:numId="8" w16cid:durableId="576749106">
    <w:abstractNumId w:val="6"/>
  </w:num>
  <w:num w:numId="9" w16cid:durableId="448092876">
    <w:abstractNumId w:val="2"/>
  </w:num>
  <w:num w:numId="10" w16cid:durableId="217984917">
    <w:abstractNumId w:val="0"/>
  </w:num>
  <w:num w:numId="11" w16cid:durableId="666977217">
    <w:abstractNumId w:val="19"/>
  </w:num>
  <w:num w:numId="12" w16cid:durableId="655649222">
    <w:abstractNumId w:val="21"/>
  </w:num>
  <w:num w:numId="13" w16cid:durableId="207567899">
    <w:abstractNumId w:val="8"/>
  </w:num>
  <w:num w:numId="14" w16cid:durableId="1171020829">
    <w:abstractNumId w:val="16"/>
  </w:num>
  <w:num w:numId="15" w16cid:durableId="821702580">
    <w:abstractNumId w:val="11"/>
  </w:num>
  <w:num w:numId="16" w16cid:durableId="143015274">
    <w:abstractNumId w:val="14"/>
  </w:num>
  <w:num w:numId="17" w16cid:durableId="718169789">
    <w:abstractNumId w:val="9"/>
  </w:num>
  <w:num w:numId="18" w16cid:durableId="1222597270">
    <w:abstractNumId w:val="3"/>
  </w:num>
  <w:num w:numId="19" w16cid:durableId="1139230512">
    <w:abstractNumId w:val="1"/>
  </w:num>
  <w:num w:numId="20" w16cid:durableId="871041795">
    <w:abstractNumId w:val="18"/>
  </w:num>
  <w:num w:numId="21" w16cid:durableId="1808623650">
    <w:abstractNumId w:val="13"/>
  </w:num>
  <w:num w:numId="22" w16cid:durableId="67122406">
    <w:abstractNumId w:val="4"/>
  </w:num>
  <w:num w:numId="23" w16cid:durableId="1693604205">
    <w:abstractNumId w:val="0"/>
  </w:num>
  <w:num w:numId="24" w16cid:durableId="1940021980">
    <w:abstractNumId w:val="5"/>
  </w:num>
  <w:num w:numId="25" w16cid:durableId="498690447">
    <w:abstractNumId w:val="0"/>
  </w:num>
  <w:num w:numId="26" w16cid:durableId="2076010286">
    <w:abstractNumId w:val="0"/>
  </w:num>
  <w:num w:numId="27" w16cid:durableId="72895961">
    <w:abstractNumId w:val="0"/>
  </w:num>
  <w:num w:numId="28" w16cid:durableId="836269640">
    <w:abstractNumId w:val="0"/>
  </w:num>
  <w:num w:numId="29" w16cid:durableId="8897334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6A27"/>
    <w:rsid w:val="000D27FA"/>
    <w:rsid w:val="000E5C0A"/>
    <w:rsid w:val="00165626"/>
    <w:rsid w:val="001E4172"/>
    <w:rsid w:val="00271BA6"/>
    <w:rsid w:val="0046266C"/>
    <w:rsid w:val="0048237E"/>
    <w:rsid w:val="00516946"/>
    <w:rsid w:val="00635569"/>
    <w:rsid w:val="006D534E"/>
    <w:rsid w:val="00752E70"/>
    <w:rsid w:val="007C20B4"/>
    <w:rsid w:val="00890255"/>
    <w:rsid w:val="008A7F6D"/>
    <w:rsid w:val="0094163D"/>
    <w:rsid w:val="009868CB"/>
    <w:rsid w:val="00A06A27"/>
    <w:rsid w:val="00A14E48"/>
    <w:rsid w:val="00BF6C25"/>
    <w:rsid w:val="00CC248B"/>
    <w:rsid w:val="00D42B02"/>
    <w:rsid w:val="00DE3DFC"/>
    <w:rsid w:val="00F22B7A"/>
    <w:rsid w:val="00FD7F2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819E2"/>
  <w15:docId w15:val="{01E642A9-0F18-408A-911D-C826B8B384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rFonts w:ascii="Times New Roman" w:eastAsia="MS Mincho" w:hAnsi="Times New Roman" w:cs="Times New Roman"/>
      <w:sz w:val="24"/>
      <w:szCs w:val="24"/>
      <w:lang w:eastAsia="pt-BR"/>
    </w:rPr>
  </w:style>
  <w:style w:type="paragraph" w:styleId="Ttulo1">
    <w:name w:val="heading 1"/>
    <w:basedOn w:val="Normal"/>
    <w:next w:val="Normal"/>
    <w:link w:val="Ttulo1Char"/>
    <w:qFormat/>
    <w:pPr>
      <w:keepNext/>
      <w:outlineLvl w:val="0"/>
    </w:pPr>
    <w:rPr>
      <w:b/>
      <w:bCs/>
      <w:sz w:val="32"/>
    </w:rPr>
  </w:style>
  <w:style w:type="paragraph" w:styleId="Ttulo2">
    <w:name w:val="heading 2"/>
    <w:basedOn w:val="Normal"/>
    <w:next w:val="Normal"/>
    <w:link w:val="Ttulo2Char"/>
    <w:uiPriority w:val="9"/>
    <w:unhideWhenUsed/>
    <w:qFormat/>
    <w:pPr>
      <w:keepNext/>
      <w:keepLines/>
      <w:spacing w:before="360" w:after="200"/>
      <w:outlineLvl w:val="1"/>
    </w:pPr>
    <w:rPr>
      <w:rFonts w:ascii="Arial" w:eastAsia="Arial" w:hAnsi="Arial" w:cs="Arial"/>
      <w:sz w:val="34"/>
    </w:rPr>
  </w:style>
  <w:style w:type="paragraph" w:styleId="Ttulo3">
    <w:name w:val="heading 3"/>
    <w:basedOn w:val="Normal"/>
    <w:next w:val="Normal"/>
    <w:link w:val="Ttulo3Char"/>
    <w:uiPriority w:val="9"/>
    <w:unhideWhenUsed/>
    <w:qFormat/>
    <w:pPr>
      <w:keepNext/>
      <w:keepLines/>
      <w:spacing w:before="320" w:after="200"/>
      <w:outlineLvl w:val="2"/>
    </w:pPr>
    <w:rPr>
      <w:rFonts w:ascii="Arial" w:eastAsia="Arial" w:hAnsi="Arial" w:cs="Arial"/>
      <w:sz w:val="30"/>
      <w:szCs w:val="30"/>
    </w:rPr>
  </w:style>
  <w:style w:type="paragraph" w:styleId="Ttulo4">
    <w:name w:val="heading 4"/>
    <w:basedOn w:val="Normal"/>
    <w:next w:val="Normal"/>
    <w:link w:val="Ttulo4Char"/>
    <w:uiPriority w:val="9"/>
    <w:unhideWhenUsed/>
    <w:qFormat/>
    <w:pPr>
      <w:keepNext/>
      <w:keepLines/>
      <w:spacing w:before="320" w:after="200"/>
      <w:outlineLvl w:val="3"/>
    </w:pPr>
    <w:rPr>
      <w:rFonts w:ascii="Arial" w:eastAsia="Arial" w:hAnsi="Arial" w:cs="Arial"/>
      <w:b/>
      <w:bCs/>
      <w:sz w:val="26"/>
      <w:szCs w:val="26"/>
    </w:rPr>
  </w:style>
  <w:style w:type="paragraph" w:styleId="Ttulo5">
    <w:name w:val="heading 5"/>
    <w:basedOn w:val="Normal"/>
    <w:next w:val="Normal"/>
    <w:link w:val="Ttulo5Char"/>
    <w:uiPriority w:val="9"/>
    <w:unhideWhenUsed/>
    <w:qFormat/>
    <w:pPr>
      <w:keepNext/>
      <w:keepLines/>
      <w:spacing w:before="320" w:after="200"/>
      <w:outlineLvl w:val="4"/>
    </w:pPr>
    <w:rPr>
      <w:rFonts w:ascii="Arial" w:eastAsia="Arial" w:hAnsi="Arial" w:cs="Arial"/>
      <w:b/>
      <w:bCs/>
    </w:rPr>
  </w:style>
  <w:style w:type="paragraph" w:styleId="Ttulo6">
    <w:name w:val="heading 6"/>
    <w:basedOn w:val="Normal"/>
    <w:next w:val="Normal"/>
    <w:link w:val="Ttulo6Char"/>
    <w:uiPriority w:val="9"/>
    <w:unhideWhenUsed/>
    <w:qFormat/>
    <w:pPr>
      <w:keepNext/>
      <w:keepLines/>
      <w:spacing w:before="320" w:after="200"/>
      <w:outlineLvl w:val="5"/>
    </w:pPr>
    <w:rPr>
      <w:rFonts w:ascii="Arial" w:eastAsia="Arial" w:hAnsi="Arial" w:cs="Arial"/>
      <w:b/>
      <w:bCs/>
      <w:sz w:val="22"/>
      <w:szCs w:val="22"/>
    </w:rPr>
  </w:style>
  <w:style w:type="paragraph" w:styleId="Ttulo7">
    <w:name w:val="heading 7"/>
    <w:basedOn w:val="Normal"/>
    <w:next w:val="Normal"/>
    <w:link w:val="Ttulo7Char"/>
    <w:uiPriority w:val="9"/>
    <w:unhideWhenUsed/>
    <w:qFormat/>
    <w:pPr>
      <w:keepNext/>
      <w:keepLines/>
      <w:spacing w:before="320" w:after="200"/>
      <w:outlineLvl w:val="6"/>
    </w:pPr>
    <w:rPr>
      <w:rFonts w:ascii="Arial" w:eastAsia="Arial" w:hAnsi="Arial" w:cs="Arial"/>
      <w:b/>
      <w:bCs/>
      <w:i/>
      <w:iCs/>
      <w:sz w:val="22"/>
      <w:szCs w:val="22"/>
    </w:rPr>
  </w:style>
  <w:style w:type="paragraph" w:styleId="Ttulo8">
    <w:name w:val="heading 8"/>
    <w:basedOn w:val="Normal"/>
    <w:next w:val="Normal"/>
    <w:link w:val="Ttulo8Char"/>
    <w:uiPriority w:val="9"/>
    <w:unhideWhenUsed/>
    <w:qFormat/>
    <w:pPr>
      <w:keepNext/>
      <w:keepLines/>
      <w:spacing w:before="320" w:after="200"/>
      <w:outlineLvl w:val="7"/>
    </w:pPr>
    <w:rPr>
      <w:rFonts w:ascii="Arial" w:eastAsia="Arial" w:hAnsi="Arial" w:cs="Arial"/>
      <w:i/>
      <w:iCs/>
      <w:sz w:val="22"/>
      <w:szCs w:val="22"/>
    </w:rPr>
  </w:style>
  <w:style w:type="paragraph" w:styleId="Ttulo9">
    <w:name w:val="heading 9"/>
    <w:basedOn w:val="Normal"/>
    <w:next w:val="Normal"/>
    <w:link w:val="Ttulo9Char"/>
    <w:uiPriority w:val="9"/>
    <w:unhideWhenUsed/>
    <w:qFormat/>
    <w:pPr>
      <w:keepNext/>
      <w:keepLines/>
      <w:spacing w:before="320" w:after="200"/>
      <w:outlineLvl w:val="8"/>
    </w:pPr>
    <w:rPr>
      <w:rFonts w:ascii="Arial" w:eastAsia="Arial" w:hAnsi="Arial" w:cs="Arial"/>
      <w:i/>
      <w:iCs/>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eading1Char">
    <w:name w:val="Heading 1 Char"/>
    <w:basedOn w:val="Fontepargpadro"/>
    <w:uiPriority w:val="9"/>
    <w:rPr>
      <w:rFonts w:ascii="Arial" w:eastAsia="Arial" w:hAnsi="Arial" w:cs="Arial"/>
      <w:sz w:val="40"/>
      <w:szCs w:val="40"/>
    </w:rPr>
  </w:style>
  <w:style w:type="character" w:customStyle="1" w:styleId="Ttulo2Char">
    <w:name w:val="Título 2 Char"/>
    <w:basedOn w:val="Fontepargpadro"/>
    <w:link w:val="Ttulo2"/>
    <w:uiPriority w:val="9"/>
    <w:rPr>
      <w:rFonts w:ascii="Arial" w:eastAsia="Arial" w:hAnsi="Arial" w:cs="Arial"/>
      <w:sz w:val="34"/>
    </w:rPr>
  </w:style>
  <w:style w:type="character" w:customStyle="1" w:styleId="Ttulo3Char">
    <w:name w:val="Título 3 Char"/>
    <w:basedOn w:val="Fontepargpadro"/>
    <w:link w:val="Ttulo3"/>
    <w:uiPriority w:val="9"/>
    <w:rPr>
      <w:rFonts w:ascii="Arial" w:eastAsia="Arial" w:hAnsi="Arial" w:cs="Arial"/>
      <w:sz w:val="30"/>
      <w:szCs w:val="30"/>
    </w:rPr>
  </w:style>
  <w:style w:type="character" w:customStyle="1" w:styleId="Ttulo4Char">
    <w:name w:val="Título 4 Char"/>
    <w:basedOn w:val="Fontepargpadro"/>
    <w:link w:val="Ttulo4"/>
    <w:uiPriority w:val="9"/>
    <w:rPr>
      <w:rFonts w:ascii="Arial" w:eastAsia="Arial" w:hAnsi="Arial" w:cs="Arial"/>
      <w:b/>
      <w:bCs/>
      <w:sz w:val="26"/>
      <w:szCs w:val="26"/>
    </w:rPr>
  </w:style>
  <w:style w:type="character" w:customStyle="1" w:styleId="Ttulo5Char">
    <w:name w:val="Título 5 Char"/>
    <w:basedOn w:val="Fontepargpadro"/>
    <w:link w:val="Ttulo5"/>
    <w:uiPriority w:val="9"/>
    <w:rPr>
      <w:rFonts w:ascii="Arial" w:eastAsia="Arial" w:hAnsi="Arial" w:cs="Arial"/>
      <w:b/>
      <w:bCs/>
      <w:sz w:val="24"/>
      <w:szCs w:val="24"/>
    </w:rPr>
  </w:style>
  <w:style w:type="character" w:customStyle="1" w:styleId="Ttulo6Char">
    <w:name w:val="Título 6 Char"/>
    <w:basedOn w:val="Fontepargpadro"/>
    <w:link w:val="Ttulo6"/>
    <w:uiPriority w:val="9"/>
    <w:rPr>
      <w:rFonts w:ascii="Arial" w:eastAsia="Arial" w:hAnsi="Arial" w:cs="Arial"/>
      <w:b/>
      <w:bCs/>
      <w:sz w:val="22"/>
      <w:szCs w:val="22"/>
    </w:rPr>
  </w:style>
  <w:style w:type="character" w:customStyle="1" w:styleId="Ttulo7Char">
    <w:name w:val="Título 7 Char"/>
    <w:basedOn w:val="Fontepargpadro"/>
    <w:link w:val="Ttulo7"/>
    <w:uiPriority w:val="9"/>
    <w:rPr>
      <w:rFonts w:ascii="Arial" w:eastAsia="Arial" w:hAnsi="Arial" w:cs="Arial"/>
      <w:b/>
      <w:bCs/>
      <w:i/>
      <w:iCs/>
      <w:sz w:val="22"/>
      <w:szCs w:val="22"/>
    </w:rPr>
  </w:style>
  <w:style w:type="character" w:customStyle="1" w:styleId="Ttulo8Char">
    <w:name w:val="Título 8 Char"/>
    <w:basedOn w:val="Fontepargpadro"/>
    <w:link w:val="Ttulo8"/>
    <w:uiPriority w:val="9"/>
    <w:rPr>
      <w:rFonts w:ascii="Arial" w:eastAsia="Arial" w:hAnsi="Arial" w:cs="Arial"/>
      <w:i/>
      <w:iCs/>
      <w:sz w:val="22"/>
      <w:szCs w:val="22"/>
    </w:rPr>
  </w:style>
  <w:style w:type="character" w:customStyle="1" w:styleId="Ttulo9Char">
    <w:name w:val="Título 9 Char"/>
    <w:basedOn w:val="Fontepargpadro"/>
    <w:link w:val="Ttulo9"/>
    <w:uiPriority w:val="9"/>
    <w:rPr>
      <w:rFonts w:ascii="Arial" w:eastAsia="Arial" w:hAnsi="Arial" w:cs="Arial"/>
      <w:i/>
      <w:iCs/>
      <w:sz w:val="21"/>
      <w:szCs w:val="21"/>
    </w:rPr>
  </w:style>
  <w:style w:type="character" w:customStyle="1" w:styleId="TitleChar">
    <w:name w:val="Title Char"/>
    <w:basedOn w:val="Fontepargpadro"/>
    <w:uiPriority w:val="10"/>
    <w:rPr>
      <w:sz w:val="48"/>
      <w:szCs w:val="48"/>
    </w:rPr>
  </w:style>
  <w:style w:type="paragraph" w:styleId="Subttulo">
    <w:name w:val="Subtitle"/>
    <w:basedOn w:val="Normal"/>
    <w:next w:val="Normal"/>
    <w:link w:val="SubttuloChar"/>
    <w:uiPriority w:val="11"/>
    <w:qFormat/>
    <w:pPr>
      <w:spacing w:before="200" w:after="200"/>
    </w:pPr>
  </w:style>
  <w:style w:type="character" w:customStyle="1" w:styleId="SubttuloChar">
    <w:name w:val="Subtítulo Char"/>
    <w:basedOn w:val="Fontepargpadro"/>
    <w:link w:val="Subttulo"/>
    <w:uiPriority w:val="11"/>
    <w:rPr>
      <w:sz w:val="24"/>
      <w:szCs w:val="24"/>
    </w:rPr>
  </w:style>
  <w:style w:type="paragraph" w:styleId="Citao">
    <w:name w:val="Quote"/>
    <w:basedOn w:val="Normal"/>
    <w:next w:val="Normal"/>
    <w:link w:val="CitaoChar"/>
    <w:uiPriority w:val="29"/>
    <w:qFormat/>
    <w:pPr>
      <w:ind w:left="720" w:right="720"/>
    </w:pPr>
    <w:rPr>
      <w:i/>
    </w:rPr>
  </w:style>
  <w:style w:type="character" w:customStyle="1" w:styleId="CitaoChar">
    <w:name w:val="Citação Char"/>
    <w:link w:val="Citao"/>
    <w:uiPriority w:val="29"/>
    <w:rPr>
      <w:i/>
    </w:rPr>
  </w:style>
  <w:style w:type="paragraph" w:styleId="CitaoIntensa">
    <w:name w:val="Intense Quote"/>
    <w:basedOn w:val="Normal"/>
    <w:next w:val="Normal"/>
    <w:link w:val="CitaoIntensa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itaoIntensaChar">
    <w:name w:val="Citação Intensa Char"/>
    <w:link w:val="CitaoIntensa"/>
    <w:uiPriority w:val="30"/>
    <w:rPr>
      <w:i/>
    </w:rPr>
  </w:style>
  <w:style w:type="character" w:customStyle="1" w:styleId="HeaderChar">
    <w:name w:val="Header Char"/>
    <w:basedOn w:val="Fontepargpadro"/>
    <w:uiPriority w:val="99"/>
  </w:style>
  <w:style w:type="character" w:customStyle="1" w:styleId="FooterChar">
    <w:name w:val="Footer Char"/>
    <w:basedOn w:val="Fontepargpadro"/>
    <w:uiPriority w:val="99"/>
  </w:style>
  <w:style w:type="paragraph" w:styleId="Legenda">
    <w:name w:val="caption"/>
    <w:basedOn w:val="Normal"/>
    <w:next w:val="Normal"/>
    <w:uiPriority w:val="35"/>
    <w:semiHidden/>
    <w:unhideWhenUsed/>
    <w:qFormat/>
    <w:pPr>
      <w:spacing w:line="276" w:lineRule="auto"/>
    </w:pPr>
    <w:rPr>
      <w:b/>
      <w:bCs/>
      <w:color w:val="4472C4" w:themeColor="accent1"/>
      <w:sz w:val="18"/>
      <w:szCs w:val="18"/>
    </w:rPr>
  </w:style>
  <w:style w:type="character" w:customStyle="1" w:styleId="CaptionChar">
    <w:name w:val="Caption Char"/>
    <w:uiPriority w:val="99"/>
  </w:style>
  <w:style w:type="table" w:customStyle="1" w:styleId="TableGridLight">
    <w:name w:val="Table Grid Light"/>
    <w:basedOn w:val="Tabela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SimplesTabela1">
    <w:name w:val="Plain Table 1"/>
    <w:basedOn w:val="Tabela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SimplesTabela2">
    <w:name w:val="Plain Table 2"/>
    <w:basedOn w:val="Tabela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elaSimples4">
    <w:name w:val="Plain Table 4"/>
    <w:basedOn w:val="Tabela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Simples5">
    <w:name w:val="Plain Table 5"/>
    <w:basedOn w:val="Tabela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deGrade1Clara">
    <w:name w:val="Grid Table 1 Light"/>
    <w:basedOn w:val="Tabela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ela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Tabela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Tabela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Tabela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Tabela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Tabela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TabeladeGrade2">
    <w:name w:val="Grid Table 2"/>
    <w:basedOn w:val="Tabela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ela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Tabela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Tabela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Tabela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Tabela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Tabela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eladeGrade3">
    <w:name w:val="Grid Table 3"/>
    <w:basedOn w:val="Tabela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ela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Tabela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Tabela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Tabela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Tabela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Tabela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eladeGrade4">
    <w:name w:val="Grid Table 4"/>
    <w:basedOn w:val="Tabela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elanormal"/>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Tabela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Tabela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Tabela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Tabelanormal"/>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Tabela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eladeGrade5Escura">
    <w:name w:val="Grid Table 5 Dark"/>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TabeladeGrade6Colorida">
    <w:name w:val="Grid Table 6 Colorful"/>
    <w:basedOn w:val="Tabela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elanormal"/>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Tabela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Tabela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Tabela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Tabelanormal"/>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Tabela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TabeladeGrade7Colorida">
    <w:name w:val="Grid Table 7 Colorful"/>
    <w:basedOn w:val="Tabela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elanormal"/>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auto"/>
          <w:left w:val="none" w:sz="0" w:space="0" w:color="auto"/>
          <w:bottom w:val="single" w:sz="4" w:space="0" w:color="A0B7E1" w:themeColor="accent1" w:themeTint="80"/>
          <w:right w:val="none" w:sz="0" w:space="0" w:color="auto"/>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auto"/>
          <w:left w:val="none" w:sz="0" w:space="0" w:color="auto"/>
          <w:bottom w:val="none" w:sz="0" w:space="0" w:color="auto"/>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auto"/>
          <w:left w:val="single" w:sz="4" w:space="0" w:color="A0B7E1" w:themeColor="accent1" w:themeTint="80"/>
          <w:bottom w:val="none" w:sz="0" w:space="0" w:color="auto"/>
          <w:right w:val="none" w:sz="0" w:space="0" w:color="auto"/>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Tabela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Tabela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Tabela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Tabelanormal"/>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auto"/>
          <w:left w:val="none" w:sz="0" w:space="0" w:color="auto"/>
          <w:bottom w:val="single" w:sz="4" w:space="0" w:color="A2C6E7" w:themeColor="accent5" w:themeTint="90"/>
          <w:right w:val="none" w:sz="0" w:space="0" w:color="auto"/>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auto"/>
          <w:left w:val="none" w:sz="0" w:space="0" w:color="auto"/>
          <w:bottom w:val="none" w:sz="0" w:space="0" w:color="auto"/>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auto"/>
          <w:left w:val="single" w:sz="4" w:space="0" w:color="A2C6E7" w:themeColor="accent5" w:themeTint="90"/>
          <w:bottom w:val="none" w:sz="0" w:space="0" w:color="auto"/>
          <w:right w:val="none" w:sz="0" w:space="0" w:color="auto"/>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Tabela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TabeladeLista1Clara">
    <w:name w:val="List Table 1 Light"/>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TabeladeLista2">
    <w:name w:val="List Table 2"/>
    <w:basedOn w:val="Tabela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elanormal"/>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Tabela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Tabela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Tabela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Tabelanormal"/>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Tabela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TabeladeLista3">
    <w:name w:val="List Table 3"/>
    <w:basedOn w:val="Tabela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elanormal"/>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Tabela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Tabela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Tabela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Tabelanormal"/>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Tabela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TabeladeLista4">
    <w:name w:val="List Table 4"/>
    <w:basedOn w:val="Tabela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elanormal"/>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Tabela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Tabela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Tabela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Tabelanormal"/>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Tabela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TabeladeLista5Escura">
    <w:name w:val="List Table 5 Dark"/>
    <w:basedOn w:val="Tabela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elanormal"/>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Tabela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Tabela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Tabela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Tabelanormal"/>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Tabela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TabeladeLista6Colorida">
    <w:name w:val="List Table 6 Colorful"/>
    <w:basedOn w:val="Tabela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elanormal"/>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Tabela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Tabela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Tabela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Tabelanormal"/>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Tabela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TabeladeLista7Colorida">
    <w:name w:val="List Table 7 Colorful"/>
    <w:basedOn w:val="Tabela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elanormal"/>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auto"/>
          <w:left w:val="none" w:sz="0" w:space="0" w:color="auto"/>
          <w:bottom w:val="single" w:sz="4" w:space="0" w:color="4472C4" w:themeColor="accent1"/>
          <w:right w:val="none" w:sz="0" w:space="0" w:color="auto"/>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auto"/>
          <w:left w:val="none" w:sz="0" w:space="0" w:color="auto"/>
          <w:bottom w:val="none" w:sz="0" w:space="0" w:color="auto"/>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auto"/>
          <w:left w:val="single" w:sz="4" w:space="0" w:color="4472C4" w:themeColor="accent1"/>
          <w:bottom w:val="none" w:sz="0" w:space="0" w:color="auto"/>
          <w:right w:val="none" w:sz="0" w:space="0" w:color="auto"/>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Tabela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Tabela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Tabela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Tabelanormal"/>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auto"/>
          <w:left w:val="none" w:sz="0" w:space="0" w:color="auto"/>
          <w:bottom w:val="single" w:sz="4" w:space="0" w:color="9BC2E5" w:themeColor="accent5" w:themeTint="9A"/>
          <w:right w:val="none" w:sz="0" w:space="0" w:color="auto"/>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auto"/>
          <w:left w:val="none" w:sz="0" w:space="0" w:color="auto"/>
          <w:bottom w:val="none" w:sz="0" w:space="0" w:color="auto"/>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auto"/>
          <w:left w:val="single" w:sz="4" w:space="0" w:color="9BC2E5" w:themeColor="accent5" w:themeTint="9A"/>
          <w:bottom w:val="none" w:sz="0" w:space="0" w:color="auto"/>
          <w:right w:val="none" w:sz="0" w:space="0" w:color="auto"/>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Tabela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elanormal"/>
    <w:uiPriority w:val="99"/>
    <w:pPr>
      <w:spacing w:after="0" w:line="240" w:lineRule="auto"/>
    </w:pPr>
    <w:rPr>
      <w:color w:val="404040"/>
      <w:sz w:val="20"/>
      <w:szCs w:val="20"/>
      <w:lang w:eastAsia="pt-BR"/>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elanormal"/>
    <w:uiPriority w:val="99"/>
    <w:pPr>
      <w:spacing w:after="0" w:line="240" w:lineRule="auto"/>
    </w:pPr>
    <w:rPr>
      <w:color w:val="404040"/>
      <w:sz w:val="20"/>
      <w:szCs w:val="20"/>
      <w:lang w:eastAsia="pt-BR"/>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Tabelanormal"/>
    <w:uiPriority w:val="99"/>
    <w:pPr>
      <w:spacing w:after="0" w:line="240" w:lineRule="auto"/>
    </w:pPr>
    <w:rPr>
      <w:color w:val="404040"/>
      <w:sz w:val="20"/>
      <w:szCs w:val="20"/>
      <w:lang w:eastAsia="pt-BR"/>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elanormal"/>
    <w:uiPriority w:val="99"/>
    <w:pPr>
      <w:spacing w:after="0" w:line="240" w:lineRule="auto"/>
    </w:pPr>
    <w:rPr>
      <w:color w:val="404040"/>
      <w:sz w:val="20"/>
      <w:szCs w:val="20"/>
      <w:lang w:eastAsia="pt-BR"/>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elanormal"/>
    <w:uiPriority w:val="99"/>
    <w:pPr>
      <w:spacing w:after="0" w:line="240" w:lineRule="auto"/>
    </w:pPr>
    <w:rPr>
      <w:color w:val="404040"/>
      <w:sz w:val="20"/>
      <w:szCs w:val="20"/>
      <w:lang w:eastAsia="pt-BR"/>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elanormal"/>
    <w:uiPriority w:val="99"/>
    <w:pPr>
      <w:spacing w:after="0" w:line="240" w:lineRule="auto"/>
    </w:pPr>
    <w:rPr>
      <w:color w:val="404040"/>
      <w:sz w:val="20"/>
      <w:szCs w:val="20"/>
      <w:lang w:eastAsia="pt-BR"/>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Tabelanormal"/>
    <w:uiPriority w:val="99"/>
    <w:pPr>
      <w:spacing w:after="0" w:line="240" w:lineRule="auto"/>
    </w:pPr>
    <w:rPr>
      <w:color w:val="404040"/>
      <w:sz w:val="20"/>
      <w:szCs w:val="20"/>
      <w:lang w:eastAsia="pt-BR"/>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ela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ela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Tabela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ela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ela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ela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Tabela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Textodenotaderodap">
    <w:name w:val="footnote text"/>
    <w:basedOn w:val="Normal"/>
    <w:link w:val="TextodenotaderodapChar"/>
    <w:uiPriority w:val="99"/>
    <w:semiHidden/>
    <w:unhideWhenUsed/>
    <w:pPr>
      <w:spacing w:after="40"/>
    </w:pPr>
    <w:rPr>
      <w:sz w:val="18"/>
    </w:rPr>
  </w:style>
  <w:style w:type="character" w:customStyle="1" w:styleId="TextodenotaderodapChar">
    <w:name w:val="Texto de nota de rodapé Char"/>
    <w:link w:val="Textodenotaderodap"/>
    <w:uiPriority w:val="99"/>
    <w:rPr>
      <w:sz w:val="18"/>
    </w:rPr>
  </w:style>
  <w:style w:type="character" w:styleId="Refdenotaderodap">
    <w:name w:val="footnote reference"/>
    <w:basedOn w:val="Fontepargpadro"/>
    <w:uiPriority w:val="99"/>
    <w:unhideWhenUsed/>
    <w:rPr>
      <w:vertAlign w:val="superscript"/>
    </w:rPr>
  </w:style>
  <w:style w:type="paragraph" w:styleId="Textodenotadefim">
    <w:name w:val="endnote text"/>
    <w:basedOn w:val="Normal"/>
    <w:link w:val="TextodenotadefimChar"/>
    <w:uiPriority w:val="99"/>
    <w:semiHidden/>
    <w:unhideWhenUsed/>
    <w:rPr>
      <w:sz w:val="20"/>
    </w:rPr>
  </w:style>
  <w:style w:type="character" w:customStyle="1" w:styleId="TextodenotadefimChar">
    <w:name w:val="Texto de nota de fim Char"/>
    <w:link w:val="Textodenotadefim"/>
    <w:uiPriority w:val="99"/>
    <w:rPr>
      <w:sz w:val="20"/>
    </w:rPr>
  </w:style>
  <w:style w:type="character" w:styleId="Refdenotadefim">
    <w:name w:val="endnote reference"/>
    <w:basedOn w:val="Fontepargpadro"/>
    <w:uiPriority w:val="99"/>
    <w:semiHidden/>
    <w:unhideWhenUsed/>
    <w:rPr>
      <w:vertAlign w:val="superscript"/>
    </w:rPr>
  </w:style>
  <w:style w:type="paragraph" w:styleId="Sumrio1">
    <w:name w:val="toc 1"/>
    <w:basedOn w:val="Normal"/>
    <w:next w:val="Normal"/>
    <w:uiPriority w:val="39"/>
    <w:unhideWhenUsed/>
    <w:pPr>
      <w:spacing w:after="57"/>
    </w:pPr>
  </w:style>
  <w:style w:type="paragraph" w:styleId="Sumrio2">
    <w:name w:val="toc 2"/>
    <w:basedOn w:val="Normal"/>
    <w:next w:val="Normal"/>
    <w:uiPriority w:val="39"/>
    <w:unhideWhenUsed/>
    <w:pPr>
      <w:spacing w:after="57"/>
      <w:ind w:left="283"/>
    </w:pPr>
  </w:style>
  <w:style w:type="paragraph" w:styleId="Sumrio3">
    <w:name w:val="toc 3"/>
    <w:basedOn w:val="Normal"/>
    <w:next w:val="Normal"/>
    <w:uiPriority w:val="39"/>
    <w:unhideWhenUsed/>
    <w:pPr>
      <w:spacing w:after="57"/>
      <w:ind w:left="567"/>
    </w:pPr>
  </w:style>
  <w:style w:type="paragraph" w:styleId="Sumrio4">
    <w:name w:val="toc 4"/>
    <w:basedOn w:val="Normal"/>
    <w:next w:val="Normal"/>
    <w:uiPriority w:val="39"/>
    <w:unhideWhenUsed/>
    <w:pPr>
      <w:spacing w:after="57"/>
      <w:ind w:left="850"/>
    </w:pPr>
  </w:style>
  <w:style w:type="paragraph" w:styleId="Sumrio5">
    <w:name w:val="toc 5"/>
    <w:basedOn w:val="Normal"/>
    <w:next w:val="Normal"/>
    <w:uiPriority w:val="39"/>
    <w:unhideWhenUsed/>
    <w:pPr>
      <w:spacing w:after="57"/>
      <w:ind w:left="1134"/>
    </w:pPr>
  </w:style>
  <w:style w:type="paragraph" w:styleId="Sumrio6">
    <w:name w:val="toc 6"/>
    <w:basedOn w:val="Normal"/>
    <w:next w:val="Normal"/>
    <w:uiPriority w:val="39"/>
    <w:unhideWhenUsed/>
    <w:pPr>
      <w:spacing w:after="57"/>
      <w:ind w:left="1417"/>
    </w:pPr>
  </w:style>
  <w:style w:type="paragraph" w:styleId="Sumrio7">
    <w:name w:val="toc 7"/>
    <w:basedOn w:val="Normal"/>
    <w:next w:val="Normal"/>
    <w:uiPriority w:val="39"/>
    <w:unhideWhenUsed/>
    <w:pPr>
      <w:spacing w:after="57"/>
      <w:ind w:left="1701"/>
    </w:pPr>
  </w:style>
  <w:style w:type="paragraph" w:styleId="Sumrio8">
    <w:name w:val="toc 8"/>
    <w:basedOn w:val="Normal"/>
    <w:next w:val="Normal"/>
    <w:uiPriority w:val="39"/>
    <w:unhideWhenUsed/>
    <w:pPr>
      <w:spacing w:after="57"/>
      <w:ind w:left="1984"/>
    </w:pPr>
  </w:style>
  <w:style w:type="paragraph" w:styleId="Sumrio9">
    <w:name w:val="toc 9"/>
    <w:basedOn w:val="Normal"/>
    <w:next w:val="Normal"/>
    <w:uiPriority w:val="39"/>
    <w:unhideWhenUsed/>
    <w:pPr>
      <w:spacing w:after="57"/>
      <w:ind w:left="2268"/>
    </w:pPr>
  </w:style>
  <w:style w:type="paragraph" w:styleId="CabealhodoSumrio">
    <w:name w:val="TOC Heading"/>
    <w:uiPriority w:val="39"/>
    <w:unhideWhenUsed/>
  </w:style>
  <w:style w:type="paragraph" w:styleId="ndicedeilustraes">
    <w:name w:val="table of figures"/>
    <w:basedOn w:val="Normal"/>
    <w:next w:val="Normal"/>
    <w:uiPriority w:val="99"/>
    <w:unhideWhenUsed/>
  </w:style>
  <w:style w:type="paragraph" w:styleId="Cabealho">
    <w:name w:val="header"/>
    <w:basedOn w:val="Normal"/>
    <w:link w:val="CabealhoChar"/>
    <w:uiPriority w:val="99"/>
    <w:unhideWhenUsed/>
    <w:pPr>
      <w:tabs>
        <w:tab w:val="center" w:pos="4252"/>
        <w:tab w:val="right" w:pos="8504"/>
      </w:tabs>
    </w:pPr>
  </w:style>
  <w:style w:type="character" w:customStyle="1" w:styleId="CabealhoChar">
    <w:name w:val="Cabeçalho Char"/>
    <w:basedOn w:val="Fontepargpadro"/>
    <w:link w:val="Cabealho"/>
    <w:uiPriority w:val="99"/>
  </w:style>
  <w:style w:type="paragraph" w:styleId="Rodap">
    <w:name w:val="footer"/>
    <w:basedOn w:val="Normal"/>
    <w:link w:val="RodapChar"/>
    <w:uiPriority w:val="99"/>
    <w:unhideWhenUsed/>
    <w:pPr>
      <w:tabs>
        <w:tab w:val="center" w:pos="4252"/>
        <w:tab w:val="right" w:pos="8504"/>
      </w:tabs>
    </w:pPr>
  </w:style>
  <w:style w:type="character" w:customStyle="1" w:styleId="RodapChar">
    <w:name w:val="Rodapé Char"/>
    <w:basedOn w:val="Fontepargpadro"/>
    <w:link w:val="Rodap"/>
    <w:uiPriority w:val="99"/>
  </w:style>
  <w:style w:type="paragraph" w:styleId="SemEspaamento">
    <w:name w:val="No Spacing"/>
    <w:uiPriority w:val="1"/>
    <w:qFormat/>
    <w:pPr>
      <w:spacing w:after="0" w:line="240" w:lineRule="auto"/>
    </w:pPr>
  </w:style>
  <w:style w:type="paragraph" w:styleId="PargrafodaLista">
    <w:name w:val="List Paragraph"/>
    <w:basedOn w:val="Normal"/>
    <w:link w:val="PargrafodaListaChar"/>
    <w:uiPriority w:val="34"/>
    <w:qFormat/>
    <w:pPr>
      <w:spacing w:after="200" w:line="276" w:lineRule="auto"/>
      <w:ind w:left="720"/>
      <w:contextualSpacing/>
    </w:pPr>
  </w:style>
  <w:style w:type="character" w:customStyle="1" w:styleId="Ttulo1Char">
    <w:name w:val="Título 1 Char"/>
    <w:basedOn w:val="Fontepargpadro"/>
    <w:link w:val="Ttulo1"/>
    <w:rPr>
      <w:rFonts w:ascii="Times New Roman" w:eastAsia="MS Mincho" w:hAnsi="Times New Roman" w:cs="Times New Roman"/>
      <w:b/>
      <w:bCs/>
      <w:sz w:val="32"/>
      <w:szCs w:val="24"/>
      <w:lang w:eastAsia="pt-BR"/>
    </w:rPr>
  </w:style>
  <w:style w:type="table" w:styleId="Tabelacomgrade">
    <w:name w:val="Table Grid"/>
    <w:basedOn w:val="Tabelanormal"/>
    <w:uiPriority w:val="39"/>
    <w:pPr>
      <w:spacing w:after="0" w:line="240" w:lineRule="auto"/>
    </w:pPr>
    <w:rPr>
      <w:rFonts w:ascii="Times New Roman" w:eastAsia="MS Mincho"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argrafodaLista1">
    <w:name w:val="Parágrafo da Lista1"/>
    <w:basedOn w:val="Normal"/>
    <w:qFormat/>
    <w:pPr>
      <w:ind w:left="720"/>
    </w:pPr>
    <w:rPr>
      <w:rFonts w:ascii="Arial" w:eastAsia="Times New Roman" w:hAnsi="Arial"/>
      <w:sz w:val="28"/>
      <w:szCs w:val="28"/>
    </w:rPr>
  </w:style>
  <w:style w:type="paragraph" w:customStyle="1" w:styleId="Nivel1">
    <w:name w:val="Nivel1"/>
    <w:basedOn w:val="Ttulo1"/>
    <w:next w:val="Normal"/>
    <w:qFormat/>
    <w:pPr>
      <w:keepNext w:val="0"/>
      <w:widowControl w:val="0"/>
      <w:numPr>
        <w:numId w:val="5"/>
      </w:numPr>
      <w:tabs>
        <w:tab w:val="left" w:pos="284"/>
      </w:tabs>
      <w:spacing w:before="480" w:beforeAutospacing="1" w:after="120" w:afterAutospacing="1" w:line="276" w:lineRule="auto"/>
      <w:jc w:val="both"/>
    </w:pPr>
    <w:rPr>
      <w:rFonts w:ascii="Arial" w:eastAsia="Times New Roman" w:hAnsi="Arial" w:cs="Arial"/>
      <w:color w:val="000000"/>
      <w:sz w:val="48"/>
      <w:szCs w:val="48"/>
    </w:rPr>
  </w:style>
  <w:style w:type="character" w:customStyle="1" w:styleId="LinkdaInternet">
    <w:name w:val="Link da Internet"/>
    <w:basedOn w:val="Fontepargpadro"/>
    <w:rPr>
      <w:color w:val="0000FF"/>
      <w:u w:val="single"/>
    </w:rPr>
  </w:style>
  <w:style w:type="character" w:customStyle="1" w:styleId="markedcontent">
    <w:name w:val="markedcontent"/>
    <w:basedOn w:val="Fontepargpadro"/>
    <w:qFormat/>
  </w:style>
  <w:style w:type="character" w:styleId="Refdecomentrio">
    <w:name w:val="annotation reference"/>
    <w:basedOn w:val="Fontepargpadro"/>
    <w:unhideWhenUsed/>
    <w:rPr>
      <w:sz w:val="16"/>
      <w:szCs w:val="16"/>
    </w:rPr>
  </w:style>
  <w:style w:type="paragraph" w:styleId="Textodecomentrio">
    <w:name w:val="annotation text"/>
    <w:basedOn w:val="Normal"/>
    <w:link w:val="TextodecomentrioChar"/>
    <w:uiPriority w:val="99"/>
    <w:unhideWhenUsed/>
    <w:rPr>
      <w:sz w:val="20"/>
      <w:szCs w:val="20"/>
    </w:rPr>
  </w:style>
  <w:style w:type="character" w:customStyle="1" w:styleId="TextodecomentrioChar">
    <w:name w:val="Texto de comentário Char"/>
    <w:basedOn w:val="Fontepargpadro"/>
    <w:link w:val="Textodecomentrio"/>
    <w:uiPriority w:val="99"/>
    <w:qFormat/>
    <w:rPr>
      <w:rFonts w:ascii="Times New Roman" w:eastAsia="MS Mincho"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Pr>
      <w:b/>
      <w:bCs/>
    </w:rPr>
  </w:style>
  <w:style w:type="character" w:customStyle="1" w:styleId="AssuntodocomentrioChar">
    <w:name w:val="Assunto do comentário Char"/>
    <w:basedOn w:val="TextodecomentrioChar"/>
    <w:link w:val="Assuntodocomentrio"/>
    <w:uiPriority w:val="99"/>
    <w:semiHidden/>
    <w:rPr>
      <w:rFonts w:ascii="Times New Roman" w:eastAsia="MS Mincho" w:hAnsi="Times New Roman" w:cs="Times New Roman"/>
      <w:b/>
      <w:bCs/>
      <w:sz w:val="20"/>
      <w:szCs w:val="20"/>
      <w:lang w:eastAsia="pt-BR"/>
    </w:rPr>
  </w:style>
  <w:style w:type="paragraph" w:styleId="Corpodetexto">
    <w:name w:val="Body Text"/>
    <w:basedOn w:val="Normal"/>
    <w:link w:val="CorpodetextoChar"/>
    <w:uiPriority w:val="1"/>
    <w:qFormat/>
    <w:pPr>
      <w:widowControl w:val="0"/>
    </w:pPr>
    <w:rPr>
      <w:rFonts w:ascii="Calibri" w:eastAsia="Calibri" w:hAnsi="Calibri" w:cs="Calibri"/>
      <w:i/>
      <w:iCs/>
      <w:sz w:val="22"/>
      <w:szCs w:val="22"/>
      <w:lang w:val="pt-PT" w:eastAsia="en-US"/>
    </w:rPr>
  </w:style>
  <w:style w:type="character" w:customStyle="1" w:styleId="CorpodetextoChar">
    <w:name w:val="Corpo de texto Char"/>
    <w:basedOn w:val="Fontepargpadro"/>
    <w:link w:val="Corpodetexto"/>
    <w:uiPriority w:val="1"/>
    <w:rPr>
      <w:rFonts w:ascii="Calibri" w:eastAsia="Calibri" w:hAnsi="Calibri" w:cs="Calibri"/>
      <w:i/>
      <w:iCs/>
      <w:lang w:val="pt-PT"/>
    </w:rPr>
  </w:style>
  <w:style w:type="paragraph" w:styleId="Ttulo">
    <w:name w:val="Title"/>
    <w:basedOn w:val="Normal"/>
    <w:link w:val="TtuloChar"/>
    <w:uiPriority w:val="10"/>
    <w:qFormat/>
    <w:pPr>
      <w:widowControl w:val="0"/>
      <w:ind w:left="2189" w:right="2208"/>
      <w:jc w:val="center"/>
    </w:pPr>
    <w:rPr>
      <w:rFonts w:ascii="Calibri" w:eastAsia="Calibri" w:hAnsi="Calibri" w:cs="Calibri"/>
      <w:b/>
      <w:bCs/>
      <w:u w:val="single"/>
      <w:lang w:val="pt-PT" w:eastAsia="en-US"/>
    </w:rPr>
  </w:style>
  <w:style w:type="character" w:customStyle="1" w:styleId="TtuloChar">
    <w:name w:val="Título Char"/>
    <w:basedOn w:val="Fontepargpadro"/>
    <w:link w:val="Ttulo"/>
    <w:uiPriority w:val="10"/>
    <w:rPr>
      <w:rFonts w:ascii="Calibri" w:eastAsia="Calibri" w:hAnsi="Calibri" w:cs="Calibri"/>
      <w:b/>
      <w:bCs/>
      <w:sz w:val="24"/>
      <w:szCs w:val="24"/>
      <w:u w:val="single"/>
      <w:lang w:val="pt-PT"/>
    </w:rPr>
  </w:style>
  <w:style w:type="paragraph" w:customStyle="1" w:styleId="textbody">
    <w:name w:val="textbody"/>
    <w:basedOn w:val="Normal"/>
    <w:pPr>
      <w:spacing w:before="100" w:beforeAutospacing="1" w:after="100" w:afterAutospacing="1"/>
    </w:pPr>
    <w:rPr>
      <w:rFonts w:eastAsia="Times New Roman"/>
    </w:rPr>
  </w:style>
  <w:style w:type="paragraph" w:styleId="NormalWeb">
    <w:name w:val="Normal (Web)"/>
    <w:basedOn w:val="Normal"/>
    <w:uiPriority w:val="99"/>
    <w:pPr>
      <w:spacing w:before="100" w:beforeAutospacing="1" w:after="100" w:afterAutospacing="1"/>
    </w:pPr>
    <w:rPr>
      <w:rFonts w:eastAsia="Calibri"/>
    </w:rPr>
  </w:style>
  <w:style w:type="table" w:customStyle="1" w:styleId="TabeladeGrade1Clara1">
    <w:name w:val="Tabela de Grade 1 Clara1"/>
    <w:basedOn w:val="Tabelanormal"/>
    <w:uiPriority w:val="46"/>
    <w:pPr>
      <w:spacing w:after="0" w:line="240" w:lineRule="auto"/>
    </w:pPr>
    <w:rPr>
      <w:rFonts w:ascii="Times New Roman" w:eastAsia="MS Mincho" w:hAnsi="Times New Roman" w:cs="Times New Roman"/>
      <w:sz w:val="20"/>
      <w:szCs w:val="20"/>
      <w:lang w:eastAsia="pt-BR"/>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table" w:styleId="SimplesTabela3">
    <w:name w:val="Plain Table 3"/>
    <w:basedOn w:val="Tabelanormal"/>
    <w:uiPriority w:val="4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one" w:sz="4" w:space="0" w:color="000000"/>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one" w:sz="4" w:space="0" w:color="000000"/>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one" w:sz="4" w:space="0" w:color="000000"/>
        </w:tcBorders>
      </w:tcPr>
    </w:tblStylePr>
    <w:tblStylePr w:type="nwCell">
      <w:tblPr/>
      <w:tcPr>
        <w:tcBorders>
          <w:right w:val="none" w:sz="4" w:space="0" w:color="000000"/>
        </w:tcBorders>
      </w:tcPr>
    </w:tblStylePr>
  </w:style>
  <w:style w:type="paragraph" w:customStyle="1" w:styleId="pb-0">
    <w:name w:val="pb-0"/>
    <w:basedOn w:val="Normal"/>
    <w:pPr>
      <w:spacing w:before="100" w:beforeAutospacing="1" w:after="100" w:afterAutospacing="1"/>
    </w:pPr>
    <w:rPr>
      <w:rFonts w:eastAsia="Times New Roman"/>
    </w:rPr>
  </w:style>
  <w:style w:type="character" w:styleId="Hyperlink">
    <w:name w:val="Hyperlink"/>
    <w:rPr>
      <w:color w:val="000080"/>
      <w:u w:val="single"/>
    </w:rPr>
  </w:style>
  <w:style w:type="paragraph" w:customStyle="1" w:styleId="Nivel01">
    <w:name w:val="Nivel 01"/>
    <w:basedOn w:val="Ttulo1"/>
    <w:next w:val="Normal"/>
    <w:link w:val="Nivel01Char"/>
    <w:qFormat/>
    <w:pPr>
      <w:keepLines/>
      <w:numPr>
        <w:numId w:val="10"/>
      </w:numPr>
      <w:tabs>
        <w:tab w:val="left" w:pos="567"/>
      </w:tabs>
      <w:spacing w:before="240" w:after="120" w:line="276" w:lineRule="auto"/>
      <w:ind w:left="0" w:firstLine="0"/>
      <w:jc w:val="both"/>
    </w:pPr>
    <w:rPr>
      <w:rFonts w:ascii="Arial" w:eastAsiaTheme="majorEastAsia" w:hAnsi="Arial" w:cs="Arial"/>
      <w:sz w:val="20"/>
      <w:szCs w:val="20"/>
      <w:u w:val="single"/>
      <w:lang w:val="pt-PT"/>
    </w:rPr>
  </w:style>
  <w:style w:type="character" w:customStyle="1" w:styleId="Nivel01Char">
    <w:name w:val="Nivel 01 Char"/>
    <w:basedOn w:val="TtuloChar"/>
    <w:link w:val="Nivel01"/>
    <w:rPr>
      <w:rFonts w:ascii="Arial" w:eastAsiaTheme="majorEastAsia" w:hAnsi="Arial" w:cs="Arial"/>
      <w:b/>
      <w:bCs/>
      <w:sz w:val="20"/>
      <w:szCs w:val="20"/>
      <w:u w:val="single"/>
      <w:lang w:val="pt-PT" w:eastAsia="pt-BR"/>
    </w:rPr>
  </w:style>
  <w:style w:type="character" w:customStyle="1" w:styleId="normaltextrun">
    <w:name w:val="normaltextrun"/>
    <w:basedOn w:val="Fontepargpadro"/>
  </w:style>
  <w:style w:type="paragraph" w:customStyle="1" w:styleId="Nivel2">
    <w:name w:val="Nivel 2"/>
    <w:basedOn w:val="Normal"/>
    <w:link w:val="Nivel2Char"/>
    <w:qFormat/>
    <w:pPr>
      <w:numPr>
        <w:ilvl w:val="1"/>
        <w:numId w:val="10"/>
      </w:numPr>
      <w:spacing w:before="120" w:after="120" w:line="276" w:lineRule="auto"/>
      <w:jc w:val="both"/>
    </w:pPr>
    <w:rPr>
      <w:rFonts w:ascii="Arial" w:eastAsia="Arial" w:hAnsi="Arial" w:cs="Arial"/>
      <w:color w:val="000000"/>
      <w:sz w:val="20"/>
      <w:szCs w:val="20"/>
    </w:rPr>
  </w:style>
  <w:style w:type="paragraph" w:customStyle="1" w:styleId="Nivel3">
    <w:name w:val="Nivel 3"/>
    <w:basedOn w:val="Normal"/>
    <w:link w:val="Nivel3Char"/>
    <w:qFormat/>
    <w:pPr>
      <w:numPr>
        <w:ilvl w:val="2"/>
        <w:numId w:val="10"/>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qFormat/>
    <w:pPr>
      <w:numPr>
        <w:ilvl w:val="3"/>
      </w:numPr>
      <w:ind w:left="567" w:firstLine="0"/>
    </w:pPr>
    <w:rPr>
      <w:color w:val="auto"/>
    </w:rPr>
  </w:style>
  <w:style w:type="paragraph" w:customStyle="1" w:styleId="Nivel5">
    <w:name w:val="Nivel 5"/>
    <w:basedOn w:val="Nivel4"/>
    <w:qFormat/>
    <w:pPr>
      <w:numPr>
        <w:ilvl w:val="4"/>
      </w:numPr>
      <w:tabs>
        <w:tab w:val="num" w:pos="0"/>
      </w:tabs>
      <w:ind w:left="851" w:firstLine="0"/>
    </w:pPr>
  </w:style>
  <w:style w:type="character" w:customStyle="1" w:styleId="Nivel2Char">
    <w:name w:val="Nivel 2 Char"/>
    <w:basedOn w:val="Fontepargpadro"/>
    <w:link w:val="Nivel2"/>
    <w:rPr>
      <w:rFonts w:ascii="Arial" w:eastAsia="Arial" w:hAnsi="Arial" w:cs="Arial"/>
      <w:color w:val="000000"/>
      <w:sz w:val="20"/>
      <w:szCs w:val="20"/>
      <w:lang w:eastAsia="pt-BR"/>
    </w:rPr>
  </w:style>
  <w:style w:type="character" w:customStyle="1" w:styleId="PargrafodaListaChar">
    <w:name w:val="Parágrafo da Lista Char"/>
    <w:basedOn w:val="Fontepargpadro"/>
    <w:link w:val="PargrafodaLista"/>
    <w:uiPriority w:val="34"/>
    <w:rPr>
      <w:rFonts w:ascii="Times New Roman" w:eastAsia="MS Mincho" w:hAnsi="Times New Roman" w:cs="Times New Roman"/>
      <w:sz w:val="24"/>
      <w:szCs w:val="24"/>
      <w:lang w:eastAsia="pt-BR"/>
    </w:rPr>
  </w:style>
  <w:style w:type="paragraph" w:customStyle="1" w:styleId="ou">
    <w:name w:val="ou"/>
    <w:basedOn w:val="PargrafodaLista"/>
    <w:link w:val="ouChar"/>
    <w:qFormat/>
    <w:pPr>
      <w:spacing w:before="60" w:after="60" w:line="259" w:lineRule="auto"/>
      <w:ind w:left="0"/>
      <w:contextualSpacing w:val="0"/>
      <w:jc w:val="center"/>
    </w:pPr>
    <w:rPr>
      <w:rFonts w:ascii="Arial" w:hAnsi="Arial" w:cs="Arial"/>
      <w:b/>
      <w:bCs/>
      <w:i/>
      <w:iCs/>
      <w:color w:val="FF0000"/>
      <w:sz w:val="20"/>
      <w:u w:val="single"/>
    </w:rPr>
  </w:style>
  <w:style w:type="character" w:customStyle="1" w:styleId="ouChar">
    <w:name w:val="ou Char"/>
    <w:basedOn w:val="PargrafodaListaChar"/>
    <w:link w:val="ou"/>
    <w:rPr>
      <w:rFonts w:ascii="Arial" w:eastAsia="MS Mincho" w:hAnsi="Arial" w:cs="Arial"/>
      <w:b/>
      <w:bCs/>
      <w:i/>
      <w:iCs/>
      <w:color w:val="FF0000"/>
      <w:sz w:val="20"/>
      <w:szCs w:val="24"/>
      <w:u w:val="single"/>
      <w:lang w:eastAsia="pt-BR"/>
    </w:rPr>
  </w:style>
  <w:style w:type="paragraph" w:customStyle="1" w:styleId="Nvel2-Red">
    <w:name w:val="Nível 2 -Red"/>
    <w:basedOn w:val="Nivel2"/>
    <w:link w:val="Nvel2-RedChar"/>
    <w:qFormat/>
    <w:rPr>
      <w:i/>
      <w:iCs/>
      <w:color w:val="FF0000"/>
    </w:rPr>
  </w:style>
  <w:style w:type="paragraph" w:customStyle="1" w:styleId="Nvel3-R">
    <w:name w:val="Nível 3-R"/>
    <w:basedOn w:val="Nivel3"/>
    <w:link w:val="Nvel3-RChar"/>
    <w:qFormat/>
    <w:rPr>
      <w:i/>
      <w:iCs/>
      <w:color w:val="FF0000"/>
    </w:rPr>
  </w:style>
  <w:style w:type="character" w:customStyle="1" w:styleId="Nvel2-RedChar">
    <w:name w:val="Nível 2 -Red Char"/>
    <w:basedOn w:val="Nivel2Char"/>
    <w:link w:val="Nvel2-Red"/>
    <w:rPr>
      <w:rFonts w:ascii="Arial" w:eastAsia="Arial" w:hAnsi="Arial" w:cs="Arial"/>
      <w:i/>
      <w:iCs/>
      <w:color w:val="FF0000"/>
      <w:sz w:val="20"/>
      <w:szCs w:val="20"/>
      <w:lang w:eastAsia="pt-BR"/>
    </w:rPr>
  </w:style>
  <w:style w:type="paragraph" w:customStyle="1" w:styleId="Nvel4-R">
    <w:name w:val="Nível 4-R"/>
    <w:basedOn w:val="Nivel4"/>
    <w:link w:val="Nvel4-RChar"/>
    <w:qFormat/>
    <w:rPr>
      <w:i/>
      <w:iCs/>
      <w:color w:val="FF0000"/>
    </w:rPr>
  </w:style>
  <w:style w:type="character" w:customStyle="1" w:styleId="Nivel3Char">
    <w:name w:val="Nivel 3 Char"/>
    <w:basedOn w:val="Fontepargpadro"/>
    <w:link w:val="Nivel3"/>
    <w:rPr>
      <w:rFonts w:ascii="Arial" w:eastAsiaTheme="minorEastAsia" w:hAnsi="Arial" w:cs="Arial"/>
      <w:color w:val="000000"/>
      <w:sz w:val="20"/>
      <w:szCs w:val="20"/>
      <w:lang w:eastAsia="pt-BR"/>
    </w:rPr>
  </w:style>
  <w:style w:type="character" w:customStyle="1" w:styleId="Nvel3-RChar">
    <w:name w:val="Nível 3-R Char"/>
    <w:basedOn w:val="Nivel3Char"/>
    <w:link w:val="Nvel3-R"/>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pPr>
      <w:numPr>
        <w:numId w:val="0"/>
      </w:numPr>
      <w:outlineLvl w:val="1"/>
    </w:pPr>
    <w:rPr>
      <w:color w:val="FF0000"/>
    </w:rPr>
  </w:style>
  <w:style w:type="character" w:customStyle="1" w:styleId="Nvel4-RChar">
    <w:name w:val="Nível 4-R Char"/>
    <w:basedOn w:val="Fontepargpadro"/>
    <w:link w:val="Nvel4-R"/>
    <w:rPr>
      <w:rFonts w:ascii="Arial" w:eastAsiaTheme="minorEastAsia" w:hAnsi="Arial" w:cs="Arial"/>
      <w:i/>
      <w:iCs/>
      <w:color w:val="FF0000"/>
      <w:sz w:val="20"/>
      <w:szCs w:val="20"/>
      <w:lang w:eastAsia="pt-BR"/>
    </w:rPr>
  </w:style>
  <w:style w:type="character" w:customStyle="1" w:styleId="Nvel1-SemNumChar">
    <w:name w:val="Nível 1-Sem Num Char"/>
    <w:basedOn w:val="Nivel01Char"/>
    <w:link w:val="Nvel1-SemNum"/>
    <w:rPr>
      <w:rFonts w:ascii="Arial" w:eastAsiaTheme="majorEastAsia" w:hAnsi="Arial" w:cs="Arial"/>
      <w:b/>
      <w:bCs/>
      <w:color w:val="FF0000"/>
      <w:sz w:val="20"/>
      <w:szCs w:val="20"/>
      <w:u w:val="single"/>
      <w:lang w:val="pt-PT" w:eastAsia="pt-BR"/>
    </w:rPr>
  </w:style>
  <w:style w:type="character" w:customStyle="1" w:styleId="findhit">
    <w:name w:val="findhit"/>
    <w:basedOn w:val="Fontepargpadro"/>
  </w:style>
  <w:style w:type="paragraph" w:customStyle="1" w:styleId="Nvel1-SemNumPreto">
    <w:name w:val="Nível 1-Sem Num Preto"/>
    <w:basedOn w:val="Nvel1-SemNum"/>
    <w:link w:val="Nvel1-SemNumPretoChar"/>
    <w:qFormat/>
    <w:rPr>
      <w:lang w:eastAsia="zh-CN" w:bidi="hi-IN"/>
    </w:rPr>
  </w:style>
  <w:style w:type="character" w:customStyle="1" w:styleId="Nvel1-SemNumPretoChar">
    <w:name w:val="Nível 1-Sem Num Preto Char"/>
    <w:basedOn w:val="Nvel1-SemNumChar"/>
    <w:link w:val="Nvel1-SemNumPreto"/>
    <w:rPr>
      <w:rFonts w:ascii="Arial" w:eastAsiaTheme="majorEastAsia" w:hAnsi="Arial" w:cs="Arial"/>
      <w:b/>
      <w:bCs/>
      <w:color w:val="FF0000"/>
      <w:sz w:val="20"/>
      <w:szCs w:val="20"/>
      <w:u w:val="single"/>
      <w:lang w:val="pt-PT"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_ato2019-2022/2022/Decreto/D11246.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AGU/Pareceres/2019-2022/PRC-JL-01-2020.htm"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planalto.gov.br/ccivil_03/_ato2019-2022/2022/Decreto/D11246.htm" TargetMode="External"/><Relationship Id="rId17" Type="http://schemas.openxmlformats.org/officeDocument/2006/relationships/hyperlink" Target="https://www.planalto.gov.br/ccivil_03/_ato2019-2022/2022/Decreto/D11246.htm" TargetMode="External"/><Relationship Id="rId25" Type="http://schemas.openxmlformats.org/officeDocument/2006/relationships/hyperlink" Target="https://www.planalto.gov.br/ccivil_03/leis/l8429.htm"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planalto.gov.br/ccivil_03/_ato2019-2022/2022/Decreto/D11246.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leis/l5764.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_ato2019-2022/2022/Decreto/D11246.htm" TargetMode="External"/><Relationship Id="rId24" Type="http://schemas.openxmlformats.org/officeDocument/2006/relationships/hyperlink" Target="https://www.gov.br/compras/pt-br/acesso-a-informacao/legislacao/instrucoes-normativas/instrucao-normativa-no-53-de-8-de-julho-de-2020"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planalto.gov.br/ccivil_03/_ato2019-2022/2022/Decreto/D11246.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gov.br/economia/pt-br/assuntos/drei/legislacao/arquivos/legislacoes-federais/indrei772020.pdf"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_ato2019-2022/2022/Decreto/D11246.htm" TargetMode="External"/><Relationship Id="rId22" Type="http://schemas.openxmlformats.org/officeDocument/2006/relationships/hyperlink" Target="https://in.gov.br/en/web/dou/-/instrucao-normativa-seges/me-n-77-de-4-de-novembro-de-2022-441681061" TargetMode="External"/><Relationship Id="rId27" Type="http://schemas.openxmlformats.org/officeDocument/2006/relationships/hyperlink" Target="https://www.gov.br/empresas-e-negocios/pt-br/empreendedor" TargetMode="External"/><Relationship Id="rId30" Type="http://schemas.openxmlformats.org/officeDocument/2006/relationships/hyperlink" Target="https://www.gov.br/compras/pt-br/acesso-a-informacao/legislacao/instrucoes-normativas/instrucao-normativa-seges-me-no-116-de-21-de-dezembro-de-2021" TargetMode="External"/><Relationship Id="rId35" Type="http://schemas.openxmlformats.org/officeDocument/2006/relationships/theme" Target="theme/theme1.xml"/><Relationship Id="rId8"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jpg"/><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247CE2-045D-498C-AA69-8773EDFA36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10</Pages>
  <Words>5148</Words>
  <Characters>27802</Characters>
  <Application>Microsoft Office Word</Application>
  <DocSecurity>0</DocSecurity>
  <Lines>231</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Gustavo Leal</dc:creator>
  <cp:lastModifiedBy>Gabriel Lisboa</cp:lastModifiedBy>
  <cp:revision>69</cp:revision>
  <dcterms:created xsi:type="dcterms:W3CDTF">2024-02-21T15:15:00Z</dcterms:created>
  <dcterms:modified xsi:type="dcterms:W3CDTF">2024-04-24T13:46:00Z</dcterms:modified>
</cp:coreProperties>
</file>