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Autospacing="0" w:before="0" w:afterAutospacing="0" w:after="0"/>
        <w:jc w:val="center"/>
        <w:textAlignment w:val="baseline"/>
        <w:rPr>
          <w:rStyle w:val="1n6te"/>
          <w:rFonts w:ascii="Arial" w:hAnsi="Arial" w:eastAsia="" w:eastAsiaTheme="majorEastAsia"/>
          <w:b/>
          <w:bCs/>
          <w:color w:val="1D0E03"/>
        </w:rPr>
      </w:pPr>
      <w:r>
        <w:rPr>
          <w:rFonts w:eastAsia="" w:eastAsiaTheme="majorEastAsia" w:ascii="Arial" w:hAnsi="Arial"/>
          <w:b/>
          <w:bCs/>
          <w:color w:val="1D0E03"/>
        </w:rPr>
      </w:r>
    </w:p>
    <w:tbl>
      <w:tblPr>
        <w:tblW w:w="382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25"/>
      </w:tblGrid>
      <w:tr>
        <w:trPr/>
        <w:tc>
          <w:tcPr>
            <w:tcW w:w="3825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spacing w:before="0" w:after="160"/>
              <w:ind w:hanging="0" w:left="0" w:right="0"/>
              <w:jc w:val="center"/>
              <w:rPr>
                <w:b/>
              </w:rPr>
            </w:pPr>
            <w:r>
              <w:rPr>
                <w:b/>
              </w:rPr>
              <w:t>T</w:t>
            </w:r>
            <w:r>
              <w:rPr>
                <w:b/>
              </w:rPr>
              <w:t>ERMO DE REFERÊNCIA</w:t>
            </w:r>
          </w:p>
        </w:tc>
      </w:tr>
    </w:tbl>
    <w:p>
      <w:pPr>
        <w:pStyle w:val="BodyText"/>
        <w:shd w:fill="E6E6E6" w:val="clear"/>
        <w:ind w:hanging="0" w:left="120" w:right="120"/>
        <w:rPr/>
      </w:pPr>
      <w:r>
        <w:rPr>
          <w:rStyle w:val="Strong"/>
        </w:rPr>
        <w:t>I</w:t>
      </w:r>
      <w:r>
        <w:rPr>
          <w:rStyle w:val="Strong"/>
        </w:rPr>
        <w:t xml:space="preserve"> - DO OBJETO:</w:t>
      </w:r>
    </w:p>
    <w:p>
      <w:pPr>
        <w:pStyle w:val="BodyText"/>
        <w:ind w:hanging="0" w:left="0" w:right="0"/>
        <w:jc w:val="both"/>
        <w:rPr/>
      </w:pPr>
      <w:r>
        <w:rPr/>
        <w:t>Contratação do serviço de adesivação (fornecimento e instalação) para a identificação visual da Secretaria de Energia e Economia do Mar, localizada na Avenida Presidente Wilson, 231, 19º andar, Centro – RJ.</w:t>
      </w:r>
    </w:p>
    <w:p>
      <w:pPr>
        <w:pStyle w:val="BodyText"/>
        <w:shd w:fill="E6E6E6" w:val="clear"/>
        <w:ind w:hanging="0" w:left="120" w:right="120"/>
        <w:rPr/>
      </w:pPr>
      <w:r>
        <w:rPr>
          <w:rStyle w:val="Strong"/>
        </w:rPr>
        <w:t>II – DA JUSTIFICATIVA:</w:t>
      </w:r>
    </w:p>
    <w:p>
      <w:pPr>
        <w:pStyle w:val="BodyText"/>
        <w:ind w:hanging="0" w:left="0" w:right="0"/>
        <w:jc w:val="both"/>
        <w:rPr/>
      </w:pPr>
      <w:r>
        <w:rPr/>
        <w:t>Considerando que a Secretaria de Estado de Energia e Economia do Mar- SEENEMAR foi criada em janeiro de 2023, por meio do Decreto nº 48.338, de 26/01/2023;</w:t>
      </w:r>
    </w:p>
    <w:p>
      <w:pPr>
        <w:pStyle w:val="BodyText"/>
        <w:ind w:hanging="0" w:left="0" w:right="0"/>
        <w:jc w:val="both"/>
        <w:rPr/>
      </w:pPr>
      <w:r>
        <w:rPr/>
        <w:t>Considerando que a SEENEMAR utiliza provisoriamente as instalações de parte do 3º andar do anexo ao Palácio Guanabara;</w:t>
      </w:r>
    </w:p>
    <w:p>
      <w:pPr>
        <w:pStyle w:val="BodyText"/>
        <w:ind w:hanging="0" w:left="0" w:right="0"/>
        <w:jc w:val="both"/>
        <w:rPr/>
      </w:pPr>
      <w:r>
        <w:rPr/>
        <w:t>Considerando que a SEENEMEMAR terá uma nova sede, situada na Avenida Presidente Wilson, 231, 19º andar, Centro – RJ;</w:t>
      </w:r>
    </w:p>
    <w:p>
      <w:pPr>
        <w:pStyle w:val="BodyText"/>
        <w:ind w:hanging="0" w:left="0" w:right="0"/>
        <w:jc w:val="both"/>
        <w:rPr/>
      </w:pPr>
      <w:r>
        <w:rPr/>
        <w:t>Por todo o exposto, a SEENEMAR necessita do serviço de adesivação para a nova sede, considerando que esse material gráfico tem importância visual, criando a identidade da Secretaria, e sendo, portanto, fundamental para a estruturação administrativa e operacional da pasta.</w:t>
      </w:r>
    </w:p>
    <w:p>
      <w:pPr>
        <w:pStyle w:val="BodyText"/>
        <w:shd w:fill="E6E6E6" w:val="clear"/>
        <w:ind w:hanging="0" w:left="120" w:right="120"/>
        <w:rPr/>
      </w:pPr>
      <w:r>
        <w:rPr>
          <w:rStyle w:val="Strong"/>
        </w:rPr>
        <w:t>III – OBJETO DA CONTRATAÇÃO:</w:t>
      </w:r>
    </w:p>
    <w:p>
      <w:pPr>
        <w:pStyle w:val="BodyText"/>
        <w:ind w:hanging="0" w:left="0" w:right="0"/>
        <w:rPr/>
      </w:pPr>
      <w:r>
        <w:rPr/>
        <w:t>Contratação do serviço de adesivação (fornecimento e instalação) para a identificação visual da Secretaria, considerando os seguintes itens abaixo:</w:t>
      </w:r>
    </w:p>
    <w:p>
      <w:pPr>
        <w:pStyle w:val="BodyText"/>
        <w:ind w:hanging="0" w:left="0" w:right="0"/>
        <w:rPr/>
      </w:pPr>
      <w:r>
        <w:rPr/>
      </w:r>
    </w:p>
    <w:tbl>
      <w:tblPr>
        <w:tblW w:w="8009" w:type="dxa"/>
        <w:jc w:val="left"/>
        <w:tblInd w:w="105" w:type="dxa"/>
        <w:tblLayout w:type="fixed"/>
        <w:tblCellMar>
          <w:top w:w="28" w:type="dxa"/>
          <w:left w:w="105" w:type="dxa"/>
          <w:bottom w:w="28" w:type="dxa"/>
          <w:right w:w="105" w:type="dxa"/>
        </w:tblCellMar>
      </w:tblPr>
      <w:tblGrid>
        <w:gridCol w:w="1035"/>
        <w:gridCol w:w="586"/>
        <w:gridCol w:w="5023"/>
        <w:gridCol w:w="1365"/>
      </w:tblGrid>
      <w:tr>
        <w:trPr/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dodatabela"/>
              <w:spacing w:before="0" w:after="0"/>
              <w:ind w:hanging="0" w:left="0" w:right="0"/>
              <w:rPr>
                <w:b/>
              </w:rPr>
            </w:pPr>
            <w:r>
              <w:rPr>
                <w:b/>
              </w:rPr>
              <w:t>ID SIGA</w:t>
            </w:r>
          </w:p>
        </w:tc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>
                <w:b/>
              </w:rPr>
            </w:pPr>
            <w:r>
              <w:rPr>
                <w:b/>
              </w:rPr>
              <w:t>Item</w:t>
            </w:r>
          </w:p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02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>
                <w:b/>
              </w:rPr>
            </w:pPr>
            <w:r>
              <w:rPr>
                <w:b/>
              </w:rPr>
              <w:t>Descrição</w:t>
            </w:r>
          </w:p>
        </w:tc>
        <w:tc>
          <w:tcPr>
            <w:tcW w:w="13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>
                <w:b/>
              </w:rPr>
            </w:pPr>
            <w:r>
              <w:rPr>
                <w:b/>
              </w:rPr>
              <w:t>Quantidade</w:t>
            </w:r>
          </w:p>
        </w:tc>
      </w:tr>
      <w:tr>
        <w:trPr/>
        <w:tc>
          <w:tcPr>
            <w:tcW w:w="1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023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1365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</w:tr>
      <w:tr>
        <w:trPr/>
        <w:tc>
          <w:tcPr>
            <w:tcW w:w="1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023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>
                <w:color w:val="000000"/>
                <w:shd w:fill="FFFFFF" w:val="clear"/>
              </w:rPr>
            </w:pPr>
            <w:r>
              <w:rPr>
                <w:color w:val="000000"/>
                <w:shd w:fill="FFFFFF" w:val="clear"/>
              </w:rPr>
            </w:r>
          </w:p>
        </w:tc>
        <w:tc>
          <w:tcPr>
            <w:tcW w:w="1365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</w:tr>
      <w:tr>
        <w:trPr/>
        <w:tc>
          <w:tcPr>
            <w:tcW w:w="1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023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1365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</w:tr>
      <w:tr>
        <w:trPr/>
        <w:tc>
          <w:tcPr>
            <w:tcW w:w="1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023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1365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</w:tr>
      <w:tr>
        <w:trPr/>
        <w:tc>
          <w:tcPr>
            <w:tcW w:w="1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023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1365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</w:tr>
      <w:tr>
        <w:trPr/>
        <w:tc>
          <w:tcPr>
            <w:tcW w:w="1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023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1365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</w:tr>
      <w:tr>
        <w:trPr/>
        <w:tc>
          <w:tcPr>
            <w:tcW w:w="1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86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5023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  <w:tc>
          <w:tcPr>
            <w:tcW w:w="1365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Contedodatabela"/>
              <w:spacing w:before="0" w:after="0"/>
              <w:ind w:hanging="0" w:left="0" w:right="0"/>
              <w:rPr/>
            </w:pPr>
            <w:r>
              <w:rPr/>
            </w:r>
          </w:p>
        </w:tc>
      </w:tr>
    </w:tbl>
    <w:p>
      <w:pPr>
        <w:pStyle w:val="BodyText"/>
        <w:ind w:hanging="0" w:left="0" w:right="0"/>
        <w:rPr/>
      </w:pPr>
      <w:r>
        <w:rPr/>
      </w:r>
    </w:p>
    <w:p>
      <w:pPr>
        <w:pStyle w:val="BodyText"/>
        <w:shd w:fill="E6E6E6" w:val="clear"/>
        <w:ind w:hanging="0" w:left="120" w:right="120"/>
        <w:rPr/>
      </w:pPr>
      <w:r>
        <w:rPr>
          <w:rStyle w:val="Strong"/>
        </w:rPr>
        <w:t>IV – DESCRIÇÃO DO OBJETO:</w:t>
      </w:r>
    </w:p>
    <w:p>
      <w:pPr>
        <w:pStyle w:val="BodyText"/>
        <w:ind w:hanging="0" w:left="0" w:right="0"/>
        <w:jc w:val="both"/>
        <w:rPr/>
      </w:pPr>
      <w:r>
        <w:rPr>
          <w:color w:val="000000"/>
        </w:rPr>
        <w:t xml:space="preserve">1. </w:t>
      </w:r>
      <w:r>
        <w:rPr>
          <w:b/>
        </w:rPr>
        <w:t xml:space="preserve">Adesivo com laminação no painel Hall dos elevadores: </w:t>
      </w:r>
      <w:r>
        <w:rPr/>
        <w:t>1531 x 249 cm; painel dividido em 6 artes (ver anexo), cada uma com 255 x 249 cm; 1 unidade. Material: vinil adesivo.</w:t>
      </w:r>
    </w:p>
    <w:p>
      <w:pPr>
        <w:pStyle w:val="BodyText"/>
        <w:ind w:hanging="0" w:left="0" w:right="0"/>
        <w:jc w:val="both"/>
        <w:rPr/>
      </w:pPr>
      <w:r>
        <w:rPr>
          <w:color w:val="000000"/>
        </w:rPr>
        <w:t xml:space="preserve">2. </w:t>
      </w:r>
      <w:r>
        <w:rPr>
          <w:b/>
          <w:color w:val="000000"/>
          <w:shd w:fill="FFFFFF" w:val="clear"/>
        </w:rPr>
        <w:t xml:space="preserve">Blockletter logo Secretaria: </w:t>
      </w:r>
      <w:r>
        <w:rPr/>
        <w:t>375 x 66 x 3 cm - Confeccionado em MDF com pintura automotiva, em 1 cor. Fixação por parafuso e bucha; 1 unidade.</w:t>
      </w:r>
    </w:p>
    <w:p>
      <w:pPr>
        <w:pStyle w:val="BodyText"/>
        <w:ind w:hanging="0" w:left="0" w:right="0"/>
        <w:jc w:val="both"/>
        <w:rPr/>
      </w:pPr>
      <w:r>
        <w:rPr>
          <w:color w:val="000000"/>
        </w:rPr>
        <w:t xml:space="preserve">3. </w:t>
      </w:r>
      <w:r>
        <w:rPr>
          <w:b/>
        </w:rPr>
        <w:t xml:space="preserve">Adesivo jateado em recorte eletrônico da divisória: </w:t>
      </w:r>
      <w:r>
        <w:rPr/>
        <w:t>150 x 210 cm; 2 unidades. Material: vinil adesivo de recorte jeateado.</w:t>
      </w:r>
    </w:p>
    <w:p>
      <w:pPr>
        <w:pStyle w:val="BodyText"/>
        <w:ind w:hanging="0" w:left="0" w:right="0"/>
        <w:jc w:val="both"/>
        <w:rPr/>
      </w:pPr>
      <w:r>
        <w:rPr>
          <w:shd w:fill="FFFFFF" w:val="clear"/>
        </w:rPr>
        <w:t>4. </w:t>
      </w:r>
      <w:r>
        <w:rPr>
          <w:b/>
        </w:rPr>
        <w:t xml:space="preserve">Adesivo laminado de piso: </w:t>
      </w:r>
      <w:r>
        <w:rPr/>
        <w:t>adesivo de vinil; 153 x 175 cm; 1 unidade. Material: vinil adesivo</w:t>
      </w:r>
    </w:p>
    <w:p>
      <w:pPr>
        <w:pStyle w:val="BodyText"/>
        <w:ind w:hanging="0" w:left="0" w:right="0"/>
        <w:jc w:val="both"/>
        <w:rPr/>
      </w:pPr>
      <w:r>
        <w:rPr>
          <w:b/>
          <w:shd w:fill="FFFFFF" w:val="clear"/>
        </w:rPr>
        <w:t>5. </w:t>
      </w:r>
      <w:r>
        <w:rPr>
          <w:b/>
        </w:rPr>
        <w:t xml:space="preserve">Adesivo jateado em recorte eletrônico da janela: </w:t>
      </w:r>
      <w:r>
        <w:rPr/>
        <w:t>110 x 123 cm; 1 unidade. Material: vinil adesivo de recorte jateado.</w:t>
      </w:r>
    </w:p>
    <w:p>
      <w:pPr>
        <w:pStyle w:val="BodyText"/>
        <w:ind w:hanging="0" w:left="0" w:right="0"/>
        <w:jc w:val="both"/>
        <w:rPr/>
      </w:pPr>
      <w:r>
        <w:rPr>
          <w:b/>
        </w:rPr>
        <w:t xml:space="preserve">6. Adesivo em impressão digital e recorte eletrônico: </w:t>
      </w:r>
      <w:r>
        <w:rPr/>
        <w:t>110 x 83.3 cm; 1 unidade. Material: vinil adesivo de recorte</w:t>
      </w:r>
    </w:p>
    <w:p>
      <w:pPr>
        <w:pStyle w:val="BodyText"/>
        <w:ind w:hanging="0" w:left="0" w:right="0"/>
        <w:jc w:val="both"/>
        <w:rPr/>
      </w:pPr>
      <w:r>
        <w:rPr/>
        <w:t xml:space="preserve">7. </w:t>
      </w:r>
      <w:r>
        <w:rPr>
          <w:b/>
        </w:rPr>
        <w:t xml:space="preserve">Adesivo laminado em parede: </w:t>
      </w:r>
      <w:r>
        <w:rPr/>
        <w:t>663 x 249 cm; 1 unidade. Material: vinil adesivo</w:t>
      </w:r>
    </w:p>
    <w:p>
      <w:pPr>
        <w:pStyle w:val="BodyText"/>
        <w:ind w:hanging="0" w:left="0" w:right="0"/>
        <w:jc w:val="both"/>
        <w:rPr/>
      </w:pPr>
      <w:r>
        <w:rPr/>
        <w:t>8. Instalar os adesivos nos locais previamente indicados.</w:t>
      </w:r>
    </w:p>
    <w:p>
      <w:pPr>
        <w:pStyle w:val="BodyText"/>
        <w:ind w:hanging="0" w:left="0" w:right="0"/>
        <w:jc w:val="both"/>
        <w:rPr/>
      </w:pPr>
      <w:r>
        <w:rPr/>
        <w:t>Pelo valor preliminar estimado, a contratação poderá ser realizada por dispensa de licitação nos termos do art. 75, II da Lei nº 14.133/2021 e ser processada seguindo o comando do art. 8º do Decreto nº 48.820/2023.</w:t>
      </w:r>
    </w:p>
    <w:p>
      <w:pPr>
        <w:pStyle w:val="BodyText"/>
        <w:ind w:hanging="0" w:left="0" w:right="0"/>
        <w:jc w:val="both"/>
        <w:rPr/>
      </w:pPr>
      <w:r>
        <w:rPr/>
        <w:t>A garantia dos produtos regula-se pelos ditames do Código de Defesa do Consumidor como supedâneo do art. 89 da Lei nº 14.133/2021.</w:t>
      </w:r>
    </w:p>
    <w:p>
      <w:pPr>
        <w:pStyle w:val="BodyText"/>
        <w:ind w:hanging="0" w:left="0" w:right="0"/>
        <w:jc w:val="both"/>
        <w:rPr/>
      </w:pPr>
      <w:r>
        <w:rPr/>
        <w:t>A Nota de Empenho substitui o contrato nos termos do art. 95, I e II da Lei 14.133/2021.</w:t>
      </w:r>
    </w:p>
    <w:p>
      <w:pPr>
        <w:pStyle w:val="BodyText"/>
        <w:shd w:fill="E6E6E6" w:val="clear"/>
        <w:ind w:hanging="0" w:left="120" w:right="120"/>
        <w:rPr/>
      </w:pPr>
      <w:r>
        <w:rPr>
          <w:rStyle w:val="Strong"/>
        </w:rPr>
        <w:t>V – DOS PRAZOS E LOCAL DE ENTREGA:</w:t>
      </w:r>
    </w:p>
    <w:p>
      <w:pPr>
        <w:pStyle w:val="BodyText"/>
        <w:ind w:hanging="0" w:left="0" w:right="0"/>
        <w:jc w:val="both"/>
        <w:rPr/>
      </w:pPr>
      <w:r>
        <w:rPr/>
        <w:t>O prazo para a fornecimento e instalação dos adesivos e blockletter será de até 30 (trinta) dias após o recebimento da Nota de Empenho pelo fornecedor.</w:t>
      </w:r>
    </w:p>
    <w:p>
      <w:pPr>
        <w:pStyle w:val="BodyText"/>
        <w:ind w:hanging="0" w:left="0" w:right="0"/>
        <w:jc w:val="both"/>
        <w:rPr/>
      </w:pPr>
      <w:r>
        <w:rPr/>
        <w:t xml:space="preserve">Os materiais serão entregues em </w:t>
      </w:r>
      <w:r>
        <w:rPr>
          <w:b/>
        </w:rPr>
        <w:t xml:space="preserve">sua integralidade </w:t>
      </w:r>
      <w:r>
        <w:rPr/>
        <w:t>na sede da SEENEMAR localizada na Av. Presidente Wilson, nº 231 – 19º - Centro – RJ, de segunda a sexta-feira, no horário compreendido entre as 10:00h e 17:00h, onde serão executados os serviços de instalação dos adesivos.</w:t>
      </w:r>
    </w:p>
    <w:p>
      <w:pPr>
        <w:pStyle w:val="BodyText"/>
        <w:shd w:fill="E6E6E6" w:val="clear"/>
        <w:ind w:hanging="0" w:left="120" w:right="120"/>
        <w:rPr/>
      </w:pPr>
      <w:r>
        <w:rPr>
          <w:rStyle w:val="Strong"/>
        </w:rPr>
        <w:t>VI – DA ESTIMATIVA DO VALOR:</w:t>
      </w:r>
    </w:p>
    <w:p>
      <w:pPr>
        <w:pStyle w:val="BodyText"/>
        <w:ind w:hanging="0" w:left="0" w:right="0"/>
        <w:rPr/>
      </w:pPr>
      <w:r>
        <w:rPr/>
        <w:t>O valor preliminar estimado encontra-se no Estudo Técnico Preliminar, obtido mediante pesquisa em empresa do ramo.</w:t>
      </w:r>
    </w:p>
    <w:p>
      <w:pPr>
        <w:pStyle w:val="BodyText"/>
        <w:ind w:hanging="0" w:left="0" w:right="0"/>
        <w:rPr/>
      </w:pPr>
      <w:r>
        <w:rPr/>
        <w:t>Deverá ser ampliada a pesquisa nos moldes do art. 8º do Decreto nº 48.820, de 27/11/2023.</w:t>
      </w:r>
    </w:p>
    <w:p>
      <w:pPr>
        <w:pStyle w:val="BodyText"/>
        <w:shd w:fill="E6E6E6" w:val="clear"/>
        <w:ind w:hanging="0" w:left="120" w:right="120"/>
        <w:rPr/>
      </w:pPr>
      <w:r>
        <w:rPr>
          <w:rStyle w:val="Strong"/>
        </w:rPr>
        <w:t>VII – DO PAGAMENTO:</w:t>
      </w:r>
    </w:p>
    <w:p>
      <w:pPr>
        <w:pStyle w:val="BodyText"/>
        <w:spacing w:before="120" w:after="120"/>
        <w:ind w:hanging="0" w:left="120" w:right="120"/>
        <w:rPr/>
      </w:pPr>
      <w:r>
        <w:rPr/>
        <w:t>O pagamento será integral, até 30 (trinta) dias após o adimplemento da obrigação.</w:t>
      </w:r>
    </w:p>
    <w:p>
      <w:pPr>
        <w:pStyle w:val="BodyText"/>
        <w:shd w:fill="E6E6E6" w:val="clear"/>
        <w:ind w:hanging="0" w:left="120" w:right="120"/>
        <w:rPr/>
      </w:pPr>
      <w:r>
        <w:rPr>
          <w:rStyle w:val="Strong"/>
        </w:rPr>
        <w:t>VIII – DAS OBRIGAÇÕES DA CONTRATADA:</w:t>
      </w:r>
    </w:p>
    <w:p>
      <w:pPr>
        <w:pStyle w:val="BodyText"/>
        <w:spacing w:lineRule="atLeast" w:line="360"/>
        <w:ind w:hanging="0" w:left="0" w:right="0"/>
        <w:rPr/>
      </w:pPr>
      <w:r>
        <w:rPr/>
        <w:t xml:space="preserve">Constituem obrigações da </w:t>
      </w:r>
      <w:r>
        <w:rPr>
          <w:b/>
        </w:rPr>
        <w:t>CONTRATADA</w:t>
      </w:r>
      <w:r>
        <w:rPr/>
        <w:t>:</w:t>
      </w:r>
    </w:p>
    <w:p>
      <w:pPr>
        <w:pStyle w:val="BodyText"/>
        <w:spacing w:lineRule="atLeast" w:line="360"/>
        <w:ind w:hanging="0" w:left="0" w:right="0"/>
        <w:jc w:val="both"/>
        <w:rPr/>
      </w:pPr>
      <w:r>
        <w:rPr/>
        <w:t>a) entregar os bens, na quantidade, qualidade, local e prazos especificados no TR;</w:t>
      </w:r>
    </w:p>
    <w:p>
      <w:pPr>
        <w:pStyle w:val="BodyText"/>
        <w:spacing w:lineRule="atLeast" w:line="360"/>
        <w:ind w:hanging="0" w:left="0" w:right="0"/>
        <w:jc w:val="both"/>
        <w:rPr/>
      </w:pPr>
      <w:r>
        <w:rPr/>
        <w:t xml:space="preserve">b) entregar o objeto do contrato sem qualquer ônus para o </w:t>
      </w:r>
      <w:r>
        <w:rPr>
          <w:b/>
        </w:rPr>
        <w:t>CONTRATANTE</w:t>
      </w:r>
      <w:r>
        <w:rPr/>
        <w:t>, estando incluído no valor do pagamento todas e quaisquer despesas, tais como tributos, frete, seguro e descarregamento das mercadorias;</w:t>
      </w:r>
    </w:p>
    <w:p>
      <w:pPr>
        <w:pStyle w:val="BodyText"/>
        <w:spacing w:lineRule="atLeast" w:line="360"/>
        <w:ind w:hanging="0" w:left="0" w:right="0"/>
        <w:jc w:val="both"/>
        <w:rPr/>
      </w:pPr>
      <w:r>
        <w:rPr/>
        <w:t>c) instalar os adesivos e o blockletter nos locais previamente indicados;</w:t>
      </w:r>
    </w:p>
    <w:p>
      <w:pPr>
        <w:pStyle w:val="BodyText"/>
        <w:spacing w:lineRule="atLeast" w:line="360"/>
        <w:ind w:hanging="0" w:left="0" w:right="0"/>
        <w:jc w:val="both"/>
        <w:rPr>
          <w:color w:val="000000"/>
        </w:rPr>
      </w:pPr>
      <w:r>
        <w:rPr>
          <w:color w:val="000000"/>
        </w:rPr>
        <w:t>d) reparar, corrigir, remover, reconstruir ou substituir, no todo ou em parte e às suas expensas, bens objeto do contrato em que se verificarem vícios, defeitos ou incorreções resultantes de execução irregular ou do fornecimento de materiais inadequados ou desconformes com as especificações;</w:t>
      </w:r>
    </w:p>
    <w:p>
      <w:pPr>
        <w:pStyle w:val="BodyText"/>
        <w:spacing w:lineRule="atLeast" w:line="360"/>
        <w:ind w:hanging="0" w:left="0" w:right="0"/>
        <w:jc w:val="both"/>
        <w:rPr>
          <w:color w:val="000000"/>
        </w:rPr>
      </w:pPr>
      <w:r>
        <w:rPr>
          <w:color w:val="000000"/>
        </w:rPr>
        <w:t xml:space="preserve">e) indenizar todo e qualquer dano e prejuízo pessoal ou material que possa advir, direta ou indiretamente, do exercício de suas atividades ou serem causados por seus prepostos à </w:t>
      </w:r>
      <w:r>
        <w:rPr>
          <w:b/>
          <w:color w:val="000000"/>
        </w:rPr>
        <w:t xml:space="preserve">CONTRATANTE </w:t>
      </w:r>
      <w:r>
        <w:rPr>
          <w:color w:val="000000"/>
        </w:rPr>
        <w:t>ou terceiros.</w:t>
      </w:r>
    </w:p>
    <w:p>
      <w:pPr>
        <w:pStyle w:val="BodyText"/>
        <w:spacing w:lineRule="atLeast" w:line="360"/>
        <w:ind w:hanging="0" w:left="0" w:right="0"/>
        <w:jc w:val="both"/>
        <w:rPr/>
      </w:pPr>
      <w:r>
        <w:rPr>
          <w:b/>
          <w:bCs/>
          <w:color w:val="000000"/>
        </w:rPr>
        <w:t xml:space="preserve">f) apresentar a proposta comercial contendo o valor e a descrição dos serviços e materiais com a indicação da Conta Bancária e Agência mantida no banco oficial do Estado (Banco Bradesco S/A) (Decreto nº 43.181, de 08 de setembro de  2011 e  </w:t>
      </w:r>
      <w:r>
        <w:rPr>
          <w:b/>
          <w:bCs/>
        </w:rPr>
        <w:t>R</w:t>
      </w:r>
      <w:r>
        <w:rPr>
          <w:b/>
          <w:bCs/>
        </w:rPr>
        <w:t xml:space="preserve">esolução Conjunta </w:t>
      </w:r>
      <w:r>
        <w:rPr>
          <w:b/>
          <w:bCs/>
        </w:rPr>
        <w:t>SEFAZ/CASA-CIVIL Nº 130 DE 29/12/2011</w:t>
      </w:r>
      <w:r>
        <w:rPr>
          <w:b/>
          <w:bCs/>
        </w:rPr>
        <w:t>)</w:t>
      </w:r>
      <w:r>
        <w:rPr>
          <w:b/>
          <w:bCs/>
        </w:rPr>
        <w:t xml:space="preserve"> </w:t>
      </w:r>
    </w:p>
    <w:p>
      <w:pPr>
        <w:pStyle w:val="BodyText"/>
        <w:shd w:fill="E6E6E6" w:val="clear"/>
        <w:ind w:hanging="0" w:left="120" w:right="120"/>
        <w:rPr/>
      </w:pPr>
      <w:r>
        <w:rPr>
          <w:rStyle w:val="Strong"/>
        </w:rPr>
        <w:t>IX – DAS OBRIGAÇÕES DA CONTRATANTE:</w:t>
      </w:r>
    </w:p>
    <w:p>
      <w:pPr>
        <w:pStyle w:val="BodyText"/>
        <w:spacing w:lineRule="atLeast" w:line="360"/>
        <w:ind w:hanging="0" w:left="0" w:right="0"/>
        <w:rPr/>
      </w:pPr>
      <w:r>
        <w:rPr/>
        <w:t xml:space="preserve">Constituem obrigações do </w:t>
      </w:r>
      <w:r>
        <w:rPr>
          <w:b/>
        </w:rPr>
        <w:t>CONTRATANTE</w:t>
      </w:r>
      <w:r>
        <w:rPr/>
        <w:t>:</w:t>
      </w:r>
    </w:p>
    <w:p>
      <w:pPr>
        <w:pStyle w:val="BodyText"/>
        <w:spacing w:lineRule="atLeast" w:line="360"/>
        <w:ind w:hanging="0" w:left="0" w:right="0"/>
        <w:rPr/>
      </w:pPr>
      <w:r>
        <w:rPr/>
        <w:t xml:space="preserve">a) efetuar os pagamentos devidos à </w:t>
      </w:r>
      <w:r>
        <w:rPr>
          <w:b/>
        </w:rPr>
        <w:t>CONTRATADA</w:t>
      </w:r>
      <w:r>
        <w:rPr/>
        <w:t>, nas condições estabelecidas neste TR;</w:t>
      </w:r>
    </w:p>
    <w:p>
      <w:pPr>
        <w:pStyle w:val="BodyText"/>
        <w:spacing w:lineRule="atLeast" w:line="360"/>
        <w:ind w:hanging="0" w:left="0" w:right="0"/>
        <w:rPr/>
      </w:pPr>
      <w:r>
        <w:rPr/>
        <w:t xml:space="preserve">b) fornecer à </w:t>
      </w:r>
      <w:r>
        <w:rPr>
          <w:b/>
        </w:rPr>
        <w:t>CONTRATADA documentos</w:t>
      </w:r>
      <w:r>
        <w:rPr/>
        <w:t>, informações e demais elementos que possuir e pertinentes à execução do presente termo;</w:t>
      </w:r>
    </w:p>
    <w:p>
      <w:pPr>
        <w:pStyle w:val="BodyText"/>
        <w:spacing w:lineRule="atLeast" w:line="360"/>
        <w:ind w:hanging="0" w:left="0" w:right="0"/>
        <w:rPr/>
      </w:pPr>
      <w:r>
        <w:rPr/>
        <w:t>c) exercer a fiscalização do material;</w:t>
      </w:r>
    </w:p>
    <w:p>
      <w:pPr>
        <w:pStyle w:val="BodyText"/>
        <w:spacing w:lineRule="atLeast" w:line="360"/>
        <w:ind w:hanging="0" w:left="0" w:right="0"/>
        <w:rPr/>
      </w:pPr>
      <w:r>
        <w:rPr/>
        <w:t>d) receber provisória e definitivamente o objeto da contratação, nas formas definidas neste Termo de Referência.</w:t>
      </w:r>
    </w:p>
    <w:p>
      <w:pPr>
        <w:pStyle w:val="BodyText"/>
        <w:shd w:fill="E6E6E6" w:val="clear"/>
        <w:ind w:hanging="0" w:left="120" w:right="120"/>
        <w:rPr/>
      </w:pPr>
      <w:r>
        <w:rPr>
          <w:rStyle w:val="Strong"/>
        </w:rPr>
        <w:t>X – DAS PENALIDADES:</w:t>
      </w:r>
    </w:p>
    <w:p>
      <w:pPr>
        <w:pStyle w:val="BodyText"/>
        <w:ind w:hanging="0" w:left="0" w:right="0"/>
        <w:rPr/>
      </w:pPr>
      <w:r>
        <w:rPr>
          <w:color w:val="000000"/>
        </w:rPr>
        <w:t>Em caso de atraso injustificado ou inexecução total ou parcial dos compromissos assumidos com a Administração, a CONTRATADA ficará sujeita às sanções previstas no art. 156 Lei 14.133/2021 e demais normas pertinentes, assegurados, nos termos da lei, a ampla defesa e o contraditório.</w:t>
      </w:r>
    </w:p>
    <w:p>
      <w:pPr>
        <w:pStyle w:val="BodyText"/>
        <w:ind w:hanging="0" w:left="0" w:right="0"/>
        <w:rPr/>
      </w:pPr>
      <w:r>
        <w:rPr>
          <w:color w:val="000000"/>
        </w:rPr>
        <w:t>Caberá aos fiscais designados pelo recebimento dos materiais comunicar à Autoridade Superior, quaisquer ocorrências passíveis das sanções administrativas previstas no TR e que ultrapassem a sua competência.</w:t>
      </w:r>
    </w:p>
    <w:p>
      <w:pPr>
        <w:pStyle w:val="BodyText"/>
        <w:shd w:fill="E6E6E6" w:val="clear"/>
        <w:ind w:hanging="0" w:left="120" w:right="120"/>
        <w:rPr/>
      </w:pPr>
      <w:r>
        <w:rPr>
          <w:rStyle w:val="Strong"/>
        </w:rPr>
        <w:t>XI – DOTAÇÃO ORÇAMENTÁRIA:</w:t>
      </w:r>
    </w:p>
    <w:p>
      <w:pPr>
        <w:pStyle w:val="BodyText"/>
        <w:ind w:hanging="0" w:left="0" w:right="0"/>
        <w:rPr/>
      </w:pPr>
      <w:r>
        <w:rPr/>
        <w:t>Os recursos necessários à realização do objeto ora licitado correrão à conta da dotação orçamentária da S</w:t>
      </w:r>
      <w:r>
        <w:rPr/>
        <w:t>EENEMAR</w:t>
      </w:r>
      <w:r>
        <w:rPr/>
        <w:t>.</w:t>
      </w:r>
    </w:p>
    <w:p>
      <w:pPr>
        <w:pStyle w:val="BodyText"/>
        <w:ind w:hanging="0" w:left="0" w:right="0"/>
        <w:rPr/>
      </w:pPr>
      <w:r>
        <w:rPr>
          <w:rStyle w:val="Strong"/>
        </w:rPr>
        <w:t>FONTE</w:t>
      </w:r>
      <w:r>
        <w:rPr/>
        <w:t>:</w:t>
      </w:r>
    </w:p>
    <w:p>
      <w:pPr>
        <w:pStyle w:val="BodyText"/>
        <w:ind w:hanging="0" w:left="0" w:right="0"/>
        <w:rPr/>
      </w:pPr>
      <w:r>
        <w:rPr>
          <w:rStyle w:val="Strong"/>
        </w:rPr>
        <w:t>PROGRAMA DE TRABALHO</w:t>
      </w:r>
      <w:r>
        <w:rPr/>
        <w:t>:</w:t>
      </w:r>
    </w:p>
    <w:p>
      <w:pPr>
        <w:pStyle w:val="BodyText"/>
        <w:ind w:hanging="0" w:left="0" w:right="0"/>
        <w:rPr/>
      </w:pPr>
      <w:r>
        <w:rPr>
          <w:rStyle w:val="Strong"/>
        </w:rPr>
        <w:t>NATUREZA DA DESPESA</w:t>
      </w:r>
      <w:r>
        <w:rPr/>
        <w:t>:</w:t>
      </w:r>
    </w:p>
    <w:p>
      <w:pPr>
        <w:pStyle w:val="BodyText"/>
        <w:shd w:fill="E6E6E6" w:val="clear"/>
        <w:ind w:hanging="0" w:left="120" w:right="120"/>
        <w:rPr/>
      </w:pPr>
      <w:r>
        <w:rPr>
          <w:rStyle w:val="Strong"/>
        </w:rPr>
        <w:t>XII - ACOMPANHAMENTO DA EXECUÇÃO:</w:t>
      </w:r>
    </w:p>
    <w:p>
      <w:pPr>
        <w:pStyle w:val="BodyText"/>
        <w:ind w:hanging="0" w:left="0" w:right="0"/>
        <w:rPr/>
      </w:pPr>
      <w:r>
        <w:rPr>
          <w:color w:val="000000"/>
        </w:rPr>
        <w:t>Oportunamente será designado servidor responsável pelo recebimento e acompanhamento da compra.</w:t>
      </w:r>
    </w:p>
    <w:p>
      <w:pPr>
        <w:pStyle w:val="BodyText"/>
        <w:ind w:hanging="0" w:left="0" w:right="0"/>
        <w:rPr/>
      </w:pPr>
      <w:r>
        <w:rPr>
          <w:color w:val="000000"/>
        </w:rPr>
        <w:t>O Fiscal é responsável por exigir da Contratada o cumprimento das regras estabelecidas no TR e quando for o caso, registrando todas as ocorrências relacionadas, cabendo alçar, por intermédio de seus superiores, à Autoridade Superior àquilo que ultrapassar a sua competência.</w:t>
      </w:r>
    </w:p>
    <w:p>
      <w:pPr>
        <w:pStyle w:val="BodyText"/>
        <w:ind w:hanging="0" w:left="0" w:right="0"/>
        <w:rPr/>
      </w:pPr>
      <w:r>
        <w:rPr>
          <w:color w:val="000000"/>
        </w:rPr>
        <w:t>O Fiscal também é responsável pelo “Atesto” de Notas Fiscais.</w:t>
      </w:r>
    </w:p>
    <w:p>
      <w:pPr>
        <w:pStyle w:val="BodyText"/>
        <w:shd w:fill="E6E6E6" w:val="clear"/>
        <w:ind w:hanging="0" w:left="120" w:right="120"/>
        <w:rPr/>
      </w:pPr>
      <w:r>
        <w:rPr>
          <w:rStyle w:val="Strong"/>
        </w:rPr>
        <w:t>XIII – RESULTADOS ESPERADOS:</w:t>
      </w:r>
    </w:p>
    <w:p>
      <w:pPr>
        <w:pStyle w:val="BodyText"/>
        <w:ind w:hanging="0" w:left="0" w:right="0"/>
        <w:rPr/>
      </w:pPr>
      <w:r>
        <w:rPr/>
        <w:t>Com a aquisição desses bens espera-se proporcionar para o pleno funcionamento administrativo e operacional da SEENEMAR.</w:t>
      </w:r>
    </w:p>
    <w:p>
      <w:pPr>
        <w:pStyle w:val="BodyText"/>
        <w:shd w:fill="E6E6E6" w:val="clear"/>
        <w:ind w:hanging="0" w:left="120" w:right="120"/>
        <w:rPr/>
      </w:pPr>
      <w:r>
        <w:rPr>
          <w:rStyle w:val="Strong"/>
        </w:rPr>
        <w:t>XIV – DISPOSIÇÕES GERAIS:</w:t>
      </w:r>
    </w:p>
    <w:p>
      <w:pPr>
        <w:pStyle w:val="BodyText"/>
        <w:ind w:hanging="0" w:left="0" w:right="0"/>
        <w:rPr/>
      </w:pPr>
      <w:r>
        <w:rPr>
          <w:color w:val="000000"/>
        </w:rPr>
        <w:t>Considerando o valor estimado da contratação a aquisição deverá ser processada por meio </w:t>
      </w:r>
      <w:r>
        <w:rPr>
          <w:color w:val="333333"/>
        </w:rPr>
        <w:t>do processo eletrônico de dispensa no sistema eletrônico de contratações.</w:t>
      </w:r>
    </w:p>
    <w:p>
      <w:pPr>
        <w:pStyle w:val="BodyText"/>
        <w:spacing w:beforeAutospacing="0" w:before="0" w:afterAutospacing="0" w:after="0"/>
        <w:jc w:val="center"/>
        <w:textAlignment w:val="baseline"/>
        <w:rPr>
          <w:rStyle w:val="1n6te"/>
          <w:rFonts w:ascii="Arial" w:hAnsi="Arial" w:eastAsia="" w:eastAsiaTheme="majorEastAsia"/>
          <w:b/>
          <w:bCs/>
          <w:color w:val="1D0E03"/>
        </w:rPr>
      </w:pPr>
      <w:r>
        <w:rPr>
          <w:rFonts w:eastAsia="" w:eastAsiaTheme="majorEastAsia" w:ascii="Arial" w:hAnsi="Arial"/>
          <w:b/>
          <w:bCs/>
          <w:color w:val="1D0E03"/>
        </w:rPr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4"/>
      <w:szCs w:val="24"/>
      <w:lang w:val="pt-BR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har"/>
    <w:uiPriority w:val="9"/>
    <w:qFormat/>
    <w:rsid w:val="00d8454b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d8454b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d8454b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d8454b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d8454b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d8454b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d8454b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d8454b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d8454b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d8454b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d8454b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d8454b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d8454b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har" w:customStyle="1">
    <w:name w:val="Título 5 Char"/>
    <w:basedOn w:val="DefaultParagraphFont"/>
    <w:uiPriority w:val="9"/>
    <w:semiHidden/>
    <w:qFormat/>
    <w:rsid w:val="00d8454b"/>
    <w:rPr>
      <w:rFonts w:eastAsia="" w:cs="" w:cstheme="majorBidi" w:eastAsiaTheme="majorEastAsia"/>
      <w:color w:themeColor="accent1" w:themeShade="bf" w:val="0F4761"/>
    </w:rPr>
  </w:style>
  <w:style w:type="character" w:styleId="Ttulo6Char" w:customStyle="1">
    <w:name w:val="Título 6 Char"/>
    <w:basedOn w:val="DefaultParagraphFont"/>
    <w:uiPriority w:val="9"/>
    <w:semiHidden/>
    <w:qFormat/>
    <w:rsid w:val="00d8454b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d8454b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d8454b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d8454b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d8454b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d8454b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d8454b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d8454b"/>
    <w:rPr>
      <w:i/>
      <w:iCs/>
      <w:color w:themeColor="accent1" w:themeShade="bf" w:val="0F4761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d8454b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d8454b"/>
    <w:rPr>
      <w:b/>
      <w:bCs/>
      <w:smallCaps/>
      <w:color w:themeColor="accent1" w:themeShade="bf" w:val="0F4761"/>
      <w:spacing w:val="5"/>
    </w:rPr>
  </w:style>
  <w:style w:type="character" w:styleId="1n6te" w:customStyle="1">
    <w:name w:val="_1n6te"/>
    <w:basedOn w:val="DefaultParagraphFont"/>
    <w:qFormat/>
    <w:rsid w:val="00d8454b"/>
    <w:rPr/>
  </w:style>
  <w:style w:type="character" w:styleId="Smbolosdenumerao">
    <w:name w:val="Símbolos de numeração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tuloChar"/>
    <w:uiPriority w:val="10"/>
    <w:qFormat/>
    <w:rsid w:val="00d8454b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d8454b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d8454b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d8454b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d845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paragraph" w:styleId="9-o5y" w:customStyle="1">
    <w:name w:val="_9-o5y"/>
    <w:basedOn w:val="Normal"/>
    <w:qFormat/>
    <w:rsid w:val="00d8454b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lang w:eastAsia="pt-BR"/>
      <w14:ligatures w14:val="none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LibreOffice/7.6.6.3$Windows_X86_64 LibreOffice_project/d97b2716a9a4a2ce1391dee1765565ea469b0ae7</Application>
  <AppVersion>15.0000</AppVersion>
  <Pages>4</Pages>
  <Words>998</Words>
  <Characters>5472</Characters>
  <CharactersWithSpaces>6425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2024-03-07T15:17:00Z</dcterms:created>
  <dc:creator>Raimundo Ferreira</dc:creator>
  <dc:description/>
  <dc:language>pt-BR</dc:language>
  <cp:lastModifiedBy/>
  <dcterms:modified xsi:type="dcterms:W3CDTF">2024-11-06T10:32:23Z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