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260007/000493/2026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193/2026</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18"/>
        </w:rPr>
        <w:t> </w:t>
      </w:r>
      <w:r>
        <w:rPr/>
        <w:t>AQUISIÇÃO</w:t>
      </w:r>
      <w:r>
        <w:rPr>
          <w:spacing w:val="29"/>
        </w:rPr>
        <w:t> </w:t>
      </w:r>
      <w:r>
        <w:rPr/>
        <w:t>DE</w:t>
      </w:r>
      <w:r>
        <w:rPr>
          <w:spacing w:val="30"/>
        </w:rPr>
        <w:t> </w:t>
      </w:r>
      <w:r>
        <w:rPr/>
        <w:t>MATERIAL</w:t>
      </w:r>
      <w:r>
        <w:rPr>
          <w:spacing w:val="18"/>
        </w:rPr>
        <w:t> </w:t>
      </w:r>
      <w:r>
        <w:rPr/>
        <w:t>HOSPITALAR</w:t>
      </w:r>
      <w:r>
        <w:rPr>
          <w:spacing w:val="30"/>
        </w:rPr>
        <w:t> </w:t>
      </w:r>
      <w:r>
        <w:rPr/>
        <w:t>(CÂNULA</w:t>
      </w:r>
      <w:r>
        <w:rPr>
          <w:spacing w:val="18"/>
        </w:rPr>
        <w:t> </w:t>
      </w:r>
      <w:r>
        <w:rPr/>
        <w:t>OROFARÍNGEA,</w:t>
      </w:r>
      <w:r>
        <w:rPr>
          <w:spacing w:val="30"/>
        </w:rPr>
        <w:t> </w:t>
      </w:r>
      <w:r>
        <w:rPr/>
        <w:t>ETC)</w:t>
      </w:r>
      <w:r>
        <w:rPr>
          <w:spacing w:val="30"/>
        </w:rPr>
        <w:t> </w:t>
      </w:r>
      <w:r>
        <w:rPr/>
        <w:t>PARA</w:t>
      </w:r>
      <w:r>
        <w:rPr>
          <w:spacing w:val="18"/>
        </w:rPr>
        <w:t> </w:t>
      </w:r>
      <w:r>
        <w:rPr/>
        <w:t>O</w:t>
      </w:r>
      <w:r>
        <w:rPr>
          <w:spacing w:val="29"/>
        </w:rPr>
        <w:t> </w:t>
      </w:r>
      <w:r>
        <w:rPr/>
        <w:t>HOSPITAL</w:t>
      </w:r>
      <w:r>
        <w:rPr>
          <w:spacing w:val="19"/>
        </w:rPr>
        <w:t> </w:t>
      </w:r>
      <w:r>
        <w:rPr>
          <w:spacing w:val="-2"/>
        </w:rPr>
        <w:t>UNIVERSITÁRIO</w:t>
      </w:r>
    </w:p>
    <w:p>
      <w:pPr>
        <w:spacing w:line="273" w:lineRule="exact" w:before="0"/>
        <w:ind w:left="449" w:right="0" w:firstLine="0"/>
        <w:jc w:val="left"/>
        <w:rPr>
          <w:b/>
          <w:sz w:val="24"/>
        </w:rPr>
      </w:pPr>
      <w:r>
        <w:rPr>
          <w:b/>
          <w:sz w:val="24"/>
        </w:rPr>
        <w:t>PEDRO</w:t>
      </w:r>
      <w:r>
        <w:rPr>
          <w:b/>
          <w:spacing w:val="-1"/>
          <w:sz w:val="24"/>
        </w:rPr>
        <w:t> </w:t>
      </w:r>
      <w:r>
        <w:rPr>
          <w:b/>
          <w:sz w:val="24"/>
        </w:rPr>
        <w:t>ERNESTO,</w:t>
      </w:r>
      <w:r>
        <w:rPr>
          <w:b/>
          <w:spacing w:val="-1"/>
          <w:sz w:val="24"/>
        </w:rPr>
        <w:t> </w:t>
      </w:r>
      <w:r>
        <w:rPr>
          <w:b/>
          <w:sz w:val="24"/>
        </w:rPr>
        <w:t>na forma</w:t>
      </w:r>
      <w:r>
        <w:rPr>
          <w:b/>
          <w:spacing w:val="-1"/>
          <w:sz w:val="24"/>
        </w:rPr>
        <w:t> </w:t>
      </w:r>
      <w:r>
        <w:rPr>
          <w:b/>
          <w:sz w:val="24"/>
        </w:rPr>
        <w:t>estabelecida 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229.981,65 (</w:t>
      </w:r>
      <w:r>
        <w:rPr>
          <w:b/>
          <w:color w:val="333333"/>
          <w:sz w:val="24"/>
        </w:rPr>
        <w:t>duzentos e</w:t>
      </w:r>
      <w:r>
        <w:rPr>
          <w:b/>
          <w:color w:val="333333"/>
          <w:spacing w:val="-1"/>
          <w:sz w:val="24"/>
        </w:rPr>
        <w:t> </w:t>
      </w:r>
      <w:r>
        <w:rPr>
          <w:b/>
          <w:color w:val="333333"/>
          <w:sz w:val="24"/>
        </w:rPr>
        <w:t>vinte e nove mil</w:t>
      </w:r>
      <w:r>
        <w:rPr>
          <w:b/>
          <w:color w:val="333333"/>
          <w:spacing w:val="-1"/>
          <w:sz w:val="24"/>
        </w:rPr>
        <w:t> </w:t>
      </w:r>
      <w:r>
        <w:rPr>
          <w:b/>
          <w:color w:val="333333"/>
          <w:sz w:val="24"/>
        </w:rPr>
        <w:t>e novecentos e oitenta</w:t>
      </w:r>
      <w:r>
        <w:rPr>
          <w:b/>
          <w:color w:val="333333"/>
          <w:spacing w:val="-1"/>
          <w:sz w:val="24"/>
        </w:rPr>
        <w:t> </w:t>
      </w:r>
      <w:r>
        <w:rPr>
          <w:b/>
          <w:color w:val="333333"/>
          <w:sz w:val="24"/>
        </w:rPr>
        <w:t>e um reais e</w:t>
      </w:r>
      <w:r>
        <w:rPr>
          <w:b/>
          <w:color w:val="333333"/>
          <w:spacing w:val="-1"/>
          <w:sz w:val="24"/>
        </w:rPr>
        <w:t> </w:t>
      </w:r>
      <w:r>
        <w:rPr>
          <w:b/>
          <w:color w:val="333333"/>
          <w:sz w:val="24"/>
        </w:rPr>
        <w:t>sessenta e cinco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29/06/2026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98"/>
        <w:ind w:left="0"/>
        <w:rPr>
          <w:b/>
        </w:rPr>
      </w:pPr>
    </w:p>
    <w:p>
      <w:pPr>
        <w:pStyle w:val="Title"/>
        <w:spacing w:line="446"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193/2026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SEI-260007/000493/2026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162" w:val="left" w:leader="none"/>
        </w:tabs>
        <w:spacing w:line="235" w:lineRule="auto" w:before="0"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MATERIAL</w:t>
      </w:r>
      <w:r>
        <w:rPr>
          <w:b/>
          <w:spacing w:val="37"/>
          <w:sz w:val="24"/>
        </w:rPr>
        <w:t> </w:t>
      </w:r>
      <w:r>
        <w:rPr>
          <w:b/>
          <w:sz w:val="24"/>
        </w:rPr>
        <w:t>HOSPITALAR</w:t>
      </w:r>
      <w:r>
        <w:rPr>
          <w:b/>
          <w:spacing w:val="40"/>
          <w:sz w:val="24"/>
        </w:rPr>
        <w:t> </w:t>
      </w:r>
      <w:r>
        <w:rPr>
          <w:b/>
          <w:sz w:val="24"/>
        </w:rPr>
        <w:t>(CÂNULA</w:t>
      </w:r>
      <w:r>
        <w:rPr>
          <w:b/>
          <w:spacing w:val="37"/>
          <w:sz w:val="24"/>
        </w:rPr>
        <w:t> </w:t>
      </w:r>
      <w:r>
        <w:rPr>
          <w:b/>
          <w:sz w:val="24"/>
        </w:rPr>
        <w:t>OROFARÍNGEA,</w:t>
      </w:r>
      <w:r>
        <w:rPr>
          <w:b/>
          <w:spacing w:val="40"/>
          <w:sz w:val="24"/>
        </w:rPr>
        <w:t> </w:t>
      </w:r>
      <w:r>
        <w:rPr>
          <w:b/>
          <w:sz w:val="24"/>
        </w:rPr>
        <w:t>ETC)</w:t>
      </w:r>
      <w:r>
        <w:rPr>
          <w:b/>
          <w:spacing w:val="40"/>
          <w:sz w:val="24"/>
        </w:rPr>
        <w:t> </w:t>
      </w:r>
      <w:r>
        <w:rPr>
          <w:b/>
          <w:sz w:val="24"/>
        </w:rPr>
        <w:t>PARA</w:t>
      </w:r>
      <w:r>
        <w:rPr>
          <w:b/>
          <w:spacing w:val="37"/>
          <w:sz w:val="24"/>
        </w:rPr>
        <w:t> </w:t>
      </w:r>
      <w:r>
        <w:rPr>
          <w:b/>
          <w:sz w:val="24"/>
        </w:rPr>
        <w:t>O HOSPITAL</w:t>
      </w:r>
      <w:r>
        <w:rPr>
          <w:b/>
          <w:spacing w:val="-7"/>
          <w:sz w:val="24"/>
        </w:rPr>
        <w:t> </w:t>
      </w:r>
      <w:r>
        <w:rPr>
          <w:b/>
          <w:sz w:val="24"/>
        </w:rPr>
        <w:t>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right="86"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1</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 orofaríngea (Guedel), em PVC, </w:t>
            </w:r>
            <w:r>
              <w:rPr>
                <w:sz w:val="24"/>
              </w:rPr>
              <w:t>nº 00,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182787</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144</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4,0000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1462" w:hRule="atLeast"/>
        </w:trPr>
        <w:tc>
          <w:tcPr>
            <w:tcW w:w="915" w:type="dxa"/>
            <w:tcBorders>
              <w:bottom w:val="nil"/>
            </w:tcBorders>
          </w:tcPr>
          <w:p>
            <w:pPr>
              <w:pStyle w:val="TableParagraph"/>
              <w:spacing w:line="262" w:lineRule="exact"/>
              <w:ind w:left="13"/>
              <w:jc w:val="center"/>
              <w:rPr>
                <w:sz w:val="24"/>
              </w:rPr>
            </w:pPr>
            <w:r>
              <w:rPr>
                <w:spacing w:val="-10"/>
                <w:sz w:val="24"/>
              </w:rPr>
              <w:t>2</w:t>
            </w:r>
          </w:p>
        </w:tc>
        <w:tc>
          <w:tcPr>
            <w:tcW w:w="4500" w:type="dxa"/>
            <w:tcBorders>
              <w:bottom w:val="nil"/>
            </w:tcBorders>
          </w:tcPr>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0,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Borders>
              <w:bottom w:val="nil"/>
            </w:tcBorders>
          </w:tcPr>
          <w:p>
            <w:pPr>
              <w:pStyle w:val="TableParagraph"/>
              <w:spacing w:line="262" w:lineRule="exact"/>
              <w:ind w:left="19"/>
              <w:jc w:val="center"/>
              <w:rPr>
                <w:sz w:val="24"/>
              </w:rPr>
            </w:pPr>
            <w:r>
              <w:rPr>
                <w:spacing w:val="-4"/>
                <w:sz w:val="24"/>
              </w:rPr>
              <w:t>2998</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156</w:t>
            </w:r>
          </w:p>
        </w:tc>
        <w:tc>
          <w:tcPr>
            <w:tcW w:w="1530" w:type="dxa"/>
            <w:tcBorders>
              <w:bottom w:val="nil"/>
            </w:tcBorders>
          </w:tcPr>
          <w:p>
            <w:pPr>
              <w:pStyle w:val="TableParagraph"/>
              <w:spacing w:line="262" w:lineRule="exact"/>
              <w:ind w:left="21" w:right="3"/>
              <w:jc w:val="center"/>
              <w:rPr>
                <w:sz w:val="24"/>
              </w:rPr>
            </w:pPr>
            <w:r>
              <w:rPr>
                <w:spacing w:val="-2"/>
                <w:sz w:val="24"/>
              </w:rPr>
              <w:t>4,5300</w:t>
            </w:r>
          </w:p>
        </w:tc>
        <w:tc>
          <w:tcPr>
            <w:tcW w:w="2190" w:type="dxa"/>
            <w:tcBorders>
              <w:bottom w:val="nil"/>
            </w:tcBorders>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809" w:hRule="atLeast"/>
        </w:trPr>
        <w:tc>
          <w:tcPr>
            <w:tcW w:w="915" w:type="dxa"/>
            <w:tcBorders>
              <w:top w:val="nil"/>
            </w:tcBorders>
          </w:tcPr>
          <w:p>
            <w:pPr>
              <w:pStyle w:val="TableParagraph"/>
              <w:rPr>
                <w:sz w:val="24"/>
              </w:rPr>
            </w:pPr>
          </w:p>
        </w:tc>
        <w:tc>
          <w:tcPr>
            <w:tcW w:w="4500" w:type="dxa"/>
            <w:tcBorders>
              <w:top w:val="nil"/>
            </w:tcBorders>
          </w:tcPr>
          <w:p>
            <w:pPr>
              <w:pStyle w:val="TableParagraph"/>
              <w:rPr>
                <w:sz w:val="24"/>
              </w:rPr>
            </w:pP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476"/>
              <w:rPr>
                <w:sz w:val="24"/>
              </w:rPr>
            </w:pPr>
            <w:r>
              <w:rPr>
                <w:sz w:val="24"/>
              </w:rPr>
              <w:t>Isabel, Rio de Janeiro/RJ,</w:t>
            </w:r>
            <w:r>
              <w:rPr>
                <w:spacing w:val="-15"/>
                <w:sz w:val="24"/>
              </w:rPr>
              <w:t> </w:t>
            </w:r>
            <w:r>
              <w:rPr>
                <w:sz w:val="24"/>
              </w:rPr>
              <w:t>CEP</w:t>
            </w:r>
          </w:p>
          <w:p>
            <w:pPr>
              <w:pStyle w:val="TableParagraph"/>
              <w:spacing w:line="259"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3</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1,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3001</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552</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4,0500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4</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2,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3002</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552</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4,1600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5</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3,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3003</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12.000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4,4000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6</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4,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3004</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24.000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3,9900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7</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5,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3005</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12.000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3,5000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10"/>
                <w:sz w:val="24"/>
              </w:rPr>
              <w:t>8</w:t>
            </w:r>
          </w:p>
        </w:tc>
        <w:tc>
          <w:tcPr>
            <w:tcW w:w="4500" w:type="dxa"/>
          </w:tcPr>
          <w:p>
            <w:pPr>
              <w:pStyle w:val="TableParagraph"/>
              <w:spacing w:before="254"/>
              <w:rPr>
                <w:sz w:val="24"/>
              </w:rPr>
            </w:pPr>
          </w:p>
          <w:p>
            <w:pPr>
              <w:pStyle w:val="TableParagraph"/>
              <w:spacing w:line="235" w:lineRule="auto"/>
              <w:ind w:left="111" w:right="91"/>
              <w:jc w:val="both"/>
              <w:rPr>
                <w:sz w:val="24"/>
              </w:rPr>
            </w:pPr>
            <w:r>
              <w:rPr>
                <w:sz w:val="24"/>
              </w:rPr>
              <w:t>Cânula</w:t>
            </w:r>
            <w:r>
              <w:rPr>
                <w:spacing w:val="-2"/>
                <w:sz w:val="24"/>
              </w:rPr>
              <w:t> </w:t>
            </w:r>
            <w:r>
              <w:rPr>
                <w:sz w:val="24"/>
              </w:rPr>
              <w:t>orofaríngea</w:t>
            </w:r>
            <w:r>
              <w:rPr>
                <w:spacing w:val="-2"/>
                <w:sz w:val="24"/>
              </w:rPr>
              <w:t> </w:t>
            </w:r>
            <w:r>
              <w:rPr>
                <w:sz w:val="24"/>
              </w:rPr>
              <w:t>(Guedel),</w:t>
            </w:r>
            <w:r>
              <w:rPr>
                <w:spacing w:val="-2"/>
                <w:sz w:val="24"/>
              </w:rPr>
              <w:t> </w:t>
            </w:r>
            <w:r>
              <w:rPr>
                <w:sz w:val="24"/>
              </w:rPr>
              <w:t>em</w:t>
            </w:r>
            <w:r>
              <w:rPr>
                <w:spacing w:val="-2"/>
                <w:sz w:val="24"/>
              </w:rPr>
              <w:t> </w:t>
            </w:r>
            <w:r>
              <w:rPr>
                <w:sz w:val="24"/>
              </w:rPr>
              <w:t>PVC,</w:t>
            </w:r>
            <w:r>
              <w:rPr>
                <w:spacing w:val="-2"/>
                <w:sz w:val="24"/>
              </w:rPr>
              <w:t> </w:t>
            </w:r>
            <w:r>
              <w:rPr>
                <w:sz w:val="24"/>
              </w:rPr>
              <w:t>nº</w:t>
            </w:r>
            <w:r>
              <w:rPr>
                <w:spacing w:val="-2"/>
                <w:sz w:val="24"/>
              </w:rPr>
              <w:t> </w:t>
            </w:r>
            <w:r>
              <w:rPr>
                <w:sz w:val="24"/>
              </w:rPr>
              <w:t>6, estéril, atóxica, flexível, isenta de látex. Orifício</w:t>
            </w:r>
            <w:r>
              <w:rPr>
                <w:spacing w:val="-4"/>
                <w:sz w:val="24"/>
              </w:rPr>
              <w:t> </w:t>
            </w:r>
            <w:r>
              <w:rPr>
                <w:sz w:val="24"/>
              </w:rPr>
              <w:t>central</w:t>
            </w:r>
            <w:r>
              <w:rPr>
                <w:spacing w:val="-4"/>
                <w:sz w:val="24"/>
              </w:rPr>
              <w:t> </w:t>
            </w:r>
            <w:r>
              <w:rPr>
                <w:sz w:val="24"/>
              </w:rPr>
              <w:t>que</w:t>
            </w:r>
            <w:r>
              <w:rPr>
                <w:spacing w:val="-4"/>
                <w:sz w:val="24"/>
              </w:rPr>
              <w:t> </w:t>
            </w:r>
            <w:r>
              <w:rPr>
                <w:sz w:val="24"/>
              </w:rPr>
              <w:t>garanta</w:t>
            </w:r>
            <w:r>
              <w:rPr>
                <w:spacing w:val="-4"/>
                <w:sz w:val="24"/>
              </w:rPr>
              <w:t> </w:t>
            </w:r>
            <w:r>
              <w:rPr>
                <w:sz w:val="24"/>
              </w:rPr>
              <w:t>boa</w:t>
            </w:r>
            <w:r>
              <w:rPr>
                <w:spacing w:val="-4"/>
                <w:sz w:val="24"/>
              </w:rPr>
              <w:t> </w:t>
            </w:r>
            <w:r>
              <w:rPr>
                <w:sz w:val="24"/>
              </w:rPr>
              <w:t>ventilação</w:t>
            </w:r>
            <w:r>
              <w:rPr>
                <w:spacing w:val="-4"/>
                <w:sz w:val="24"/>
              </w:rPr>
              <w:t> </w:t>
            </w:r>
            <w:r>
              <w:rPr>
                <w:sz w:val="24"/>
              </w:rPr>
              <w:t>e borda de segurança.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4"/>
                <w:sz w:val="24"/>
              </w:rPr>
              <w:t>3000</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2.760</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3,7600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w:t>
            </w:r>
          </w:p>
          <w:p>
            <w:pPr>
              <w:pStyle w:val="TableParagraph"/>
              <w:spacing w:line="270" w:lineRule="exact"/>
              <w:ind w:left="120" w:right="478"/>
              <w:rPr>
                <w:sz w:val="24"/>
              </w:rPr>
            </w:pPr>
            <w:r>
              <w:rPr>
                <w:sz w:val="24"/>
              </w:rPr>
              <w:t>Janeiro/RJ,</w:t>
            </w:r>
            <w:r>
              <w:rPr>
                <w:spacing w:val="-15"/>
                <w:sz w:val="24"/>
              </w:rPr>
              <w:t> </w:t>
            </w:r>
            <w:r>
              <w:rPr>
                <w:sz w:val="24"/>
              </w:rPr>
              <w:t>CEP </w:t>
            </w:r>
            <w:r>
              <w:rPr>
                <w:spacing w:val="-2"/>
                <w:sz w:val="24"/>
              </w:rPr>
              <w:t>20.551-030.</w:t>
            </w:r>
          </w:p>
        </w:tc>
      </w:tr>
      <w:tr>
        <w:trPr>
          <w:trHeight w:val="2156" w:hRule="atLeast"/>
        </w:trPr>
        <w:tc>
          <w:tcPr>
            <w:tcW w:w="915" w:type="dxa"/>
          </w:tcPr>
          <w:p>
            <w:pPr>
              <w:pStyle w:val="TableParagraph"/>
              <w:rPr>
                <w:sz w:val="24"/>
              </w:rPr>
            </w:pPr>
          </w:p>
          <w:p>
            <w:pPr>
              <w:pStyle w:val="TableParagraph"/>
              <w:rPr>
                <w:sz w:val="24"/>
              </w:rPr>
            </w:pPr>
          </w:p>
          <w:p>
            <w:pPr>
              <w:pStyle w:val="TableParagraph"/>
              <w:spacing w:before="100"/>
              <w:rPr>
                <w:sz w:val="24"/>
              </w:rPr>
            </w:pPr>
          </w:p>
          <w:p>
            <w:pPr>
              <w:pStyle w:val="TableParagraph"/>
              <w:ind w:left="13"/>
              <w:jc w:val="center"/>
              <w:rPr>
                <w:sz w:val="24"/>
              </w:rPr>
            </w:pPr>
            <w:r>
              <w:rPr>
                <w:spacing w:val="-10"/>
                <w:sz w:val="24"/>
              </w:rPr>
              <w:t>9</w:t>
            </w:r>
          </w:p>
        </w:tc>
        <w:tc>
          <w:tcPr>
            <w:tcW w:w="4500" w:type="dxa"/>
          </w:tcPr>
          <w:p>
            <w:pPr>
              <w:pStyle w:val="TableParagraph"/>
              <w:rPr>
                <w:sz w:val="24"/>
              </w:rPr>
            </w:pPr>
          </w:p>
          <w:p>
            <w:pPr>
              <w:pStyle w:val="TableParagraph"/>
              <w:spacing w:before="110"/>
              <w:rPr>
                <w:sz w:val="24"/>
              </w:rPr>
            </w:pPr>
          </w:p>
          <w:p>
            <w:pPr>
              <w:pStyle w:val="TableParagraph"/>
              <w:spacing w:line="235" w:lineRule="auto"/>
              <w:ind w:left="111" w:right="91"/>
              <w:jc w:val="both"/>
              <w:rPr>
                <w:sz w:val="24"/>
              </w:rPr>
            </w:pPr>
            <w:r>
              <w:rPr>
                <w:sz w:val="24"/>
              </w:rPr>
              <w:t>Máscara laríngea em PVC, nº 1,0,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0"/>
              <w:rPr>
                <w:sz w:val="24"/>
              </w:rPr>
            </w:pPr>
          </w:p>
          <w:p>
            <w:pPr>
              <w:pStyle w:val="TableParagraph"/>
              <w:ind w:left="19"/>
              <w:jc w:val="center"/>
              <w:rPr>
                <w:sz w:val="24"/>
              </w:rPr>
            </w:pPr>
            <w:r>
              <w:rPr>
                <w:spacing w:val="-2"/>
                <w:sz w:val="24"/>
              </w:rPr>
              <w:t>114475</w:t>
            </w:r>
          </w:p>
        </w:tc>
        <w:tc>
          <w:tcPr>
            <w:tcW w:w="1350" w:type="dxa"/>
          </w:tcPr>
          <w:p>
            <w:pPr>
              <w:pStyle w:val="TableParagraph"/>
              <w:rPr>
                <w:sz w:val="24"/>
              </w:rPr>
            </w:pPr>
          </w:p>
          <w:p>
            <w:pPr>
              <w:pStyle w:val="TableParagraph"/>
              <w:rPr>
                <w:sz w:val="24"/>
              </w:rPr>
            </w:pPr>
          </w:p>
          <w:p>
            <w:pPr>
              <w:pStyle w:val="TableParagraph"/>
              <w:spacing w:before="100"/>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0"/>
              <w:rPr>
                <w:sz w:val="24"/>
              </w:rPr>
            </w:pPr>
          </w:p>
          <w:p>
            <w:pPr>
              <w:pStyle w:val="TableParagraph"/>
              <w:ind w:left="11"/>
              <w:jc w:val="center"/>
              <w:rPr>
                <w:sz w:val="24"/>
              </w:rPr>
            </w:pPr>
            <w:r>
              <w:rPr>
                <w:spacing w:val="-5"/>
                <w:sz w:val="24"/>
              </w:rPr>
              <w:t>77</w:t>
            </w:r>
          </w:p>
        </w:tc>
        <w:tc>
          <w:tcPr>
            <w:tcW w:w="1530" w:type="dxa"/>
          </w:tcPr>
          <w:p>
            <w:pPr>
              <w:pStyle w:val="TableParagraph"/>
              <w:rPr>
                <w:sz w:val="24"/>
              </w:rPr>
            </w:pPr>
          </w:p>
          <w:p>
            <w:pPr>
              <w:pStyle w:val="TableParagraph"/>
              <w:rPr>
                <w:sz w:val="24"/>
              </w:rPr>
            </w:pPr>
          </w:p>
          <w:p>
            <w:pPr>
              <w:pStyle w:val="TableParagraph"/>
              <w:spacing w:before="100"/>
              <w:rPr>
                <w:sz w:val="24"/>
              </w:rPr>
            </w:pPr>
          </w:p>
          <w:p>
            <w:pPr>
              <w:pStyle w:val="TableParagraph"/>
              <w:ind w:left="21" w:right="3"/>
              <w:jc w:val="center"/>
              <w:rPr>
                <w:sz w:val="24"/>
              </w:rPr>
            </w:pPr>
            <w:r>
              <w:rPr>
                <w:spacing w:val="-2"/>
                <w:sz w:val="24"/>
              </w:rPr>
              <w:t>25,1050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5"/>
                <w:sz w:val="24"/>
              </w:rPr>
              <w:t>10</w:t>
            </w:r>
          </w:p>
        </w:tc>
        <w:tc>
          <w:tcPr>
            <w:tcW w:w="4500" w:type="dxa"/>
          </w:tcPr>
          <w:p>
            <w:pPr>
              <w:pStyle w:val="TableParagraph"/>
              <w:rPr>
                <w:sz w:val="24"/>
              </w:rPr>
            </w:pPr>
          </w:p>
          <w:p>
            <w:pPr>
              <w:pStyle w:val="TableParagraph"/>
              <w:spacing w:before="113"/>
              <w:rPr>
                <w:sz w:val="24"/>
              </w:rPr>
            </w:pPr>
          </w:p>
          <w:p>
            <w:pPr>
              <w:pStyle w:val="TableParagraph"/>
              <w:spacing w:line="235" w:lineRule="auto"/>
              <w:ind w:left="111" w:right="91"/>
              <w:jc w:val="both"/>
              <w:rPr>
                <w:sz w:val="24"/>
              </w:rPr>
            </w:pPr>
            <w:r>
              <w:rPr>
                <w:sz w:val="24"/>
              </w:rPr>
              <w:t>Máscara laríngea em PVC, nº 1,5,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160748</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106</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24,1900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5"/>
                <w:sz w:val="24"/>
              </w:rPr>
              <w:t>11</w:t>
            </w:r>
          </w:p>
        </w:tc>
        <w:tc>
          <w:tcPr>
            <w:tcW w:w="4500" w:type="dxa"/>
          </w:tcPr>
          <w:p>
            <w:pPr>
              <w:pStyle w:val="TableParagraph"/>
              <w:rPr>
                <w:sz w:val="24"/>
              </w:rPr>
            </w:pPr>
          </w:p>
          <w:p>
            <w:pPr>
              <w:pStyle w:val="TableParagraph"/>
              <w:spacing w:before="113"/>
              <w:rPr>
                <w:sz w:val="24"/>
              </w:rPr>
            </w:pPr>
          </w:p>
          <w:p>
            <w:pPr>
              <w:pStyle w:val="TableParagraph"/>
              <w:spacing w:line="235" w:lineRule="auto"/>
              <w:ind w:left="111" w:right="91"/>
              <w:jc w:val="both"/>
              <w:rPr>
                <w:sz w:val="24"/>
              </w:rPr>
            </w:pPr>
            <w:r>
              <w:rPr>
                <w:sz w:val="24"/>
              </w:rPr>
              <w:t>Máscara laríngea em PVC, nº 2,0,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114476</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158</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27,2900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5"/>
                <w:sz w:val="24"/>
              </w:rPr>
              <w:t>12</w:t>
            </w:r>
          </w:p>
        </w:tc>
        <w:tc>
          <w:tcPr>
            <w:tcW w:w="4500" w:type="dxa"/>
          </w:tcPr>
          <w:p>
            <w:pPr>
              <w:pStyle w:val="TableParagraph"/>
              <w:rPr>
                <w:sz w:val="24"/>
              </w:rPr>
            </w:pPr>
          </w:p>
          <w:p>
            <w:pPr>
              <w:pStyle w:val="TableParagraph"/>
              <w:spacing w:before="113"/>
              <w:rPr>
                <w:sz w:val="24"/>
              </w:rPr>
            </w:pPr>
          </w:p>
          <w:p>
            <w:pPr>
              <w:pStyle w:val="TableParagraph"/>
              <w:spacing w:line="235" w:lineRule="auto"/>
              <w:ind w:left="111" w:right="91"/>
              <w:jc w:val="both"/>
              <w:rPr>
                <w:sz w:val="24"/>
              </w:rPr>
            </w:pPr>
            <w:r>
              <w:rPr>
                <w:sz w:val="24"/>
              </w:rPr>
              <w:t>Máscara laríngea em PVC, nº 2,5,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160988</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156</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26,0000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772" w:hRule="atLeast"/>
        </w:trPr>
        <w:tc>
          <w:tcPr>
            <w:tcW w:w="915" w:type="dxa"/>
            <w:tcBorders>
              <w:bottom w:val="nil"/>
            </w:tcBorders>
          </w:tcPr>
          <w:p>
            <w:pPr>
              <w:pStyle w:val="TableParagraph"/>
              <w:spacing w:line="262" w:lineRule="exact"/>
              <w:ind w:left="13"/>
              <w:jc w:val="center"/>
              <w:rPr>
                <w:sz w:val="24"/>
              </w:rPr>
            </w:pPr>
            <w:r>
              <w:rPr>
                <w:spacing w:val="-5"/>
                <w:sz w:val="24"/>
              </w:rPr>
              <w:t>13</w:t>
            </w:r>
          </w:p>
        </w:tc>
        <w:tc>
          <w:tcPr>
            <w:tcW w:w="4500" w:type="dxa"/>
            <w:tcBorders>
              <w:bottom w:val="nil"/>
            </w:tcBorders>
          </w:tcPr>
          <w:p>
            <w:pPr>
              <w:pStyle w:val="TableParagraph"/>
              <w:spacing w:line="235" w:lineRule="auto"/>
              <w:ind w:left="111" w:right="86"/>
              <w:rPr>
                <w:sz w:val="24"/>
              </w:rPr>
            </w:pPr>
            <w:r>
              <w:rPr>
                <w:sz w:val="24"/>
              </w:rPr>
              <w:t>Máscara</w:t>
            </w:r>
            <w:r>
              <w:rPr>
                <w:spacing w:val="28"/>
                <w:sz w:val="24"/>
              </w:rPr>
              <w:t> </w:t>
            </w:r>
            <w:r>
              <w:rPr>
                <w:sz w:val="24"/>
              </w:rPr>
              <w:t>laríngea</w:t>
            </w:r>
            <w:r>
              <w:rPr>
                <w:spacing w:val="28"/>
                <w:sz w:val="24"/>
              </w:rPr>
              <w:t> </w:t>
            </w:r>
            <w:r>
              <w:rPr>
                <w:sz w:val="24"/>
              </w:rPr>
              <w:t>em</w:t>
            </w:r>
            <w:r>
              <w:rPr>
                <w:spacing w:val="28"/>
                <w:sz w:val="24"/>
              </w:rPr>
              <w:t> </w:t>
            </w:r>
            <w:r>
              <w:rPr>
                <w:sz w:val="24"/>
              </w:rPr>
              <w:t>PVC,</w:t>
            </w:r>
            <w:r>
              <w:rPr>
                <w:spacing w:val="28"/>
                <w:sz w:val="24"/>
              </w:rPr>
              <w:t> </w:t>
            </w:r>
            <w:r>
              <w:rPr>
                <w:sz w:val="24"/>
              </w:rPr>
              <w:t>nº</w:t>
            </w:r>
            <w:r>
              <w:rPr>
                <w:spacing w:val="28"/>
                <w:sz w:val="24"/>
              </w:rPr>
              <w:t> </w:t>
            </w:r>
            <w:r>
              <w:rPr>
                <w:sz w:val="24"/>
              </w:rPr>
              <w:t>3,0,</w:t>
            </w:r>
            <w:r>
              <w:rPr>
                <w:spacing w:val="28"/>
                <w:sz w:val="24"/>
              </w:rPr>
              <w:t> </w:t>
            </w:r>
            <w:r>
              <w:rPr>
                <w:sz w:val="24"/>
              </w:rPr>
              <w:t>atóxica, com</w:t>
            </w:r>
            <w:r>
              <w:rPr>
                <w:spacing w:val="71"/>
                <w:sz w:val="24"/>
              </w:rPr>
              <w:t> </w:t>
            </w:r>
            <w:r>
              <w:rPr>
                <w:sz w:val="24"/>
              </w:rPr>
              <w:t>marcação</w:t>
            </w:r>
            <w:r>
              <w:rPr>
                <w:spacing w:val="71"/>
                <w:sz w:val="24"/>
              </w:rPr>
              <w:t> </w:t>
            </w:r>
            <w:r>
              <w:rPr>
                <w:sz w:val="24"/>
              </w:rPr>
              <w:t>linear,</w:t>
            </w:r>
            <w:r>
              <w:rPr>
                <w:spacing w:val="72"/>
                <w:sz w:val="24"/>
              </w:rPr>
              <w:t> </w:t>
            </w:r>
            <w:r>
              <w:rPr>
                <w:sz w:val="24"/>
              </w:rPr>
              <w:t>isenta</w:t>
            </w:r>
            <w:r>
              <w:rPr>
                <w:spacing w:val="71"/>
                <w:sz w:val="24"/>
              </w:rPr>
              <w:t> </w:t>
            </w:r>
            <w:r>
              <w:rPr>
                <w:sz w:val="24"/>
              </w:rPr>
              <w:t>do</w:t>
            </w:r>
            <w:r>
              <w:rPr>
                <w:spacing w:val="71"/>
                <w:sz w:val="24"/>
              </w:rPr>
              <w:t> </w:t>
            </w:r>
            <w:r>
              <w:rPr>
                <w:sz w:val="24"/>
              </w:rPr>
              <w:t>de</w:t>
            </w:r>
            <w:r>
              <w:rPr>
                <w:spacing w:val="72"/>
                <w:sz w:val="24"/>
              </w:rPr>
              <w:t> </w:t>
            </w:r>
            <w:r>
              <w:rPr>
                <w:spacing w:val="-2"/>
                <w:sz w:val="24"/>
              </w:rPr>
              <w:t>látex,</w:t>
            </w:r>
          </w:p>
        </w:tc>
        <w:tc>
          <w:tcPr>
            <w:tcW w:w="960" w:type="dxa"/>
            <w:tcBorders>
              <w:bottom w:val="nil"/>
            </w:tcBorders>
          </w:tcPr>
          <w:p>
            <w:pPr>
              <w:pStyle w:val="TableParagraph"/>
              <w:spacing w:line="262" w:lineRule="exact"/>
              <w:ind w:left="19"/>
              <w:jc w:val="center"/>
              <w:rPr>
                <w:sz w:val="24"/>
              </w:rPr>
            </w:pPr>
            <w:r>
              <w:rPr>
                <w:spacing w:val="-2"/>
                <w:sz w:val="24"/>
              </w:rPr>
              <w:t>114477</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108</w:t>
            </w:r>
          </w:p>
        </w:tc>
        <w:tc>
          <w:tcPr>
            <w:tcW w:w="1530" w:type="dxa"/>
            <w:tcBorders>
              <w:bottom w:val="nil"/>
            </w:tcBorders>
          </w:tcPr>
          <w:p>
            <w:pPr>
              <w:pStyle w:val="TableParagraph"/>
              <w:spacing w:line="262" w:lineRule="exact"/>
              <w:ind w:left="21" w:right="3"/>
              <w:jc w:val="center"/>
              <w:rPr>
                <w:sz w:val="24"/>
              </w:rPr>
            </w:pPr>
            <w:r>
              <w:rPr>
                <w:spacing w:val="-2"/>
                <w:sz w:val="24"/>
              </w:rPr>
              <w:t>27,2200</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61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62" w:lineRule="exact"/>
              <w:ind w:left="111"/>
              <w:rPr>
                <w:sz w:val="24"/>
              </w:rPr>
            </w:pPr>
            <w:r>
              <w:rPr>
                <w:sz w:val="24"/>
              </w:rPr>
              <w:t>estéril, </w:t>
            </w:r>
            <w:r>
              <w:rPr>
                <w:spacing w:val="-2"/>
                <w:sz w:val="24"/>
              </w:rPr>
              <w:t>descartável.</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1"/>
              <w:rPr>
                <w:sz w:val="24"/>
              </w:rPr>
            </w:pPr>
            <w:r>
              <w:rPr>
                <w:sz w:val="24"/>
              </w:rPr>
              <w:t>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7"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5"/>
                <w:sz w:val="24"/>
              </w:rPr>
              <w:t>14</w:t>
            </w:r>
          </w:p>
        </w:tc>
        <w:tc>
          <w:tcPr>
            <w:tcW w:w="4500" w:type="dxa"/>
          </w:tcPr>
          <w:p>
            <w:pPr>
              <w:pStyle w:val="TableParagraph"/>
              <w:rPr>
                <w:sz w:val="24"/>
              </w:rPr>
            </w:pPr>
          </w:p>
          <w:p>
            <w:pPr>
              <w:pStyle w:val="TableParagraph"/>
              <w:spacing w:before="113"/>
              <w:rPr>
                <w:sz w:val="24"/>
              </w:rPr>
            </w:pPr>
          </w:p>
          <w:p>
            <w:pPr>
              <w:pStyle w:val="TableParagraph"/>
              <w:spacing w:line="235" w:lineRule="auto"/>
              <w:ind w:left="111" w:right="91"/>
              <w:jc w:val="both"/>
              <w:rPr>
                <w:sz w:val="24"/>
              </w:rPr>
            </w:pPr>
            <w:r>
              <w:rPr>
                <w:sz w:val="24"/>
              </w:rPr>
              <w:t>Máscara laríngea em PVC, nº 4,0,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114478</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139</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29,4400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r>
        <w:trPr>
          <w:trHeight w:val="2159" w:hRule="atLeast"/>
        </w:trPr>
        <w:tc>
          <w:tcPr>
            <w:tcW w:w="915" w:type="dxa"/>
          </w:tcPr>
          <w:p>
            <w:pPr>
              <w:pStyle w:val="TableParagraph"/>
              <w:rPr>
                <w:sz w:val="24"/>
              </w:rPr>
            </w:pPr>
          </w:p>
          <w:p>
            <w:pPr>
              <w:pStyle w:val="TableParagraph"/>
              <w:rPr>
                <w:sz w:val="24"/>
              </w:rPr>
            </w:pPr>
          </w:p>
          <w:p>
            <w:pPr>
              <w:pStyle w:val="TableParagraph"/>
              <w:spacing w:before="103"/>
              <w:rPr>
                <w:sz w:val="24"/>
              </w:rPr>
            </w:pPr>
          </w:p>
          <w:p>
            <w:pPr>
              <w:pStyle w:val="TableParagraph"/>
              <w:ind w:left="13"/>
              <w:jc w:val="center"/>
              <w:rPr>
                <w:sz w:val="24"/>
              </w:rPr>
            </w:pPr>
            <w:r>
              <w:rPr>
                <w:spacing w:val="-5"/>
                <w:sz w:val="24"/>
              </w:rPr>
              <w:t>15</w:t>
            </w:r>
          </w:p>
        </w:tc>
        <w:tc>
          <w:tcPr>
            <w:tcW w:w="4500" w:type="dxa"/>
          </w:tcPr>
          <w:p>
            <w:pPr>
              <w:pStyle w:val="TableParagraph"/>
              <w:rPr>
                <w:sz w:val="24"/>
              </w:rPr>
            </w:pPr>
          </w:p>
          <w:p>
            <w:pPr>
              <w:pStyle w:val="TableParagraph"/>
              <w:spacing w:before="113"/>
              <w:rPr>
                <w:sz w:val="24"/>
              </w:rPr>
            </w:pPr>
          </w:p>
          <w:p>
            <w:pPr>
              <w:pStyle w:val="TableParagraph"/>
              <w:spacing w:line="235" w:lineRule="auto"/>
              <w:ind w:left="111" w:right="91"/>
              <w:jc w:val="both"/>
              <w:rPr>
                <w:sz w:val="24"/>
              </w:rPr>
            </w:pPr>
            <w:r>
              <w:rPr>
                <w:sz w:val="24"/>
              </w:rPr>
              <w:t>Máscara laríngea em PVC, nº 5,0, </w:t>
            </w:r>
            <w:r>
              <w:rPr>
                <w:sz w:val="24"/>
              </w:rPr>
              <w:t>atóxica, com marcação linear, isenta do de látex, estéril, descartável.</w:t>
            </w:r>
          </w:p>
        </w:tc>
        <w:tc>
          <w:tcPr>
            <w:tcW w:w="960" w:type="dxa"/>
          </w:tcPr>
          <w:p>
            <w:pPr>
              <w:pStyle w:val="TableParagraph"/>
              <w:rPr>
                <w:sz w:val="24"/>
              </w:rPr>
            </w:pPr>
          </w:p>
          <w:p>
            <w:pPr>
              <w:pStyle w:val="TableParagraph"/>
              <w:rPr>
                <w:sz w:val="24"/>
              </w:rPr>
            </w:pPr>
          </w:p>
          <w:p>
            <w:pPr>
              <w:pStyle w:val="TableParagraph"/>
              <w:spacing w:before="103"/>
              <w:rPr>
                <w:sz w:val="24"/>
              </w:rPr>
            </w:pPr>
          </w:p>
          <w:p>
            <w:pPr>
              <w:pStyle w:val="TableParagraph"/>
              <w:ind w:left="19"/>
              <w:jc w:val="center"/>
              <w:rPr>
                <w:sz w:val="24"/>
              </w:rPr>
            </w:pPr>
            <w:r>
              <w:rPr>
                <w:spacing w:val="-2"/>
                <w:sz w:val="24"/>
              </w:rPr>
              <w:t>114479</w:t>
            </w:r>
          </w:p>
        </w:tc>
        <w:tc>
          <w:tcPr>
            <w:tcW w:w="135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spacing w:before="103"/>
              <w:rPr>
                <w:sz w:val="24"/>
              </w:rPr>
            </w:pPr>
          </w:p>
          <w:p>
            <w:pPr>
              <w:pStyle w:val="TableParagraph"/>
              <w:ind w:left="11"/>
              <w:jc w:val="center"/>
              <w:rPr>
                <w:sz w:val="24"/>
              </w:rPr>
            </w:pPr>
            <w:r>
              <w:rPr>
                <w:spacing w:val="-5"/>
                <w:sz w:val="24"/>
              </w:rPr>
              <w:t>127</w:t>
            </w:r>
          </w:p>
        </w:tc>
        <w:tc>
          <w:tcPr>
            <w:tcW w:w="1530" w:type="dxa"/>
          </w:tcPr>
          <w:p>
            <w:pPr>
              <w:pStyle w:val="TableParagraph"/>
              <w:rPr>
                <w:sz w:val="24"/>
              </w:rPr>
            </w:pPr>
          </w:p>
          <w:p>
            <w:pPr>
              <w:pStyle w:val="TableParagraph"/>
              <w:rPr>
                <w:sz w:val="24"/>
              </w:rPr>
            </w:pPr>
          </w:p>
          <w:p>
            <w:pPr>
              <w:pStyle w:val="TableParagraph"/>
              <w:spacing w:before="103"/>
              <w:rPr>
                <w:sz w:val="24"/>
              </w:rPr>
            </w:pPr>
          </w:p>
          <w:p>
            <w:pPr>
              <w:pStyle w:val="TableParagraph"/>
              <w:ind w:left="21" w:right="3"/>
              <w:jc w:val="center"/>
              <w:rPr>
                <w:sz w:val="24"/>
              </w:rPr>
            </w:pPr>
            <w:r>
              <w:rPr>
                <w:spacing w:val="-2"/>
                <w:sz w:val="24"/>
              </w:rPr>
              <w:t>26,2400</w:t>
            </w:r>
          </w:p>
        </w:tc>
        <w:tc>
          <w:tcPr>
            <w:tcW w:w="2190" w:type="dxa"/>
          </w:tcPr>
          <w:p>
            <w:pPr>
              <w:pStyle w:val="TableParagraph"/>
              <w:spacing w:line="235" w:lineRule="auto"/>
              <w:ind w:left="120" w:right="11"/>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6" w:lineRule="exact"/>
              <w:ind w:left="120"/>
              <w:rPr>
                <w:sz w:val="24"/>
              </w:rPr>
            </w:pPr>
            <w:r>
              <w:rPr>
                <w:sz w:val="24"/>
              </w:rPr>
              <w:t>20.551-</w:t>
            </w:r>
            <w:r>
              <w:rPr>
                <w:spacing w:val="-4"/>
                <w:sz w:val="24"/>
              </w:rPr>
              <w:t>030.</w:t>
            </w:r>
          </w:p>
        </w:tc>
      </w:tr>
    </w:tbl>
    <w:p>
      <w:pPr>
        <w:pStyle w:val="Heading1"/>
        <w:numPr>
          <w:ilvl w:val="0"/>
          <w:numId w:val="1"/>
        </w:numPr>
        <w:tabs>
          <w:tab w:pos="689" w:val="left" w:leader="none"/>
        </w:tabs>
        <w:spacing w:line="240" w:lineRule="auto" w:before="229"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320703</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237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4"/>
        <w:jc w:val="both"/>
      </w:pPr>
      <w:r>
        <w:rPr/>
        <w:t>2.5. Para os </w:t>
      </w:r>
      <w:r>
        <w:rPr>
          <w:b/>
        </w:rPr>
        <w:t>itens 01 e 12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1109" w:val="left" w:leader="none"/>
        </w:tabs>
        <w:spacing w:line="240" w:lineRule="auto" w:before="76"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4"/>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567937</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1948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567937</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1948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5"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2049" w:val="left" w:leader="none"/>
        </w:tabs>
        <w:spacing w:line="235" w:lineRule="auto" w:before="80" w:after="0"/>
        <w:ind w:left="449" w:right="434"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both"/>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4"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5"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64" w:val="left" w:leader="none"/>
        </w:tabs>
        <w:spacing w:line="235" w:lineRule="auto" w:before="80"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20"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2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left"/>
        <w:rPr>
          <w:sz w:val="24"/>
        </w:rPr>
      </w:pPr>
      <w:r>
        <w:rPr>
          <w:sz w:val="24"/>
        </w:rPr>
        <w:t>Considera-se</w:t>
      </w:r>
      <w:r>
        <w:rPr>
          <w:spacing w:val="16"/>
          <w:sz w:val="24"/>
        </w:rPr>
        <w:t> </w:t>
      </w:r>
      <w:r>
        <w:rPr>
          <w:sz w:val="24"/>
        </w:rPr>
        <w:t>erro</w:t>
      </w:r>
      <w:r>
        <w:rPr>
          <w:spacing w:val="16"/>
          <w:sz w:val="24"/>
        </w:rPr>
        <w:t> </w:t>
      </w:r>
      <w:r>
        <w:rPr>
          <w:sz w:val="24"/>
        </w:rPr>
        <w:t>no</w:t>
      </w:r>
      <w:r>
        <w:rPr>
          <w:spacing w:val="16"/>
          <w:sz w:val="24"/>
        </w:rPr>
        <w:t> </w:t>
      </w:r>
      <w:r>
        <w:rPr>
          <w:sz w:val="24"/>
        </w:rPr>
        <w:t>preenchimento</w:t>
      </w:r>
      <w:r>
        <w:rPr>
          <w:spacing w:val="16"/>
          <w:sz w:val="24"/>
        </w:rPr>
        <w:t> </w:t>
      </w:r>
      <w:r>
        <w:rPr>
          <w:sz w:val="24"/>
        </w:rPr>
        <w:t>da</w:t>
      </w:r>
      <w:r>
        <w:rPr>
          <w:spacing w:val="16"/>
          <w:sz w:val="24"/>
        </w:rPr>
        <w:t> </w:t>
      </w:r>
      <w:r>
        <w:rPr>
          <w:sz w:val="24"/>
        </w:rPr>
        <w:t>planilha</w:t>
      </w:r>
      <w:r>
        <w:rPr>
          <w:spacing w:val="16"/>
          <w:sz w:val="24"/>
        </w:rPr>
        <w:t> </w:t>
      </w:r>
      <w:r>
        <w:rPr>
          <w:sz w:val="24"/>
        </w:rPr>
        <w:t>passível</w:t>
      </w:r>
      <w:r>
        <w:rPr>
          <w:spacing w:val="16"/>
          <w:sz w:val="24"/>
        </w:rPr>
        <w:t> </w:t>
      </w:r>
      <w:r>
        <w:rPr>
          <w:sz w:val="24"/>
        </w:rPr>
        <w:t>de</w:t>
      </w:r>
      <w:r>
        <w:rPr>
          <w:spacing w:val="16"/>
          <w:sz w:val="24"/>
        </w:rPr>
        <w:t> </w:t>
      </w:r>
      <w:r>
        <w:rPr>
          <w:sz w:val="24"/>
        </w:rPr>
        <w:t>correção</w:t>
      </w:r>
      <w:r>
        <w:rPr>
          <w:spacing w:val="16"/>
          <w:sz w:val="24"/>
        </w:rPr>
        <w:t> </w:t>
      </w:r>
      <w:r>
        <w:rPr>
          <w:sz w:val="24"/>
        </w:rPr>
        <w:t>a</w:t>
      </w:r>
      <w:r>
        <w:rPr>
          <w:spacing w:val="16"/>
          <w:sz w:val="24"/>
        </w:rPr>
        <w:t> </w:t>
      </w:r>
      <w:r>
        <w:rPr>
          <w:sz w:val="24"/>
        </w:rPr>
        <w:t>indicação</w:t>
      </w:r>
      <w:r>
        <w:rPr>
          <w:spacing w:val="16"/>
          <w:sz w:val="24"/>
        </w:rPr>
        <w:t> </w:t>
      </w:r>
      <w:r>
        <w:rPr>
          <w:sz w:val="24"/>
        </w:rPr>
        <w:t>de</w:t>
      </w:r>
      <w:r>
        <w:rPr>
          <w:spacing w:val="16"/>
          <w:sz w:val="24"/>
        </w:rPr>
        <w:t> </w:t>
      </w:r>
      <w:r>
        <w:rPr>
          <w:sz w:val="24"/>
        </w:rPr>
        <w:t>recolhimento</w:t>
      </w:r>
      <w:r>
        <w:rPr>
          <w:spacing w:val="16"/>
          <w:sz w:val="24"/>
        </w:rPr>
        <w:t> </w:t>
      </w:r>
      <w:r>
        <w:rPr>
          <w:sz w:val="24"/>
        </w:rPr>
        <w:t>de</w:t>
      </w:r>
      <w:r>
        <w:rPr>
          <w:spacing w:val="16"/>
          <w:sz w:val="24"/>
        </w:rPr>
        <w:t> </w:t>
      </w:r>
      <w:r>
        <w:rPr>
          <w:sz w:val="24"/>
        </w:rPr>
        <w:t>impostos</w:t>
      </w:r>
      <w:r>
        <w:rPr>
          <w:spacing w:val="16"/>
          <w:sz w:val="24"/>
        </w:rPr>
        <w:t> </w:t>
      </w:r>
      <w:r>
        <w:rPr>
          <w:sz w:val="24"/>
        </w:rPr>
        <w:t>e</w:t>
      </w:r>
      <w:r>
        <w:rPr>
          <w:spacing w:val="16"/>
          <w:sz w:val="24"/>
        </w:rPr>
        <w:t> </w:t>
      </w:r>
      <w:r>
        <w:rPr>
          <w:sz w:val="24"/>
        </w:rPr>
        <w:t>contribuições</w:t>
      </w:r>
      <w:r>
        <w:rPr>
          <w:spacing w:val="16"/>
          <w:sz w:val="24"/>
        </w:rPr>
        <w:t> </w:t>
      </w:r>
      <w:r>
        <w:rPr>
          <w:sz w:val="24"/>
        </w:rPr>
        <w:t>na</w:t>
      </w:r>
      <w:r>
        <w:rPr>
          <w:spacing w:val="16"/>
          <w:sz w:val="24"/>
        </w:rPr>
        <w:t> </w:t>
      </w:r>
      <w:r>
        <w:rPr>
          <w:sz w:val="24"/>
        </w:rPr>
        <w:t>forma</w:t>
      </w:r>
      <w:r>
        <w:rPr>
          <w:spacing w:val="16"/>
          <w:sz w:val="24"/>
        </w:rPr>
        <w:t> </w:t>
      </w:r>
      <w:r>
        <w:rPr>
          <w:sz w:val="24"/>
        </w:rPr>
        <w:t>do Simples Nacional, quando não cabível esse regime.</w:t>
      </w:r>
    </w:p>
    <w:p>
      <w:pPr>
        <w:pStyle w:val="ListParagraph"/>
        <w:numPr>
          <w:ilvl w:val="1"/>
          <w:numId w:val="7"/>
        </w:numPr>
        <w:tabs>
          <w:tab w:pos="848" w:val="left" w:leader="none"/>
        </w:tabs>
        <w:spacing w:line="235" w:lineRule="auto" w:before="119" w:after="0"/>
        <w:ind w:left="449" w:right="433" w:firstLine="0"/>
        <w:jc w:val="left"/>
        <w:rPr>
          <w:sz w:val="24"/>
        </w:rPr>
      </w:pPr>
      <w:r>
        <w:rPr>
          <w:sz w:val="24"/>
        </w:rPr>
        <w:t>Para</w:t>
      </w:r>
      <w:r>
        <w:rPr>
          <w:spacing w:val="37"/>
          <w:sz w:val="24"/>
        </w:rPr>
        <w:t> </w:t>
      </w:r>
      <w:r>
        <w:rPr>
          <w:sz w:val="24"/>
        </w:rPr>
        <w:t>fins</w:t>
      </w:r>
      <w:r>
        <w:rPr>
          <w:spacing w:val="37"/>
          <w:sz w:val="24"/>
        </w:rPr>
        <w:t> </w:t>
      </w:r>
      <w:r>
        <w:rPr>
          <w:sz w:val="24"/>
        </w:rPr>
        <w:t>de</w:t>
      </w:r>
      <w:r>
        <w:rPr>
          <w:spacing w:val="37"/>
          <w:sz w:val="24"/>
        </w:rPr>
        <w:t> </w:t>
      </w:r>
      <w:r>
        <w:rPr>
          <w:sz w:val="24"/>
        </w:rPr>
        <w:t>análise</w:t>
      </w:r>
      <w:r>
        <w:rPr>
          <w:spacing w:val="37"/>
          <w:sz w:val="24"/>
        </w:rPr>
        <w:t> </w:t>
      </w:r>
      <w:r>
        <w:rPr>
          <w:sz w:val="24"/>
        </w:rPr>
        <w:t>da</w:t>
      </w:r>
      <w:r>
        <w:rPr>
          <w:spacing w:val="37"/>
          <w:sz w:val="24"/>
        </w:rPr>
        <w:t> </w:t>
      </w:r>
      <w:r>
        <w:rPr>
          <w:sz w:val="24"/>
        </w:rPr>
        <w:t>proposta</w:t>
      </w:r>
      <w:r>
        <w:rPr>
          <w:spacing w:val="37"/>
          <w:sz w:val="24"/>
        </w:rPr>
        <w:t> </w:t>
      </w:r>
      <w:r>
        <w:rPr>
          <w:sz w:val="24"/>
        </w:rPr>
        <w:t>quanto</w:t>
      </w:r>
      <w:r>
        <w:rPr>
          <w:spacing w:val="37"/>
          <w:sz w:val="24"/>
        </w:rPr>
        <w:t> </w:t>
      </w:r>
      <w:r>
        <w:rPr>
          <w:sz w:val="24"/>
        </w:rPr>
        <w:t>ao</w:t>
      </w:r>
      <w:r>
        <w:rPr>
          <w:spacing w:val="37"/>
          <w:sz w:val="24"/>
        </w:rPr>
        <w:t> </w:t>
      </w:r>
      <w:r>
        <w:rPr>
          <w:sz w:val="24"/>
        </w:rPr>
        <w:t>cumprimento</w:t>
      </w:r>
      <w:r>
        <w:rPr>
          <w:spacing w:val="37"/>
          <w:sz w:val="24"/>
        </w:rPr>
        <w:t> </w:t>
      </w:r>
      <w:r>
        <w:rPr>
          <w:sz w:val="24"/>
        </w:rPr>
        <w:t>das</w:t>
      </w:r>
      <w:r>
        <w:rPr>
          <w:spacing w:val="37"/>
          <w:sz w:val="24"/>
        </w:rPr>
        <w:t> </w:t>
      </w:r>
      <w:r>
        <w:rPr>
          <w:sz w:val="24"/>
        </w:rPr>
        <w:t>especificações</w:t>
      </w:r>
      <w:r>
        <w:rPr>
          <w:spacing w:val="37"/>
          <w:sz w:val="24"/>
        </w:rPr>
        <w:t> </w:t>
      </w:r>
      <w:r>
        <w:rPr>
          <w:sz w:val="24"/>
        </w:rPr>
        <w:t>do</w:t>
      </w:r>
      <w:r>
        <w:rPr>
          <w:spacing w:val="37"/>
          <w:sz w:val="24"/>
        </w:rPr>
        <w:t> </w:t>
      </w:r>
      <w:r>
        <w:rPr>
          <w:sz w:val="24"/>
        </w:rPr>
        <w:t>objeto,</w:t>
      </w:r>
      <w:r>
        <w:rPr>
          <w:spacing w:val="37"/>
          <w:sz w:val="24"/>
        </w:rPr>
        <w:t> </w:t>
      </w:r>
      <w:r>
        <w:rPr>
          <w:sz w:val="24"/>
        </w:rPr>
        <w:t>poderá</w:t>
      </w:r>
      <w:r>
        <w:rPr>
          <w:spacing w:val="37"/>
          <w:sz w:val="24"/>
        </w:rPr>
        <w:t> </w:t>
      </w:r>
      <w:r>
        <w:rPr>
          <w:sz w:val="24"/>
        </w:rPr>
        <w:t>ser</w:t>
      </w:r>
      <w:r>
        <w:rPr>
          <w:spacing w:val="37"/>
          <w:sz w:val="24"/>
        </w:rPr>
        <w:t> </w:t>
      </w:r>
      <w:r>
        <w:rPr>
          <w:sz w:val="24"/>
        </w:rPr>
        <w:t>colhida</w:t>
      </w:r>
      <w:r>
        <w:rPr>
          <w:spacing w:val="37"/>
          <w:sz w:val="24"/>
        </w:rPr>
        <w:t> </w:t>
      </w:r>
      <w:r>
        <w:rPr>
          <w:sz w:val="24"/>
        </w:rPr>
        <w:t>a</w:t>
      </w:r>
      <w:r>
        <w:rPr>
          <w:spacing w:val="37"/>
          <w:sz w:val="24"/>
        </w:rPr>
        <w:t> </w:t>
      </w:r>
      <w:r>
        <w:rPr>
          <w:sz w:val="24"/>
        </w:rPr>
        <w:t>manifestação</w:t>
      </w:r>
      <w:r>
        <w:rPr>
          <w:spacing w:val="37"/>
          <w:sz w:val="24"/>
        </w:rPr>
        <w:t> </w:t>
      </w:r>
      <w:r>
        <w:rPr>
          <w:sz w:val="24"/>
        </w:rPr>
        <w:t>escrita</w:t>
      </w:r>
      <w:r>
        <w:rPr>
          <w:spacing w:val="37"/>
          <w:sz w:val="24"/>
        </w:rPr>
        <w:t> </w:t>
      </w:r>
      <w:r>
        <w:rPr>
          <w:sz w:val="24"/>
        </w:rPr>
        <w:t>do</w:t>
      </w:r>
      <w:r>
        <w:rPr>
          <w:spacing w:val="37"/>
          <w:sz w:val="24"/>
        </w:rPr>
        <w:t> </w:t>
      </w:r>
      <w:r>
        <w:rPr>
          <w:sz w:val="24"/>
        </w:rPr>
        <w:t>setor requisitante da área especializada no objeto.</w:t>
      </w:r>
    </w:p>
    <w:p>
      <w:pPr>
        <w:pStyle w:val="ListParagraph"/>
        <w:numPr>
          <w:ilvl w:val="1"/>
          <w:numId w:val="7"/>
        </w:numPr>
        <w:tabs>
          <w:tab w:pos="959"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classificado</w:t>
      </w:r>
      <w:r>
        <w:rPr>
          <w:spacing w:val="27"/>
          <w:sz w:val="24"/>
        </w:rPr>
        <w:t> </w:t>
      </w:r>
      <w:r>
        <w:rPr>
          <w:sz w:val="24"/>
        </w:rPr>
        <w:t>em</w:t>
      </w:r>
      <w:r>
        <w:rPr>
          <w:spacing w:val="27"/>
          <w:sz w:val="24"/>
        </w:rPr>
        <w:t> </w:t>
      </w:r>
      <w:r>
        <w:rPr>
          <w:sz w:val="24"/>
        </w:rPr>
        <w:t>primeiro</w:t>
      </w:r>
      <w:r>
        <w:rPr>
          <w:spacing w:val="27"/>
          <w:sz w:val="24"/>
        </w:rPr>
        <w:t> </w:t>
      </w:r>
      <w:r>
        <w:rPr>
          <w:sz w:val="24"/>
        </w:rPr>
        <w:t>lugar</w:t>
      </w:r>
      <w:r>
        <w:rPr>
          <w:spacing w:val="27"/>
          <w:sz w:val="24"/>
        </w:rPr>
        <w:t> </w:t>
      </w:r>
      <w:r>
        <w:rPr>
          <w:sz w:val="24"/>
        </w:rPr>
        <w:t>deverá</w:t>
      </w:r>
      <w:r>
        <w:rPr>
          <w:spacing w:val="27"/>
          <w:sz w:val="24"/>
        </w:rPr>
        <w:t> </w:t>
      </w:r>
      <w:r>
        <w:rPr>
          <w:sz w:val="24"/>
        </w:rPr>
        <w:t>proceder</w:t>
      </w:r>
      <w:r>
        <w:rPr>
          <w:spacing w:val="27"/>
          <w:sz w:val="24"/>
        </w:rPr>
        <w:t> </w:t>
      </w:r>
      <w:r>
        <w:rPr>
          <w:sz w:val="24"/>
        </w:rPr>
        <w:t>conforme</w:t>
      </w:r>
      <w:r>
        <w:rPr>
          <w:spacing w:val="27"/>
          <w:sz w:val="24"/>
        </w:rPr>
        <w:t> </w:t>
      </w:r>
      <w:r>
        <w:rPr>
          <w:sz w:val="24"/>
        </w:rPr>
        <w:t>disciplinado</w:t>
      </w:r>
      <w:r>
        <w:rPr>
          <w:spacing w:val="27"/>
          <w:sz w:val="24"/>
        </w:rPr>
        <w:t> </w:t>
      </w:r>
      <w:r>
        <w:rPr>
          <w:sz w:val="24"/>
        </w:rPr>
        <w:t>no</w:t>
      </w:r>
      <w:r>
        <w:rPr>
          <w:spacing w:val="27"/>
          <w:sz w:val="24"/>
        </w:rPr>
        <w:t> </w:t>
      </w:r>
      <w:r>
        <w:rPr>
          <w:b/>
          <w:sz w:val="24"/>
        </w:rPr>
        <w:t>Termo</w:t>
      </w:r>
      <w:r>
        <w:rPr>
          <w:b/>
          <w:spacing w:val="27"/>
          <w:sz w:val="24"/>
        </w:rPr>
        <w:t> </w:t>
      </w:r>
      <w:r>
        <w:rPr>
          <w:b/>
          <w:sz w:val="24"/>
        </w:rPr>
        <w:t>de</w:t>
      </w:r>
      <w:r>
        <w:rPr>
          <w:b/>
          <w:spacing w:val="27"/>
          <w:sz w:val="24"/>
        </w:rPr>
        <w:t> </w:t>
      </w:r>
      <w:r>
        <w:rPr>
          <w:b/>
          <w:sz w:val="24"/>
        </w:rPr>
        <w:t>Referência</w:t>
      </w:r>
      <w:r>
        <w:rPr>
          <w:b/>
          <w:spacing w:val="27"/>
          <w:sz w:val="24"/>
        </w:rPr>
        <w:t> </w:t>
      </w:r>
      <w:r>
        <w:rPr>
          <w:b/>
          <w:sz w:val="24"/>
        </w:rPr>
        <w:t>–</w:t>
      </w:r>
      <w:r>
        <w:rPr>
          <w:b/>
          <w:spacing w:val="14"/>
          <w:sz w:val="24"/>
        </w:rPr>
        <w:t> </w:t>
      </w:r>
      <w:r>
        <w:rPr>
          <w:b/>
          <w:sz w:val="24"/>
        </w:rPr>
        <w:t>Anexo</w:t>
      </w:r>
      <w:r>
        <w:rPr>
          <w:b/>
          <w:spacing w:val="27"/>
          <w:sz w:val="24"/>
        </w:rPr>
        <w:t> </w:t>
      </w:r>
      <w:r>
        <w:rPr>
          <w:b/>
          <w:sz w:val="24"/>
        </w:rPr>
        <w:t>I</w:t>
      </w:r>
      <w:r>
        <w:rPr>
          <w:b/>
          <w:spacing w:val="27"/>
          <w:sz w:val="24"/>
        </w:rPr>
        <w:t> </w:t>
      </w:r>
      <w:r>
        <w:rPr>
          <w:sz w:val="24"/>
        </w:rPr>
        <w:t>no</w:t>
      </w:r>
      <w:r>
        <w:rPr>
          <w:spacing w:val="27"/>
          <w:sz w:val="24"/>
        </w:rPr>
        <w:t> </w:t>
      </w:r>
      <w:r>
        <w:rPr>
          <w:sz w:val="24"/>
        </w:rPr>
        <w:t>que</w:t>
      </w:r>
      <w:r>
        <w:rPr>
          <w:spacing w:val="27"/>
          <w:sz w:val="24"/>
        </w:rPr>
        <w:t> </w:t>
      </w:r>
      <w:r>
        <w:rPr>
          <w:sz w:val="24"/>
        </w:rPr>
        <w:t>se</w:t>
      </w:r>
      <w:r>
        <w:rPr>
          <w:spacing w:val="27"/>
          <w:sz w:val="24"/>
        </w:rPr>
        <w:t> </w:t>
      </w:r>
      <w:r>
        <w:rPr>
          <w:sz w:val="24"/>
        </w:rPr>
        <w:t>refere</w:t>
      </w:r>
      <w:r>
        <w:rPr>
          <w:spacing w:val="27"/>
          <w:sz w:val="24"/>
        </w:rPr>
        <w:t> </w:t>
      </w:r>
      <w:r>
        <w:rPr>
          <w:sz w:val="24"/>
        </w:rPr>
        <w:t>a amostra, exame de conformidade ou prova de conceito, sob pena de não aceitação da proposta.</w:t>
      </w:r>
    </w:p>
    <w:p>
      <w:pPr>
        <w:pStyle w:val="ListParagraph"/>
        <w:spacing w:after="0" w:line="235" w:lineRule="auto"/>
        <w:jc w:val="left"/>
        <w:rPr>
          <w:sz w:val="24"/>
        </w:rPr>
        <w:sectPr>
          <w:pgSz w:w="15840" w:h="24480"/>
          <w:pgMar w:top="480" w:bottom="280" w:left="360" w:right="360"/>
        </w:sectPr>
      </w:pPr>
    </w:p>
    <w:p>
      <w:pPr>
        <w:pStyle w:val="ListParagraph"/>
        <w:numPr>
          <w:ilvl w:val="2"/>
          <w:numId w:val="7"/>
        </w:numPr>
        <w:tabs>
          <w:tab w:pos="1158" w:val="left" w:leader="none"/>
        </w:tabs>
        <w:spacing w:line="235" w:lineRule="auto" w:before="80"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396223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8717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2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spacing w:after="0" w:line="235" w:lineRule="auto"/>
        <w:jc w:val="both"/>
        <w:rPr>
          <w:sz w:val="24"/>
        </w:rPr>
        <w:sectPr>
          <w:pgSz w:w="15840" w:h="24480"/>
          <w:pgMar w:top="480" w:bottom="280" w:left="360" w:right="360"/>
        </w:sectPr>
      </w:pPr>
    </w:p>
    <w:p>
      <w:pPr>
        <w:pStyle w:val="ListParagraph"/>
        <w:numPr>
          <w:ilvl w:val="2"/>
          <w:numId w:val="8"/>
        </w:numPr>
        <w:tabs>
          <w:tab w:pos="1117" w:val="left" w:leader="none"/>
        </w:tabs>
        <w:spacing w:line="235" w:lineRule="auto" w:before="80"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1"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4"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3"/>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w:t>
      </w:r>
      <w:r>
        <w:rPr>
          <w:spacing w:val="5"/>
          <w:sz w:val="24"/>
        </w:rPr>
        <w:t> </w:t>
      </w:r>
      <w:r>
        <w:rPr>
          <w:sz w:val="24"/>
        </w:rPr>
        <w:t>outro</w:t>
      </w:r>
      <w:r>
        <w:rPr>
          <w:spacing w:val="7"/>
          <w:sz w:val="24"/>
        </w:rPr>
        <w:t> </w:t>
      </w:r>
      <w:r>
        <w:rPr>
          <w:sz w:val="24"/>
        </w:rPr>
        <w:t>licitante</w:t>
      </w:r>
      <w:r>
        <w:rPr>
          <w:spacing w:val="7"/>
          <w:sz w:val="24"/>
        </w:rPr>
        <w:t> </w:t>
      </w:r>
      <w:r>
        <w:rPr>
          <w:sz w:val="24"/>
        </w:rPr>
        <w:t>poderá</w:t>
      </w:r>
      <w:r>
        <w:rPr>
          <w:spacing w:val="7"/>
          <w:sz w:val="24"/>
        </w:rPr>
        <w:t> </w:t>
      </w:r>
      <w:r>
        <w:rPr>
          <w:sz w:val="24"/>
        </w:rPr>
        <w:t>ser</w:t>
      </w:r>
      <w:r>
        <w:rPr>
          <w:spacing w:val="7"/>
          <w:sz w:val="24"/>
        </w:rPr>
        <w:t> </w:t>
      </w:r>
      <w:r>
        <w:rPr>
          <w:sz w:val="24"/>
        </w:rPr>
        <w:t>convocado,</w:t>
      </w:r>
      <w:r>
        <w:rPr>
          <w:spacing w:val="7"/>
          <w:sz w:val="24"/>
        </w:rPr>
        <w:t> </w:t>
      </w:r>
      <w:r>
        <w:rPr>
          <w:sz w:val="24"/>
        </w:rPr>
        <w:t>respeitada</w:t>
      </w:r>
      <w:r>
        <w:rPr>
          <w:spacing w:val="7"/>
          <w:sz w:val="24"/>
        </w:rPr>
        <w:t> </w:t>
      </w:r>
      <w:r>
        <w:rPr>
          <w:sz w:val="24"/>
        </w:rPr>
        <w:t>a</w:t>
      </w:r>
      <w:r>
        <w:rPr>
          <w:spacing w:val="7"/>
          <w:sz w:val="24"/>
        </w:rPr>
        <w:t> </w:t>
      </w:r>
      <w:r>
        <w:rPr>
          <w:sz w:val="24"/>
        </w:rPr>
        <w:t>ordem</w:t>
      </w:r>
      <w:r>
        <w:rPr>
          <w:spacing w:val="7"/>
          <w:sz w:val="24"/>
        </w:rPr>
        <w:t> </w:t>
      </w:r>
      <w:r>
        <w:rPr>
          <w:sz w:val="24"/>
        </w:rPr>
        <w:t>de</w:t>
      </w:r>
      <w:r>
        <w:rPr>
          <w:spacing w:val="7"/>
          <w:sz w:val="24"/>
        </w:rPr>
        <w:t> </w:t>
      </w:r>
      <w:r>
        <w:rPr>
          <w:sz w:val="24"/>
        </w:rPr>
        <w:t>classificação,</w:t>
      </w:r>
      <w:r>
        <w:rPr>
          <w:spacing w:val="7"/>
          <w:sz w:val="24"/>
        </w:rPr>
        <w:t> </w:t>
      </w:r>
      <w:r>
        <w:rPr>
          <w:sz w:val="24"/>
        </w:rPr>
        <w:t>para</w:t>
      </w:r>
      <w:r>
        <w:rPr>
          <w:spacing w:val="7"/>
          <w:sz w:val="24"/>
        </w:rPr>
        <w:t> </w:t>
      </w:r>
      <w:r>
        <w:rPr>
          <w:sz w:val="24"/>
        </w:rPr>
        <w:t>assumir</w:t>
      </w:r>
      <w:r>
        <w:rPr>
          <w:spacing w:val="7"/>
          <w:sz w:val="24"/>
        </w:rPr>
        <w:t> </w:t>
      </w:r>
      <w:r>
        <w:rPr>
          <w:sz w:val="24"/>
        </w:rPr>
        <w:t>o</w:t>
      </w:r>
      <w:r>
        <w:rPr>
          <w:spacing w:val="7"/>
          <w:sz w:val="24"/>
        </w:rPr>
        <w:t> </w:t>
      </w:r>
      <w:r>
        <w:rPr>
          <w:sz w:val="24"/>
        </w:rPr>
        <w:t>compromisso</w:t>
      </w:r>
      <w:r>
        <w:rPr>
          <w:spacing w:val="7"/>
          <w:sz w:val="24"/>
        </w:rPr>
        <w:t> </w:t>
      </w:r>
      <w:r>
        <w:rPr>
          <w:sz w:val="24"/>
        </w:rPr>
        <w:t>nas</w:t>
      </w:r>
      <w:r>
        <w:rPr>
          <w:spacing w:val="7"/>
          <w:sz w:val="24"/>
        </w:rPr>
        <w:t> </w:t>
      </w:r>
      <w:r>
        <w:rPr>
          <w:sz w:val="24"/>
        </w:rPr>
        <w:t>condições</w:t>
      </w:r>
      <w:r>
        <w:rPr>
          <w:spacing w:val="7"/>
          <w:sz w:val="24"/>
        </w:rPr>
        <w:t> </w:t>
      </w:r>
      <w:r>
        <w:rPr>
          <w:sz w:val="24"/>
        </w:rPr>
        <w:t>propostas</w:t>
      </w:r>
      <w:r>
        <w:rPr>
          <w:spacing w:val="7"/>
          <w:sz w:val="24"/>
        </w:rPr>
        <w:t> </w:t>
      </w:r>
      <w:r>
        <w:rPr>
          <w:spacing w:val="-4"/>
          <w:sz w:val="24"/>
        </w:rPr>
        <w:t>pelo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licitante</w:t>
      </w:r>
      <w:r>
        <w:rPr>
          <w:spacing w:val="-1"/>
        </w:rPr>
        <w:t> </w:t>
      </w:r>
      <w:r>
        <w:rPr/>
        <w:t>vencedor,</w:t>
      </w:r>
      <w:r>
        <w:rPr>
          <w:spacing w:val="-1"/>
        </w:rPr>
        <w:t> </w:t>
      </w:r>
      <w:r>
        <w:rPr/>
        <w:t>sem</w:t>
      </w:r>
      <w:r>
        <w:rPr>
          <w:spacing w:val="-1"/>
        </w:rPr>
        <w:t> </w:t>
      </w:r>
      <w:r>
        <w:rPr/>
        <w:t>prejuízo</w:t>
      </w:r>
      <w:r>
        <w:rPr>
          <w:spacing w:val="-1"/>
        </w:rPr>
        <w:t> </w:t>
      </w:r>
      <w:r>
        <w:rPr/>
        <w:t>da</w:t>
      </w:r>
      <w:r>
        <w:rPr>
          <w:spacing w:val="-1"/>
        </w:rPr>
        <w:t> </w:t>
      </w:r>
      <w:r>
        <w:rPr/>
        <w:t>aplicação</w:t>
      </w:r>
      <w:r>
        <w:rPr>
          <w:spacing w:val="-1"/>
        </w:rPr>
        <w:t> </w:t>
      </w:r>
      <w:r>
        <w:rPr/>
        <w:t>das</w:t>
      </w:r>
      <w:r>
        <w:rPr>
          <w:spacing w:val="-1"/>
        </w:rPr>
        <w:t> </w:t>
      </w:r>
      <w:r>
        <w:rPr/>
        <w:t>sanções</w:t>
      </w:r>
      <w:r>
        <w:rPr>
          <w:spacing w:val="-1"/>
        </w:rPr>
        <w:t> </w:t>
      </w:r>
      <w:r>
        <w:rPr/>
        <w:t>previstas</w:t>
      </w:r>
      <w:r>
        <w:rPr>
          <w:spacing w:val="-1"/>
        </w:rPr>
        <w:t> </w:t>
      </w:r>
      <w:r>
        <w:rPr/>
        <w:t>em</w:t>
      </w:r>
      <w:r>
        <w:rPr>
          <w:spacing w:val="-1"/>
        </w:rPr>
        <w:t> </w:t>
      </w:r>
      <w:r>
        <w:rPr>
          <w:spacing w:val="-4"/>
        </w:rPr>
        <w:t>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1"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por meio de documento oficial, de que faz jus ao tratamento tributário favorecido previsto na referida Lei Complementar nº </w:t>
      </w:r>
      <w:r>
        <w:rPr>
          <w:spacing w:val="-2"/>
        </w:rPr>
        <w:t>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289" w:val="left" w:leader="none"/>
        </w:tabs>
        <w:spacing w:line="240" w:lineRule="auto" w:before="76"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5"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spacing w:after="0" w:line="240" w:lineRule="auto"/>
        <w:jc w:val="left"/>
        <w:rPr>
          <w:sz w:val="24"/>
        </w:rPr>
        <w:sectPr>
          <w:pgSz w:w="15840" w:h="24480"/>
          <w:pgMar w:top="480" w:bottom="280" w:left="360" w:right="360"/>
        </w:sectPr>
      </w:pPr>
    </w:p>
    <w:p>
      <w:pPr>
        <w:pStyle w:val="ListParagraph"/>
        <w:numPr>
          <w:ilvl w:val="0"/>
          <w:numId w:val="23"/>
        </w:numPr>
        <w:tabs>
          <w:tab w:pos="708" w:val="left" w:leader="none"/>
        </w:tabs>
        <w:spacing w:line="240" w:lineRule="auto" w:before="76"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spacing w:after="0" w:line="235" w:lineRule="auto"/>
        <w:jc w:val="left"/>
        <w:rPr>
          <w:sz w:val="24"/>
        </w:rPr>
        <w:sectPr>
          <w:pgSz w:w="15840" w:h="24480"/>
          <w:pgMar w:top="480" w:bottom="280" w:left="360" w:right="360"/>
        </w:sectPr>
      </w:pPr>
    </w:p>
    <w:p>
      <w:pPr>
        <w:pStyle w:val="ListParagraph"/>
        <w:numPr>
          <w:ilvl w:val="1"/>
          <w:numId w:val="26"/>
        </w:numPr>
        <w:tabs>
          <w:tab w:pos="958" w:val="left" w:leader="none"/>
        </w:tabs>
        <w:spacing w:line="235" w:lineRule="auto" w:before="80"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396275</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2759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8"/>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240258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91799pt;width:723.75pt;height:1.5pt;mso-position-horizontal-relative:page;mso-position-vertical-relative:paragraph;z-index:-15726592;mso-wrap-distance-left:0;mso-wrap-distance-right:0" id="docshapegroup6" coordorigin="690,378" coordsize="14475,30">
                <v:rect style="position:absolute;left:690;top:378;width:14475;height:15" id="docshape7" filled="true" fillcolor="#999999" stroked="false">
                  <v:fill type="solid"/>
                </v:rect>
                <v:shape style="position:absolute;left:689;top:378;width:14475;height:30" id="docshape8" coordorigin="690,378" coordsize="14475,30" path="m15165,378l15150,393,690,393,690,408,15150,408,15165,408,15165,393,15165,378xe" filled="true" fillcolor="#ededed" stroked="false">
                  <v:path arrowok="t"/>
                  <v:fill type="solid"/>
                </v:shape>
                <v:shape style="position:absolute;left:690;top:378;width:15;height:30" id="docshape9" coordorigin="690,378" coordsize="15,30" path="m690,408l690,378,705,378,705,393,690,408xe" filled="true" fillcolor="#999999" stroked="false">
                  <v:path arrowok="t"/>
                  <v:fill type="solid"/>
                </v:shape>
                <w10:wrap type="topAndBottom"/>
              </v:group>
            </w:pict>
          </mc:Fallback>
        </mc:AlternateContent>
      </w:r>
    </w:p>
    <w:p>
      <w:pPr>
        <w:spacing w:before="180"/>
        <w:ind w:left="1769" w:right="28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15/06/2026, às 15:13,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517824">
                <wp:simplePos x="0" y="0"/>
                <wp:positionH relativeFrom="page">
                  <wp:posOffset>5426746</wp:posOffset>
                </wp:positionH>
                <wp:positionV relativeFrom="paragraph">
                  <wp:posOffset>143144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5pt;width:2.026056pt;height:.75pt;mso-position-horizontal-relative:page;mso-position-vertical-relative:paragraph;z-index:-1779865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134175388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46A0E764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Máscaras e cânulas </w:t>
      </w:r>
      <w:r>
        <w:rPr/>
        <w:t>para o Hospital Universitário Pedro Ernesto, através de empresa especializada, em conformidade com a Lei nº 14.133/2021 art. 28 inc. I (Regulamenta o art. 37, inciso XXI, </w:t>
      </w:r>
      <w:r>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b/>
            <w:color w:val="0000ED"/>
            <w:sz w:val="24"/>
            <w:u w:val="single" w:color="0000ED"/>
          </w:rPr>
          <w:t>125912098</w:t>
        </w:r>
      </w:hyperlink>
      <w:r>
        <w:rPr>
          <w:b/>
          <w:sz w:val="24"/>
          <w:u w:val="single"/>
        </w:rPr>
        <w:t> e </w:t>
      </w:r>
      <w:hyperlink r:id="rId34">
        <w:r>
          <w:rPr>
            <w:b/>
            <w:color w:val="0000ED"/>
            <w:sz w:val="24"/>
            <w:u w:val="single" w:color="0000ED"/>
          </w:rPr>
          <w:t>126126231</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5">
        <w:r>
          <w:rPr>
            <w:b/>
            <w:color w:val="0000ED"/>
            <w:sz w:val="24"/>
            <w:u w:val="single" w:color="0000ED"/>
          </w:rPr>
          <w:t>126622714</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567465</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82354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6">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7">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Disponibilidade orçamentária e </w:t>
      </w:r>
      <w:r>
        <w:rPr>
          <w:spacing w:val="-2"/>
        </w:rPr>
        <w:t>financeira:</w:t>
      </w:r>
    </w:p>
    <w:p>
      <w:pPr>
        <w:pStyle w:val="BodyText"/>
        <w:spacing w:before="1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2024.</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both"/>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both"/>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Heading2"/>
        <w:spacing w:after="0" w:line="240" w:lineRule="auto"/>
        <w:jc w:val="both"/>
        <w:sectPr>
          <w:pgSz w:w="15840" w:h="24480"/>
          <w:pgMar w:top="480" w:bottom="280" w:left="360" w:right="360"/>
        </w:sectPr>
      </w:pPr>
    </w:p>
    <w:p>
      <w:pPr>
        <w:pStyle w:val="BodyText"/>
        <w:spacing w:before="76"/>
        <w:ind w:left="50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2565"/>
        <w:gridCol w:w="930"/>
        <w:gridCol w:w="825"/>
        <w:gridCol w:w="870"/>
        <w:gridCol w:w="1140"/>
        <w:gridCol w:w="1575"/>
      </w:tblGrid>
      <w:tr>
        <w:trPr>
          <w:trHeight w:val="914" w:hRule="atLeast"/>
        </w:trPr>
        <w:tc>
          <w:tcPr>
            <w:tcW w:w="585" w:type="dxa"/>
          </w:tcPr>
          <w:p>
            <w:pPr>
              <w:pStyle w:val="TableParagraph"/>
              <w:spacing w:before="39"/>
              <w:rPr>
                <w:b/>
                <w:sz w:val="24"/>
              </w:rPr>
            </w:pPr>
          </w:p>
          <w:p>
            <w:pPr>
              <w:pStyle w:val="TableParagraph"/>
              <w:spacing w:before="1"/>
              <w:ind w:left="55"/>
              <w:rPr>
                <w:sz w:val="24"/>
              </w:rPr>
            </w:pPr>
            <w:r>
              <w:rPr>
                <w:spacing w:val="-4"/>
                <w:sz w:val="24"/>
              </w:rPr>
              <w:t>Item</w:t>
            </w:r>
          </w:p>
        </w:tc>
        <w:tc>
          <w:tcPr>
            <w:tcW w:w="1020" w:type="dxa"/>
          </w:tcPr>
          <w:p>
            <w:pPr>
              <w:pStyle w:val="TableParagraph"/>
              <w:spacing w:before="39"/>
              <w:rPr>
                <w:b/>
                <w:sz w:val="24"/>
              </w:rPr>
            </w:pPr>
          </w:p>
          <w:p>
            <w:pPr>
              <w:pStyle w:val="TableParagraph"/>
              <w:spacing w:before="1"/>
              <w:ind w:left="60"/>
              <w:rPr>
                <w:sz w:val="24"/>
              </w:rPr>
            </w:pPr>
            <w:r>
              <w:rPr>
                <w:sz w:val="24"/>
              </w:rPr>
              <w:t>Cód</w:t>
            </w:r>
            <w:r>
              <w:rPr>
                <w:spacing w:val="60"/>
                <w:sz w:val="24"/>
              </w:rPr>
              <w:t> </w:t>
            </w:r>
            <w:r>
              <w:rPr>
                <w:spacing w:val="-5"/>
                <w:sz w:val="24"/>
              </w:rPr>
              <w:t>MV</w:t>
            </w:r>
          </w:p>
        </w:tc>
        <w:tc>
          <w:tcPr>
            <w:tcW w:w="840" w:type="dxa"/>
          </w:tcPr>
          <w:p>
            <w:pPr>
              <w:pStyle w:val="TableParagraph"/>
              <w:spacing w:line="273" w:lineRule="exact" w:before="181"/>
              <w:ind w:left="58"/>
              <w:rPr>
                <w:sz w:val="24"/>
              </w:rPr>
            </w:pPr>
            <w:r>
              <w:rPr>
                <w:spacing w:val="-5"/>
                <w:sz w:val="24"/>
              </w:rPr>
              <w:t>ID</w:t>
            </w:r>
          </w:p>
          <w:p>
            <w:pPr>
              <w:pStyle w:val="TableParagraph"/>
              <w:spacing w:line="273" w:lineRule="exact"/>
              <w:ind w:left="58"/>
              <w:rPr>
                <w:sz w:val="24"/>
              </w:rPr>
            </w:pPr>
            <w:r>
              <w:rPr>
                <w:spacing w:val="-4"/>
                <w:sz w:val="24"/>
              </w:rPr>
              <w:t>SIGA</w:t>
            </w:r>
          </w:p>
        </w:tc>
        <w:tc>
          <w:tcPr>
            <w:tcW w:w="2565" w:type="dxa"/>
          </w:tcPr>
          <w:p>
            <w:pPr>
              <w:pStyle w:val="TableParagraph"/>
              <w:spacing w:before="39"/>
              <w:rPr>
                <w:b/>
                <w:sz w:val="24"/>
              </w:rPr>
            </w:pPr>
          </w:p>
          <w:p>
            <w:pPr>
              <w:pStyle w:val="TableParagraph"/>
              <w:spacing w:before="1"/>
              <w:ind w:left="48"/>
              <w:rPr>
                <w:sz w:val="24"/>
              </w:rPr>
            </w:pPr>
            <w:r>
              <w:rPr>
                <w:spacing w:val="-2"/>
                <w:sz w:val="24"/>
              </w:rPr>
              <w:t>Descrição</w:t>
            </w:r>
          </w:p>
        </w:tc>
        <w:tc>
          <w:tcPr>
            <w:tcW w:w="930" w:type="dxa"/>
          </w:tcPr>
          <w:p>
            <w:pPr>
              <w:pStyle w:val="TableParagraph"/>
              <w:spacing w:before="39"/>
              <w:rPr>
                <w:b/>
                <w:sz w:val="24"/>
              </w:rPr>
            </w:pPr>
          </w:p>
          <w:p>
            <w:pPr>
              <w:pStyle w:val="TableParagraph"/>
              <w:spacing w:before="1"/>
              <w:ind w:left="11"/>
              <w:jc w:val="center"/>
              <w:rPr>
                <w:sz w:val="24"/>
              </w:rPr>
            </w:pPr>
            <w:r>
              <w:rPr>
                <w:spacing w:val="-2"/>
                <w:sz w:val="24"/>
              </w:rPr>
              <w:t>Unidade</w:t>
            </w:r>
          </w:p>
        </w:tc>
        <w:tc>
          <w:tcPr>
            <w:tcW w:w="825" w:type="dxa"/>
          </w:tcPr>
          <w:p>
            <w:pPr>
              <w:pStyle w:val="TableParagraph"/>
              <w:spacing w:before="39"/>
              <w:rPr>
                <w:b/>
                <w:sz w:val="24"/>
              </w:rPr>
            </w:pPr>
          </w:p>
          <w:p>
            <w:pPr>
              <w:pStyle w:val="TableParagraph"/>
              <w:spacing w:before="1"/>
              <w:ind w:left="50"/>
              <w:rPr>
                <w:sz w:val="24"/>
              </w:rPr>
            </w:pPr>
            <w:r>
              <w:rPr>
                <w:spacing w:val="-5"/>
                <w:sz w:val="24"/>
              </w:rPr>
              <w:t>CMM</w:t>
            </w:r>
          </w:p>
        </w:tc>
        <w:tc>
          <w:tcPr>
            <w:tcW w:w="870" w:type="dxa"/>
          </w:tcPr>
          <w:p>
            <w:pPr>
              <w:pStyle w:val="TableParagraph"/>
              <w:spacing w:line="235" w:lineRule="auto" w:before="185"/>
              <w:ind w:left="56" w:right="202"/>
              <w:rPr>
                <w:sz w:val="24"/>
              </w:rPr>
            </w:pPr>
            <w:r>
              <w:rPr>
                <w:spacing w:val="-2"/>
                <w:sz w:val="24"/>
              </w:rPr>
              <w:t>Quant Total</w:t>
            </w:r>
          </w:p>
        </w:tc>
        <w:tc>
          <w:tcPr>
            <w:tcW w:w="1140" w:type="dxa"/>
          </w:tcPr>
          <w:p>
            <w:pPr>
              <w:pStyle w:val="TableParagraph"/>
              <w:spacing w:line="235" w:lineRule="auto" w:before="50"/>
              <w:ind w:left="48"/>
              <w:rPr>
                <w:sz w:val="24"/>
              </w:rPr>
            </w:pPr>
            <w:r>
              <w:rPr>
                <w:spacing w:val="-2"/>
                <w:sz w:val="24"/>
              </w:rPr>
              <w:t>Amostras </w:t>
            </w:r>
            <w:r>
              <w:rPr>
                <w:spacing w:val="-4"/>
                <w:sz w:val="24"/>
              </w:rPr>
              <w:t>para Avaliação</w:t>
            </w:r>
          </w:p>
        </w:tc>
        <w:tc>
          <w:tcPr>
            <w:tcW w:w="1575" w:type="dxa"/>
          </w:tcPr>
          <w:p>
            <w:pPr>
              <w:pStyle w:val="TableParagraph"/>
              <w:tabs>
                <w:tab w:pos="1130" w:val="left" w:leader="none"/>
              </w:tabs>
              <w:spacing w:line="235" w:lineRule="auto" w:before="185"/>
              <w:ind w:left="60" w:right="41"/>
              <w:rPr>
                <w:sz w:val="24"/>
              </w:rPr>
            </w:pPr>
            <w:r>
              <w:rPr>
                <w:spacing w:val="-2"/>
                <w:sz w:val="24"/>
              </w:rPr>
              <w:t>Marcas</w:t>
            </w:r>
            <w:r>
              <w:rPr>
                <w:sz w:val="24"/>
              </w:rPr>
              <w:tab/>
            </w:r>
            <w:r>
              <w:rPr>
                <w:sz w:val="24"/>
              </w:rPr>
              <w:t>pré-</w:t>
            </w:r>
            <w:r>
              <w:rPr>
                <w:spacing w:val="-2"/>
                <w:sz w:val="24"/>
              </w:rPr>
              <w:t>aprovadas</w:t>
            </w:r>
          </w:p>
        </w:tc>
      </w:tr>
      <w:tr>
        <w:trPr>
          <w:trHeight w:val="2249" w:hRule="atLeast"/>
        </w:trPr>
        <w:tc>
          <w:tcPr>
            <w:tcW w:w="58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5"/>
              <w:rPr>
                <w:sz w:val="24"/>
              </w:rPr>
            </w:pPr>
            <w:r>
              <w:rPr>
                <w:spacing w:val="-10"/>
                <w:sz w:val="24"/>
              </w:rPr>
              <w:t>1</w:t>
            </w:r>
          </w:p>
        </w:tc>
        <w:tc>
          <w:tcPr>
            <w:tcW w:w="102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60"/>
              <w:rPr>
                <w:sz w:val="24"/>
              </w:rPr>
            </w:pPr>
            <w:r>
              <w:rPr>
                <w:spacing w:val="-2"/>
                <w:sz w:val="24"/>
              </w:rPr>
              <w:t>15559</w:t>
            </w:r>
          </w:p>
        </w:tc>
        <w:tc>
          <w:tcPr>
            <w:tcW w:w="8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8"/>
              <w:rPr>
                <w:sz w:val="24"/>
              </w:rPr>
            </w:pPr>
            <w:r>
              <w:rPr>
                <w:spacing w:val="-2"/>
                <w:sz w:val="24"/>
              </w:rPr>
              <w:t>182787</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w:t>
            </w:r>
            <w:r>
              <w:rPr>
                <w:spacing w:val="40"/>
                <w:sz w:val="24"/>
              </w:rPr>
              <w:t> </w:t>
            </w:r>
            <w:r>
              <w:rPr>
                <w:sz w:val="24"/>
              </w:rPr>
              <w:t>00, estéril, atóxica, flexível, isenta de látex. Orifício central que garanta boa ventilação e borda de segurança. </w:t>
            </w:r>
            <w:r>
              <w:rPr>
                <w:spacing w:val="-2"/>
                <w:sz w:val="24"/>
              </w:rPr>
              <w:t>Descartável.</w:t>
            </w:r>
          </w:p>
        </w:tc>
        <w:tc>
          <w:tcPr>
            <w:tcW w:w="93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0"/>
              <w:rPr>
                <w:sz w:val="24"/>
              </w:rPr>
            </w:pPr>
            <w:r>
              <w:rPr>
                <w:spacing w:val="-4"/>
                <w:sz w:val="24"/>
              </w:rPr>
              <w:t>12,0</w:t>
            </w:r>
          </w:p>
        </w:tc>
        <w:tc>
          <w:tcPr>
            <w:tcW w:w="87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56"/>
              <w:rPr>
                <w:sz w:val="24"/>
              </w:rPr>
            </w:pPr>
            <w:r>
              <w:rPr>
                <w:spacing w:val="-5"/>
                <w:sz w:val="24"/>
              </w:rPr>
              <w:t>144</w:t>
            </w:r>
          </w:p>
        </w:tc>
        <w:tc>
          <w:tcPr>
            <w:tcW w:w="1140" w:type="dxa"/>
          </w:tcPr>
          <w:p>
            <w:pPr>
              <w:pStyle w:val="TableParagraph"/>
              <w:rPr>
                <w:b/>
                <w:sz w:val="24"/>
              </w:rPr>
            </w:pPr>
          </w:p>
          <w:p>
            <w:pPr>
              <w:pStyle w:val="TableParagraph"/>
              <w:rPr>
                <w:b/>
                <w:sz w:val="24"/>
              </w:rPr>
            </w:pPr>
          </w:p>
          <w:p>
            <w:pPr>
              <w:pStyle w:val="TableParagraph"/>
              <w:spacing w:before="148"/>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rPr>
                <w:b/>
                <w:sz w:val="24"/>
              </w:rPr>
            </w:pPr>
          </w:p>
          <w:p>
            <w:pPr>
              <w:pStyle w:val="TableParagraph"/>
              <w:spacing w:before="17"/>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94"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2</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15558</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2998</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0,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4"/>
                <w:sz w:val="24"/>
              </w:rPr>
              <w:t>13,0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5"/>
                <w:sz w:val="24"/>
              </w:rPr>
              <w:t>156</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79"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3</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15560</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3001</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1,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4"/>
                <w:sz w:val="24"/>
              </w:rPr>
              <w:t>46,0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5"/>
                <w:sz w:val="24"/>
              </w:rPr>
              <w:t>552</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79"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4</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15561</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3002</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2,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4"/>
                <w:sz w:val="24"/>
              </w:rPr>
              <w:t>46,0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5"/>
                <w:sz w:val="24"/>
              </w:rPr>
              <w:t>552</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94"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5</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12613</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3003</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3,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2"/>
                <w:sz w:val="24"/>
              </w:rPr>
              <w:t>1.000,0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2"/>
                <w:sz w:val="24"/>
              </w:rPr>
              <w:t>12.000</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79"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6</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15466</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3004</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4,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2"/>
                <w:sz w:val="24"/>
              </w:rPr>
              <w:t>2.000,0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2"/>
                <w:sz w:val="24"/>
              </w:rPr>
              <w:t>24.000</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79" w:hRule="atLeast"/>
        </w:trPr>
        <w:tc>
          <w:tcPr>
            <w:tcW w:w="58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5"/>
              <w:rPr>
                <w:sz w:val="24"/>
              </w:rPr>
            </w:pPr>
            <w:r>
              <w:rPr>
                <w:spacing w:val="-10"/>
                <w:sz w:val="24"/>
              </w:rPr>
              <w:t>7</w:t>
            </w:r>
          </w:p>
        </w:tc>
        <w:tc>
          <w:tcPr>
            <w:tcW w:w="102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60"/>
              <w:rPr>
                <w:sz w:val="24"/>
              </w:rPr>
            </w:pPr>
            <w:r>
              <w:rPr>
                <w:spacing w:val="-2"/>
                <w:sz w:val="24"/>
              </w:rPr>
              <w:t>15467</w:t>
            </w:r>
          </w:p>
        </w:tc>
        <w:tc>
          <w:tcPr>
            <w:tcW w:w="8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8"/>
              <w:rPr>
                <w:sz w:val="24"/>
              </w:rPr>
            </w:pPr>
            <w:r>
              <w:rPr>
                <w:spacing w:val="-4"/>
                <w:sz w:val="24"/>
              </w:rPr>
              <w:t>3005</w:t>
            </w:r>
          </w:p>
        </w:tc>
        <w:tc>
          <w:tcPr>
            <w:tcW w:w="2565" w:type="dxa"/>
          </w:tcPr>
          <w:p>
            <w:pPr>
              <w:pStyle w:val="TableParagraph"/>
              <w:tabs>
                <w:tab w:pos="1405" w:val="left" w:leader="none"/>
              </w:tabs>
              <w:spacing w:line="235" w:lineRule="auto" w:before="35"/>
              <w:ind w:left="48" w:right="36"/>
              <w:jc w:val="both"/>
              <w:rPr>
                <w:sz w:val="24"/>
              </w:rPr>
            </w:pPr>
            <w:r>
              <w:rPr>
                <w:spacing w:val="-2"/>
                <w:sz w:val="24"/>
              </w:rPr>
              <w:t>Cânula</w:t>
            </w:r>
            <w:r>
              <w:rPr>
                <w:sz w:val="24"/>
              </w:rPr>
              <w:tab/>
            </w:r>
            <w:r>
              <w:rPr>
                <w:spacing w:val="-2"/>
                <w:sz w:val="24"/>
              </w:rPr>
              <w:t>orofaríngea </w:t>
            </w:r>
            <w:r>
              <w:rPr>
                <w:sz w:val="24"/>
              </w:rPr>
              <w:t>(Guedel), em PVC, nº 5,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0"/>
              <w:rPr>
                <w:sz w:val="24"/>
              </w:rPr>
            </w:pPr>
            <w:r>
              <w:rPr>
                <w:spacing w:val="-2"/>
                <w:sz w:val="24"/>
              </w:rPr>
              <w:t>1.000,0</w:t>
            </w:r>
          </w:p>
        </w:tc>
        <w:tc>
          <w:tcPr>
            <w:tcW w:w="87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56"/>
              <w:rPr>
                <w:sz w:val="24"/>
              </w:rPr>
            </w:pPr>
            <w:r>
              <w:rPr>
                <w:spacing w:val="-2"/>
                <w:sz w:val="24"/>
              </w:rPr>
              <w:t>12.000</w:t>
            </w:r>
          </w:p>
        </w:tc>
        <w:tc>
          <w:tcPr>
            <w:tcW w:w="1140" w:type="dxa"/>
          </w:tcPr>
          <w:p>
            <w:pPr>
              <w:pStyle w:val="TableParagraph"/>
              <w:rPr>
                <w:b/>
                <w:sz w:val="24"/>
              </w:rPr>
            </w:pPr>
          </w:p>
          <w:p>
            <w:pPr>
              <w:pStyle w:val="TableParagraph"/>
              <w:rPr>
                <w:b/>
                <w:sz w:val="24"/>
              </w:rPr>
            </w:pPr>
          </w:p>
          <w:p>
            <w:pPr>
              <w:pStyle w:val="TableParagraph"/>
              <w:spacing w:before="13"/>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58"/>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994" w:hRule="atLeast"/>
        </w:trPr>
        <w:tc>
          <w:tcPr>
            <w:tcW w:w="58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5"/>
              <w:rPr>
                <w:sz w:val="24"/>
              </w:rPr>
            </w:pPr>
            <w:r>
              <w:rPr>
                <w:spacing w:val="-10"/>
                <w:sz w:val="24"/>
              </w:rPr>
              <w:t>8</w:t>
            </w:r>
          </w:p>
        </w:tc>
        <w:tc>
          <w:tcPr>
            <w:tcW w:w="102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60"/>
              <w:rPr>
                <w:sz w:val="24"/>
              </w:rPr>
            </w:pPr>
            <w:r>
              <w:rPr>
                <w:spacing w:val="-2"/>
                <w:sz w:val="24"/>
              </w:rPr>
              <w:t>15562</w:t>
            </w:r>
          </w:p>
        </w:tc>
        <w:tc>
          <w:tcPr>
            <w:tcW w:w="84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8"/>
              <w:rPr>
                <w:sz w:val="24"/>
              </w:rPr>
            </w:pPr>
            <w:r>
              <w:rPr>
                <w:spacing w:val="-4"/>
                <w:sz w:val="24"/>
              </w:rPr>
              <w:t>3000</w:t>
            </w:r>
          </w:p>
        </w:tc>
        <w:tc>
          <w:tcPr>
            <w:tcW w:w="2565" w:type="dxa"/>
          </w:tcPr>
          <w:p>
            <w:pPr>
              <w:pStyle w:val="TableParagraph"/>
              <w:tabs>
                <w:tab w:pos="1405" w:val="left" w:leader="none"/>
              </w:tabs>
              <w:spacing w:line="235" w:lineRule="auto" w:before="50"/>
              <w:ind w:left="48" w:right="36"/>
              <w:jc w:val="both"/>
              <w:rPr>
                <w:sz w:val="24"/>
              </w:rPr>
            </w:pPr>
            <w:r>
              <w:rPr>
                <w:spacing w:val="-2"/>
                <w:sz w:val="24"/>
              </w:rPr>
              <w:t>Cânula</w:t>
            </w:r>
            <w:r>
              <w:rPr>
                <w:sz w:val="24"/>
              </w:rPr>
              <w:tab/>
            </w:r>
            <w:r>
              <w:rPr>
                <w:spacing w:val="-2"/>
                <w:sz w:val="24"/>
              </w:rPr>
              <w:t>orofaríngea </w:t>
            </w:r>
            <w:r>
              <w:rPr>
                <w:sz w:val="24"/>
              </w:rPr>
              <w:t>(Guedel), em PVC, nº 6, estéril, atóxica, flexível, isenta de látex. Orifício central que garanta boa ventilação e borda de segurança. Descartável.</w:t>
            </w:r>
          </w:p>
        </w:tc>
        <w:tc>
          <w:tcPr>
            <w:tcW w:w="93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0"/>
              <w:rPr>
                <w:sz w:val="24"/>
              </w:rPr>
            </w:pPr>
            <w:r>
              <w:rPr>
                <w:spacing w:val="-2"/>
                <w:sz w:val="24"/>
              </w:rPr>
              <w:t>230,0</w:t>
            </w:r>
          </w:p>
        </w:tc>
        <w:tc>
          <w:tcPr>
            <w:tcW w:w="87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56"/>
              <w:rPr>
                <w:sz w:val="24"/>
              </w:rPr>
            </w:pPr>
            <w:r>
              <w:rPr>
                <w:spacing w:val="-2"/>
                <w:sz w:val="24"/>
              </w:rPr>
              <w:t>2.760</w:t>
            </w:r>
          </w:p>
        </w:tc>
        <w:tc>
          <w:tcPr>
            <w:tcW w:w="1140" w:type="dxa"/>
          </w:tcPr>
          <w:p>
            <w:pPr>
              <w:pStyle w:val="TableParagraph"/>
              <w:rPr>
                <w:b/>
                <w:sz w:val="24"/>
              </w:rPr>
            </w:pPr>
          </w:p>
          <w:p>
            <w:pPr>
              <w:pStyle w:val="TableParagraph"/>
              <w:rPr>
                <w:b/>
                <w:sz w:val="24"/>
              </w:rPr>
            </w:pPr>
          </w:p>
          <w:p>
            <w:pPr>
              <w:pStyle w:val="TableParagraph"/>
              <w:spacing w:before="28"/>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73"/>
              <w:rPr>
                <w:b/>
                <w:sz w:val="24"/>
              </w:rPr>
            </w:pPr>
          </w:p>
          <w:p>
            <w:pPr>
              <w:pStyle w:val="TableParagraph"/>
              <w:tabs>
                <w:tab w:pos="1449" w:val="left" w:leader="none"/>
              </w:tabs>
              <w:spacing w:line="235" w:lineRule="auto"/>
              <w:ind w:left="60" w:right="41"/>
              <w:rPr>
                <w:sz w:val="24"/>
              </w:rPr>
            </w:pPr>
            <w:r>
              <w:rPr>
                <w:spacing w:val="-2"/>
                <w:sz w:val="24"/>
              </w:rPr>
              <w:t>Advantive</w:t>
            </w:r>
            <w:r>
              <w:rPr>
                <w:sz w:val="24"/>
              </w:rPr>
              <w:tab/>
            </w:r>
            <w:r>
              <w:rPr>
                <w:spacing w:val="-10"/>
                <w:sz w:val="24"/>
              </w:rPr>
              <w:t>/ </w:t>
            </w:r>
            <w:r>
              <w:rPr>
                <w:sz w:val="24"/>
              </w:rPr>
              <w:t>João Med</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10"/>
                <w:sz w:val="24"/>
              </w:rPr>
              <w:t>9</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8017</w:t>
            </w:r>
          </w:p>
        </w:tc>
        <w:tc>
          <w:tcPr>
            <w:tcW w:w="840" w:type="dxa"/>
          </w:tcPr>
          <w:p>
            <w:pPr>
              <w:pStyle w:val="TableParagraph"/>
              <w:rPr>
                <w:b/>
                <w:sz w:val="24"/>
              </w:rPr>
            </w:pPr>
          </w:p>
          <w:p>
            <w:pPr>
              <w:pStyle w:val="TableParagraph"/>
              <w:spacing w:before="19"/>
              <w:rPr>
                <w:b/>
                <w:sz w:val="24"/>
              </w:rPr>
            </w:pPr>
          </w:p>
          <w:p>
            <w:pPr>
              <w:pStyle w:val="TableParagraph"/>
              <w:ind w:left="58"/>
              <w:rPr>
                <w:sz w:val="24"/>
              </w:rPr>
            </w:pPr>
            <w:r>
              <w:rPr>
                <w:spacing w:val="-2"/>
                <w:sz w:val="24"/>
              </w:rPr>
              <w:t>114475</w:t>
            </w:r>
          </w:p>
        </w:tc>
        <w:tc>
          <w:tcPr>
            <w:tcW w:w="2565" w:type="dxa"/>
          </w:tcPr>
          <w:p>
            <w:pPr>
              <w:pStyle w:val="TableParagraph"/>
              <w:spacing w:line="235" w:lineRule="auto" w:before="35"/>
              <w:ind w:left="48" w:right="36"/>
              <w:jc w:val="both"/>
              <w:rPr>
                <w:sz w:val="24"/>
              </w:rPr>
            </w:pPr>
            <w:r>
              <w:rPr>
                <w:sz w:val="24"/>
              </w:rPr>
              <w:t>Máscara laríngea </w:t>
            </w:r>
            <w:r>
              <w:rPr>
                <w:sz w:val="24"/>
              </w:rPr>
              <w:t>em PVC, nº 1,0,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5"/>
                <w:sz w:val="24"/>
              </w:rPr>
              <w:t>6,4</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77</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r>
        <w:trPr>
          <w:trHeight w:val="1454"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10</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8018</w:t>
            </w:r>
          </w:p>
        </w:tc>
        <w:tc>
          <w:tcPr>
            <w:tcW w:w="840" w:type="dxa"/>
          </w:tcPr>
          <w:p>
            <w:pPr>
              <w:pStyle w:val="TableParagraph"/>
              <w:rPr>
                <w:b/>
                <w:sz w:val="24"/>
              </w:rPr>
            </w:pPr>
          </w:p>
          <w:p>
            <w:pPr>
              <w:pStyle w:val="TableParagraph"/>
              <w:spacing w:before="19"/>
              <w:rPr>
                <w:b/>
                <w:sz w:val="24"/>
              </w:rPr>
            </w:pPr>
          </w:p>
          <w:p>
            <w:pPr>
              <w:pStyle w:val="TableParagraph"/>
              <w:ind w:left="58"/>
              <w:rPr>
                <w:sz w:val="24"/>
              </w:rPr>
            </w:pPr>
            <w:r>
              <w:rPr>
                <w:spacing w:val="-2"/>
                <w:sz w:val="24"/>
              </w:rPr>
              <w:t>160748</w:t>
            </w:r>
          </w:p>
        </w:tc>
        <w:tc>
          <w:tcPr>
            <w:tcW w:w="2565" w:type="dxa"/>
          </w:tcPr>
          <w:p>
            <w:pPr>
              <w:pStyle w:val="TableParagraph"/>
              <w:spacing w:line="235" w:lineRule="auto" w:before="35"/>
              <w:ind w:left="48" w:right="36"/>
              <w:jc w:val="both"/>
              <w:rPr>
                <w:sz w:val="24"/>
              </w:rPr>
            </w:pPr>
            <w:r>
              <w:rPr>
                <w:sz w:val="24"/>
              </w:rPr>
              <w:t>Máscara laríngea </w:t>
            </w:r>
            <w:r>
              <w:rPr>
                <w:sz w:val="24"/>
              </w:rPr>
              <w:t>em PVC, nº 1,5,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5"/>
                <w:sz w:val="24"/>
              </w:rPr>
              <w:t>8,8</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106</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11</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8019</w:t>
            </w:r>
          </w:p>
        </w:tc>
        <w:tc>
          <w:tcPr>
            <w:tcW w:w="840" w:type="dxa"/>
          </w:tcPr>
          <w:p>
            <w:pPr>
              <w:pStyle w:val="TableParagraph"/>
              <w:rPr>
                <w:b/>
                <w:sz w:val="24"/>
              </w:rPr>
            </w:pPr>
          </w:p>
          <w:p>
            <w:pPr>
              <w:pStyle w:val="TableParagraph"/>
              <w:spacing w:before="19"/>
              <w:rPr>
                <w:b/>
                <w:sz w:val="24"/>
              </w:rPr>
            </w:pPr>
          </w:p>
          <w:p>
            <w:pPr>
              <w:pStyle w:val="TableParagraph"/>
              <w:ind w:left="58"/>
              <w:rPr>
                <w:sz w:val="24"/>
              </w:rPr>
            </w:pPr>
            <w:r>
              <w:rPr>
                <w:spacing w:val="-2"/>
                <w:sz w:val="24"/>
              </w:rPr>
              <w:t>114476</w:t>
            </w:r>
          </w:p>
        </w:tc>
        <w:tc>
          <w:tcPr>
            <w:tcW w:w="2565" w:type="dxa"/>
          </w:tcPr>
          <w:p>
            <w:pPr>
              <w:pStyle w:val="TableParagraph"/>
              <w:spacing w:line="235" w:lineRule="auto" w:before="35"/>
              <w:ind w:left="48" w:right="36"/>
              <w:jc w:val="both"/>
              <w:rPr>
                <w:sz w:val="24"/>
              </w:rPr>
            </w:pPr>
            <w:r>
              <w:rPr>
                <w:sz w:val="24"/>
              </w:rPr>
              <w:t>Máscara laríngea </w:t>
            </w:r>
            <w:r>
              <w:rPr>
                <w:sz w:val="24"/>
              </w:rPr>
              <w:t>em PVC, nº 2,0,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4"/>
                <w:sz w:val="24"/>
              </w:rPr>
              <w:t>13,2</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158</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2565"/>
        <w:gridCol w:w="930"/>
        <w:gridCol w:w="825"/>
        <w:gridCol w:w="870"/>
        <w:gridCol w:w="1140"/>
        <w:gridCol w:w="1575"/>
      </w:tblGrid>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12</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8020</w:t>
            </w:r>
          </w:p>
        </w:tc>
        <w:tc>
          <w:tcPr>
            <w:tcW w:w="84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160988</w:t>
            </w:r>
          </w:p>
        </w:tc>
        <w:tc>
          <w:tcPr>
            <w:tcW w:w="2565" w:type="dxa"/>
          </w:tcPr>
          <w:p>
            <w:pPr>
              <w:pStyle w:val="TableParagraph"/>
              <w:spacing w:line="235" w:lineRule="auto" w:before="35"/>
              <w:ind w:left="48" w:right="36"/>
              <w:jc w:val="both"/>
              <w:rPr>
                <w:sz w:val="24"/>
              </w:rPr>
            </w:pPr>
            <w:r>
              <w:rPr>
                <w:sz w:val="24"/>
              </w:rPr>
              <w:t>Máscara laríngea </w:t>
            </w:r>
            <w:r>
              <w:rPr>
                <w:sz w:val="24"/>
              </w:rPr>
              <w:t>em PVC, nº 2,5,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4"/>
                <w:sz w:val="24"/>
              </w:rPr>
              <w:t>13,0</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156</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13</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8021</w:t>
            </w:r>
          </w:p>
        </w:tc>
        <w:tc>
          <w:tcPr>
            <w:tcW w:w="840" w:type="dxa"/>
          </w:tcPr>
          <w:p>
            <w:pPr>
              <w:pStyle w:val="TableParagraph"/>
              <w:rPr>
                <w:b/>
                <w:sz w:val="24"/>
              </w:rPr>
            </w:pPr>
          </w:p>
          <w:p>
            <w:pPr>
              <w:pStyle w:val="TableParagraph"/>
              <w:spacing w:before="19"/>
              <w:rPr>
                <w:b/>
                <w:sz w:val="24"/>
              </w:rPr>
            </w:pPr>
          </w:p>
          <w:p>
            <w:pPr>
              <w:pStyle w:val="TableParagraph"/>
              <w:ind w:left="11" w:right="9"/>
              <w:jc w:val="center"/>
              <w:rPr>
                <w:sz w:val="24"/>
              </w:rPr>
            </w:pPr>
            <w:r>
              <w:rPr>
                <w:spacing w:val="-2"/>
                <w:sz w:val="24"/>
              </w:rPr>
              <w:t>114477</w:t>
            </w:r>
          </w:p>
        </w:tc>
        <w:tc>
          <w:tcPr>
            <w:tcW w:w="2565" w:type="dxa"/>
          </w:tcPr>
          <w:p>
            <w:pPr>
              <w:pStyle w:val="TableParagraph"/>
              <w:spacing w:line="235" w:lineRule="auto" w:before="35"/>
              <w:ind w:left="48" w:right="36"/>
              <w:jc w:val="both"/>
              <w:rPr>
                <w:sz w:val="24"/>
              </w:rPr>
            </w:pPr>
            <w:r>
              <w:rPr>
                <w:sz w:val="24"/>
              </w:rPr>
              <w:t>Máscara laríngea </w:t>
            </w:r>
            <w:r>
              <w:rPr>
                <w:sz w:val="24"/>
              </w:rPr>
              <w:t>em PVC, nº 3,0,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5"/>
                <w:sz w:val="24"/>
              </w:rPr>
              <w:t>9,0</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108</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r>
        <w:trPr>
          <w:trHeight w:val="1454"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14</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8022</w:t>
            </w:r>
          </w:p>
        </w:tc>
        <w:tc>
          <w:tcPr>
            <w:tcW w:w="840" w:type="dxa"/>
          </w:tcPr>
          <w:p>
            <w:pPr>
              <w:pStyle w:val="TableParagraph"/>
              <w:rPr>
                <w:b/>
                <w:sz w:val="24"/>
              </w:rPr>
            </w:pPr>
          </w:p>
          <w:p>
            <w:pPr>
              <w:pStyle w:val="TableParagraph"/>
              <w:spacing w:before="19"/>
              <w:rPr>
                <w:b/>
                <w:sz w:val="24"/>
              </w:rPr>
            </w:pPr>
          </w:p>
          <w:p>
            <w:pPr>
              <w:pStyle w:val="TableParagraph"/>
              <w:ind w:left="11" w:right="9"/>
              <w:jc w:val="center"/>
              <w:rPr>
                <w:sz w:val="24"/>
              </w:rPr>
            </w:pPr>
            <w:r>
              <w:rPr>
                <w:spacing w:val="-2"/>
                <w:sz w:val="24"/>
              </w:rPr>
              <w:t>114478</w:t>
            </w:r>
          </w:p>
        </w:tc>
        <w:tc>
          <w:tcPr>
            <w:tcW w:w="2565" w:type="dxa"/>
          </w:tcPr>
          <w:p>
            <w:pPr>
              <w:pStyle w:val="TableParagraph"/>
              <w:spacing w:line="235" w:lineRule="auto" w:before="35"/>
              <w:ind w:left="48" w:right="36"/>
              <w:jc w:val="both"/>
              <w:rPr>
                <w:sz w:val="24"/>
              </w:rPr>
            </w:pPr>
            <w:r>
              <w:rPr>
                <w:sz w:val="24"/>
              </w:rPr>
              <w:t>Máscara laríngea </w:t>
            </w:r>
            <w:r>
              <w:rPr>
                <w:sz w:val="24"/>
              </w:rPr>
              <w:t>em PVC, nº 4,0,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4"/>
                <w:sz w:val="24"/>
              </w:rPr>
              <w:t>11,6</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139</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r>
        <w:trPr>
          <w:trHeight w:val="1439" w:hRule="atLeast"/>
        </w:trPr>
        <w:tc>
          <w:tcPr>
            <w:tcW w:w="585" w:type="dxa"/>
          </w:tcPr>
          <w:p>
            <w:pPr>
              <w:pStyle w:val="TableParagraph"/>
              <w:rPr>
                <w:b/>
                <w:sz w:val="24"/>
              </w:rPr>
            </w:pPr>
          </w:p>
          <w:p>
            <w:pPr>
              <w:pStyle w:val="TableParagraph"/>
              <w:spacing w:before="19"/>
              <w:rPr>
                <w:b/>
                <w:sz w:val="24"/>
              </w:rPr>
            </w:pPr>
          </w:p>
          <w:p>
            <w:pPr>
              <w:pStyle w:val="TableParagraph"/>
              <w:ind w:left="55"/>
              <w:rPr>
                <w:sz w:val="24"/>
              </w:rPr>
            </w:pPr>
            <w:r>
              <w:rPr>
                <w:spacing w:val="-5"/>
                <w:sz w:val="24"/>
              </w:rPr>
              <w:t>15</w:t>
            </w:r>
          </w:p>
        </w:tc>
        <w:tc>
          <w:tcPr>
            <w:tcW w:w="1020" w:type="dxa"/>
          </w:tcPr>
          <w:p>
            <w:pPr>
              <w:pStyle w:val="TableParagraph"/>
              <w:rPr>
                <w:b/>
                <w:sz w:val="24"/>
              </w:rPr>
            </w:pPr>
          </w:p>
          <w:p>
            <w:pPr>
              <w:pStyle w:val="TableParagraph"/>
              <w:spacing w:before="19"/>
              <w:rPr>
                <w:b/>
                <w:sz w:val="24"/>
              </w:rPr>
            </w:pPr>
          </w:p>
          <w:p>
            <w:pPr>
              <w:pStyle w:val="TableParagraph"/>
              <w:ind w:left="60"/>
              <w:rPr>
                <w:sz w:val="24"/>
              </w:rPr>
            </w:pPr>
            <w:r>
              <w:rPr>
                <w:spacing w:val="-4"/>
                <w:sz w:val="24"/>
              </w:rPr>
              <w:t>8023</w:t>
            </w:r>
          </w:p>
        </w:tc>
        <w:tc>
          <w:tcPr>
            <w:tcW w:w="840" w:type="dxa"/>
          </w:tcPr>
          <w:p>
            <w:pPr>
              <w:pStyle w:val="TableParagraph"/>
              <w:rPr>
                <w:b/>
                <w:sz w:val="24"/>
              </w:rPr>
            </w:pPr>
          </w:p>
          <w:p>
            <w:pPr>
              <w:pStyle w:val="TableParagraph"/>
              <w:spacing w:before="19"/>
              <w:rPr>
                <w:b/>
                <w:sz w:val="24"/>
              </w:rPr>
            </w:pPr>
          </w:p>
          <w:p>
            <w:pPr>
              <w:pStyle w:val="TableParagraph"/>
              <w:ind w:left="11" w:right="9"/>
              <w:jc w:val="center"/>
              <w:rPr>
                <w:sz w:val="24"/>
              </w:rPr>
            </w:pPr>
            <w:r>
              <w:rPr>
                <w:spacing w:val="-2"/>
                <w:sz w:val="24"/>
              </w:rPr>
              <w:t>114479</w:t>
            </w:r>
          </w:p>
        </w:tc>
        <w:tc>
          <w:tcPr>
            <w:tcW w:w="2565" w:type="dxa"/>
          </w:tcPr>
          <w:p>
            <w:pPr>
              <w:pStyle w:val="TableParagraph"/>
              <w:spacing w:line="235" w:lineRule="auto" w:before="35"/>
              <w:ind w:left="48" w:right="36"/>
              <w:jc w:val="both"/>
              <w:rPr>
                <w:sz w:val="24"/>
              </w:rPr>
            </w:pPr>
            <w:r>
              <w:rPr>
                <w:sz w:val="24"/>
              </w:rPr>
              <w:t>Máscara laríngea </w:t>
            </w:r>
            <w:r>
              <w:rPr>
                <w:sz w:val="24"/>
              </w:rPr>
              <w:t>em PVC, nº 5,0, atóxica,</w:t>
            </w:r>
            <w:r>
              <w:rPr>
                <w:spacing w:val="40"/>
                <w:sz w:val="24"/>
              </w:rPr>
              <w:t> </w:t>
            </w:r>
            <w:r>
              <w:rPr>
                <w:sz w:val="24"/>
              </w:rPr>
              <w:t>com marcação linear, isenta</w:t>
            </w:r>
            <w:r>
              <w:rPr>
                <w:spacing w:val="-4"/>
                <w:sz w:val="24"/>
              </w:rPr>
              <w:t> </w:t>
            </w:r>
            <w:r>
              <w:rPr>
                <w:sz w:val="24"/>
              </w:rPr>
              <w:t>do</w:t>
            </w:r>
            <w:r>
              <w:rPr>
                <w:spacing w:val="-4"/>
                <w:sz w:val="24"/>
              </w:rPr>
              <w:t> </w:t>
            </w:r>
            <w:r>
              <w:rPr>
                <w:sz w:val="24"/>
              </w:rPr>
              <w:t>de</w:t>
            </w:r>
            <w:r>
              <w:rPr>
                <w:spacing w:val="-4"/>
                <w:sz w:val="24"/>
              </w:rPr>
              <w:t> </w:t>
            </w:r>
            <w:r>
              <w:rPr>
                <w:sz w:val="24"/>
              </w:rPr>
              <w:t>látex,</w:t>
            </w:r>
            <w:r>
              <w:rPr>
                <w:spacing w:val="-4"/>
                <w:sz w:val="24"/>
              </w:rPr>
              <w:t> </w:t>
            </w:r>
            <w:r>
              <w:rPr>
                <w:sz w:val="24"/>
              </w:rPr>
              <w:t>estéril, </w:t>
            </w:r>
            <w:r>
              <w:rPr>
                <w:spacing w:val="-2"/>
                <w:sz w:val="24"/>
              </w:rPr>
              <w:t>descartável.</w:t>
            </w:r>
          </w:p>
        </w:tc>
        <w:tc>
          <w:tcPr>
            <w:tcW w:w="930" w:type="dxa"/>
          </w:tcPr>
          <w:p>
            <w:pPr>
              <w:pStyle w:val="TableParagraph"/>
              <w:rPr>
                <w:b/>
                <w:sz w:val="24"/>
              </w:rPr>
            </w:pPr>
          </w:p>
          <w:p>
            <w:pPr>
              <w:pStyle w:val="TableParagraph"/>
              <w:spacing w:before="19"/>
              <w:rPr>
                <w:b/>
                <w:sz w:val="24"/>
              </w:rPr>
            </w:pPr>
          </w:p>
          <w:p>
            <w:pPr>
              <w:pStyle w:val="TableParagraph"/>
              <w:ind w:left="11"/>
              <w:jc w:val="center"/>
              <w:rPr>
                <w:sz w:val="24"/>
              </w:rPr>
            </w:pPr>
            <w:r>
              <w:rPr>
                <w:spacing w:val="-2"/>
                <w:sz w:val="24"/>
              </w:rPr>
              <w:t>Unidade</w:t>
            </w:r>
          </w:p>
        </w:tc>
        <w:tc>
          <w:tcPr>
            <w:tcW w:w="825" w:type="dxa"/>
          </w:tcPr>
          <w:p>
            <w:pPr>
              <w:pStyle w:val="TableParagraph"/>
              <w:rPr>
                <w:b/>
                <w:sz w:val="24"/>
              </w:rPr>
            </w:pPr>
          </w:p>
          <w:p>
            <w:pPr>
              <w:pStyle w:val="TableParagraph"/>
              <w:spacing w:before="19"/>
              <w:rPr>
                <w:b/>
                <w:sz w:val="24"/>
              </w:rPr>
            </w:pPr>
          </w:p>
          <w:p>
            <w:pPr>
              <w:pStyle w:val="TableParagraph"/>
              <w:ind w:left="50"/>
              <w:rPr>
                <w:sz w:val="24"/>
              </w:rPr>
            </w:pPr>
            <w:r>
              <w:rPr>
                <w:spacing w:val="-4"/>
                <w:sz w:val="24"/>
              </w:rPr>
              <w:t>10,6</w:t>
            </w:r>
          </w:p>
        </w:tc>
        <w:tc>
          <w:tcPr>
            <w:tcW w:w="870" w:type="dxa"/>
          </w:tcPr>
          <w:p>
            <w:pPr>
              <w:pStyle w:val="TableParagraph"/>
              <w:rPr>
                <w:b/>
                <w:sz w:val="24"/>
              </w:rPr>
            </w:pPr>
          </w:p>
          <w:p>
            <w:pPr>
              <w:pStyle w:val="TableParagraph"/>
              <w:spacing w:before="19"/>
              <w:rPr>
                <w:b/>
                <w:sz w:val="24"/>
              </w:rPr>
            </w:pPr>
          </w:p>
          <w:p>
            <w:pPr>
              <w:pStyle w:val="TableParagraph"/>
              <w:ind w:left="56"/>
              <w:rPr>
                <w:sz w:val="24"/>
              </w:rPr>
            </w:pPr>
            <w:r>
              <w:rPr>
                <w:spacing w:val="-5"/>
                <w:sz w:val="24"/>
              </w:rPr>
              <w:t>127</w:t>
            </w:r>
          </w:p>
        </w:tc>
        <w:tc>
          <w:tcPr>
            <w:tcW w:w="1140" w:type="dxa"/>
          </w:tcPr>
          <w:p>
            <w:pPr>
              <w:pStyle w:val="TableParagraph"/>
              <w:rPr>
                <w:b/>
                <w:sz w:val="24"/>
              </w:rPr>
            </w:pPr>
          </w:p>
          <w:p>
            <w:pPr>
              <w:pStyle w:val="TableParagraph"/>
              <w:spacing w:before="19"/>
              <w:rPr>
                <w:b/>
                <w:sz w:val="24"/>
              </w:rPr>
            </w:pPr>
          </w:p>
          <w:p>
            <w:pPr>
              <w:pStyle w:val="TableParagraph"/>
              <w:ind w:left="48"/>
              <w:rPr>
                <w:sz w:val="24"/>
              </w:rPr>
            </w:pPr>
            <w:r>
              <w:rPr>
                <w:spacing w:val="-10"/>
                <w:sz w:val="24"/>
              </w:rPr>
              <w:t>2</w:t>
            </w:r>
          </w:p>
        </w:tc>
        <w:tc>
          <w:tcPr>
            <w:tcW w:w="1575" w:type="dxa"/>
          </w:tcPr>
          <w:p>
            <w:pPr>
              <w:pStyle w:val="TableParagraph"/>
              <w:rPr>
                <w:b/>
                <w:sz w:val="24"/>
              </w:rPr>
            </w:pPr>
          </w:p>
          <w:p>
            <w:pPr>
              <w:pStyle w:val="TableParagraph"/>
              <w:spacing w:before="19"/>
              <w:rPr>
                <w:b/>
                <w:sz w:val="24"/>
              </w:rPr>
            </w:pPr>
          </w:p>
          <w:p>
            <w:pPr>
              <w:pStyle w:val="TableParagraph"/>
              <w:ind w:right="77"/>
              <w:jc w:val="center"/>
              <w:rPr>
                <w:sz w:val="24"/>
              </w:rPr>
            </w:pPr>
            <w:r>
              <w:rPr>
                <w:spacing w:val="-2"/>
                <w:sz w:val="24"/>
              </w:rPr>
              <w:t>HAIBREATH</w:t>
            </w:r>
          </w:p>
        </w:tc>
      </w:tr>
    </w:tbl>
    <w:p>
      <w:pPr>
        <w:pStyle w:val="BodyText"/>
        <w:spacing w:before="0"/>
        <w:ind w:left="0"/>
        <w:rPr>
          <w:b/>
        </w:rPr>
      </w:pPr>
    </w:p>
    <w:p>
      <w:pPr>
        <w:pStyle w:val="BodyText"/>
        <w:spacing w:before="38"/>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6</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80"/>
          <w:sz w:val="24"/>
        </w:rPr>
        <w:t> </w:t>
      </w:r>
      <w:r>
        <w:rPr>
          <w:sz w:val="24"/>
        </w:rPr>
        <w:t>10%</w:t>
      </w:r>
      <w:r>
        <w:rPr>
          <w:spacing w:val="80"/>
          <w:sz w:val="24"/>
        </w:rPr>
        <w:t> </w:t>
      </w:r>
      <w:r>
        <w:rPr>
          <w:sz w:val="24"/>
        </w:rPr>
        <w:t>como</w:t>
      </w:r>
      <w:r>
        <w:rPr>
          <w:spacing w:val="80"/>
          <w:sz w:val="24"/>
        </w:rPr>
        <w:t> </w:t>
      </w:r>
      <w:r>
        <w:rPr>
          <w:sz w:val="24"/>
        </w:rPr>
        <w:t>margem</w:t>
      </w:r>
      <w:r>
        <w:rPr>
          <w:spacing w:val="80"/>
          <w:sz w:val="24"/>
        </w:rPr>
        <w:t> </w:t>
      </w:r>
      <w:r>
        <w:rPr>
          <w:sz w:val="24"/>
        </w:rPr>
        <w:t>de</w:t>
      </w:r>
      <w:r>
        <w:rPr>
          <w:spacing w:val="80"/>
          <w:sz w:val="24"/>
        </w:rPr>
        <w:t> </w:t>
      </w:r>
      <w:r>
        <w:rPr>
          <w:sz w:val="24"/>
        </w:rPr>
        <w:t>segurança,</w:t>
      </w:r>
      <w:r>
        <w:rPr>
          <w:spacing w:val="80"/>
          <w:sz w:val="24"/>
        </w:rPr>
        <w:t> </w:t>
      </w:r>
      <w:r>
        <w:rPr>
          <w:sz w:val="24"/>
        </w:rPr>
        <w:t>na</w:t>
      </w:r>
      <w:r>
        <w:rPr>
          <w:spacing w:val="80"/>
          <w:sz w:val="24"/>
        </w:rPr>
        <w:t> </w:t>
      </w:r>
      <w:r>
        <w:rPr>
          <w:sz w:val="24"/>
        </w:rPr>
        <w:t>solicitação</w:t>
      </w:r>
      <w:r>
        <w:rPr>
          <w:spacing w:val="80"/>
          <w:sz w:val="24"/>
        </w:rPr>
        <w:t> </w:t>
      </w:r>
      <w:r>
        <w:rPr>
          <w:sz w:val="24"/>
        </w:rPr>
        <w:t>da</w:t>
      </w:r>
      <w:r>
        <w:rPr>
          <w:spacing w:val="80"/>
          <w:sz w:val="24"/>
        </w:rPr>
        <w:t> </w:t>
      </w:r>
      <w:r>
        <w:rPr>
          <w:sz w:val="24"/>
        </w:rPr>
        <w:t>unidade</w:t>
      </w:r>
      <w:r>
        <w:rPr>
          <w:spacing w:val="80"/>
          <w:sz w:val="24"/>
        </w:rPr>
        <w:t> </w:t>
      </w:r>
      <w:r>
        <w:rPr>
          <w:sz w:val="24"/>
        </w:rPr>
        <w:t>demandante</w:t>
      </w:r>
      <w:r>
        <w:rPr>
          <w:spacing w:val="80"/>
          <w:sz w:val="24"/>
        </w:rPr>
        <w:t> </w:t>
      </w:r>
      <w:r>
        <w:rPr>
          <w:sz w:val="24"/>
        </w:rPr>
        <w:t>e,</w:t>
      </w:r>
      <w:r>
        <w:rPr>
          <w:spacing w:val="80"/>
          <w:sz w:val="24"/>
        </w:rPr>
        <w:t> </w:t>
      </w:r>
      <w:r>
        <w:rPr>
          <w:sz w:val="24"/>
        </w:rPr>
        <w:t>por</w:t>
      </w:r>
      <w:r>
        <w:rPr>
          <w:spacing w:val="80"/>
          <w:sz w:val="24"/>
        </w:rPr>
        <w:t> </w:t>
      </w:r>
      <w:r>
        <w:rPr>
          <w:sz w:val="24"/>
        </w:rPr>
        <w:t>último,</w:t>
      </w:r>
      <w:r>
        <w:rPr>
          <w:spacing w:val="80"/>
          <w:sz w:val="24"/>
        </w:rPr>
        <w:t> </w:t>
      </w:r>
      <w:r>
        <w:rPr>
          <w:sz w:val="24"/>
        </w:rPr>
        <w:t>na</w:t>
      </w:r>
      <w:r>
        <w:rPr>
          <w:spacing w:val="80"/>
          <w:sz w:val="24"/>
        </w:rPr>
        <w:t> </w:t>
      </w:r>
      <w:r>
        <w:rPr>
          <w:sz w:val="24"/>
        </w:rPr>
        <w:t>autorização</w:t>
      </w:r>
      <w:r>
        <w:rPr>
          <w:spacing w:val="80"/>
          <w:sz w:val="24"/>
        </w:rPr>
        <w:t> </w:t>
      </w:r>
      <w:r>
        <w:rPr>
          <w:sz w:val="24"/>
        </w:rPr>
        <w:t>da</w:t>
      </w:r>
      <w:r>
        <w:rPr>
          <w:spacing w:val="80"/>
          <w:sz w:val="24"/>
        </w:rPr>
        <w:t> </w:t>
      </w:r>
      <w:r>
        <w:rPr>
          <w:sz w:val="24"/>
        </w:rPr>
        <w:t>Direção</w:t>
      </w:r>
      <w:r>
        <w:rPr>
          <w:spacing w:val="80"/>
          <w:sz w:val="24"/>
        </w:rPr>
        <w:t> </w:t>
      </w:r>
      <w:r>
        <w:rPr>
          <w:sz w:val="24"/>
        </w:rPr>
        <w:t>Geral</w:t>
      </w:r>
      <w:r>
        <w:rPr>
          <w:spacing w:val="80"/>
          <w:sz w:val="24"/>
        </w:rPr>
        <w:t> </w:t>
      </w:r>
      <w:r>
        <w:rPr>
          <w:sz w:val="24"/>
        </w:rPr>
        <w:t>- </w:t>
      </w:r>
      <w:hyperlink r:id="rId33">
        <w:r>
          <w:rPr>
            <w:b/>
            <w:color w:val="0000ED"/>
            <w:sz w:val="24"/>
            <w:u w:val="single" w:color="0000ED"/>
          </w:rPr>
          <w:t>125912098</w:t>
        </w:r>
      </w:hyperlink>
      <w:r>
        <w:rPr>
          <w:b/>
          <w:sz w:val="24"/>
          <w:u w:val="single"/>
        </w:rPr>
        <w:t> e </w:t>
      </w:r>
      <w:hyperlink r:id="rId34">
        <w:r>
          <w:rPr>
            <w:b/>
            <w:color w:val="0000ED"/>
            <w:sz w:val="24"/>
            <w:u w:val="single" w:color="0000ED"/>
          </w:rPr>
          <w:t>126126231</w:t>
        </w:r>
      </w:hyperlink>
      <w:r>
        <w:rPr>
          <w:sz w:val="24"/>
        </w:rPr>
        <w:t>;</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after="0" w:line="235" w:lineRule="auto"/>
        <w:jc w:val="both"/>
        <w:sectPr>
          <w:pgSz w:w="15840" w:h="24480"/>
          <w:pgMar w:top="540" w:bottom="280" w:left="360" w:right="360"/>
        </w:sectPr>
      </w:pPr>
    </w:p>
    <w:p>
      <w:pPr>
        <w:pStyle w:val="Heading2"/>
        <w:numPr>
          <w:ilvl w:val="1"/>
          <w:numId w:val="27"/>
        </w:numPr>
        <w:tabs>
          <w:tab w:pos="869" w:val="left" w:leader="none"/>
        </w:tabs>
        <w:spacing w:line="240" w:lineRule="auto" w:before="76"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284"/>
      </w:pPr>
      <w:r>
        <w:rPr/>
        <w:t>O reajustamento de preços ocorrerá conforme o índice IPCA, após</w:t>
      </w:r>
      <w:r>
        <w:rPr>
          <w:spacing w:val="80"/>
        </w:rPr>
        <w:t> </w:t>
      </w:r>
      <w:r>
        <w:rPr/>
        <w:t>período de 12 meses, em caso de haver prorrogação contratual, conforme</w:t>
      </w:r>
      <w:r>
        <w:rPr>
          <w:spacing w:val="-2"/>
        </w:rPr>
        <w:t> </w:t>
      </w:r>
      <w:r>
        <w:rPr/>
        <w:t>Art.</w:t>
      </w:r>
      <w:r>
        <w:rPr>
          <w:spacing w:val="40"/>
        </w:rPr>
        <w:t> </w:t>
      </w:r>
      <w:r>
        <w:rPr/>
        <w:t>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8">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1"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20"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spacing w:after="0" w:line="235" w:lineRule="auto"/>
        <w:jc w:val="left"/>
        <w:rPr>
          <w:sz w:val="24"/>
        </w:rPr>
        <w:sectPr>
          <w:pgSz w:w="15840" w:h="24480"/>
          <w:pgMar w:top="480" w:bottom="280" w:left="360" w:right="360"/>
        </w:sectPr>
      </w:pPr>
    </w:p>
    <w:p>
      <w:pPr>
        <w:pStyle w:val="ListParagraph"/>
        <w:numPr>
          <w:ilvl w:val="0"/>
          <w:numId w:val="28"/>
        </w:numPr>
        <w:tabs>
          <w:tab w:pos="656" w:val="left" w:leader="none"/>
        </w:tabs>
        <w:spacing w:line="235" w:lineRule="auto" w:before="80"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8"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5"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9"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spacing w:after="0" w:line="235" w:lineRule="auto"/>
        <w:jc w:val="both"/>
        <w:rPr>
          <w:sz w:val="24"/>
        </w:rPr>
        <w:sectPr>
          <w:pgSz w:w="15840" w:h="24480"/>
          <w:pgMar w:top="480" w:bottom="280" w:left="360" w:right="360"/>
        </w:sectPr>
      </w:pPr>
    </w:p>
    <w:p>
      <w:pPr>
        <w:pStyle w:val="ListParagraph"/>
        <w:numPr>
          <w:ilvl w:val="3"/>
          <w:numId w:val="34"/>
        </w:numPr>
        <w:tabs>
          <w:tab w:pos="1229" w:val="left" w:leader="none"/>
        </w:tabs>
        <w:spacing w:line="240" w:lineRule="auto" w:before="76"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BodyText"/>
        <w:spacing w:before="114"/>
        <w:jc w:val="both"/>
      </w:pPr>
      <w:r>
        <w:rPr/>
        <w:t>4.5.6.1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20"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20"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36"/>
        </w:numPr>
        <w:tabs>
          <w:tab w:pos="1077" w:val="left" w:leader="none"/>
        </w:tabs>
        <w:spacing w:line="235" w:lineRule="auto" w:before="118" w:after="0"/>
        <w:ind w:left="449" w:right="43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spacing w:after="0" w:line="235" w:lineRule="auto"/>
        <w:jc w:val="both"/>
        <w:rPr>
          <w:sz w:val="24"/>
        </w:rPr>
        <w:sectPr>
          <w:pgSz w:w="15840" w:h="24480"/>
          <w:pgMar w:top="480" w:bottom="280" w:left="360" w:right="360"/>
        </w:sectPr>
      </w:pPr>
    </w:p>
    <w:p>
      <w:pPr>
        <w:pStyle w:val="ListParagraph"/>
        <w:numPr>
          <w:ilvl w:val="3"/>
          <w:numId w:val="36"/>
        </w:numPr>
        <w:tabs>
          <w:tab w:pos="1274" w:val="left" w:leader="none"/>
        </w:tabs>
        <w:spacing w:line="235" w:lineRule="auto" w:before="8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8"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BodyText"/>
        <w:spacing w:line="338" w:lineRule="auto" w:before="0"/>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17"/>
        <w:ind w:left="0"/>
      </w:pPr>
    </w:p>
    <w:p>
      <w:pPr>
        <w:pStyle w:val="Heading2"/>
        <w:ind w:left="449" w:firstLine="0"/>
      </w:pPr>
      <w:r>
        <w:rPr/>
        <w:t>Gisele Passos Cabral </w:t>
      </w:r>
      <w:r>
        <w:rPr>
          <w:spacing w:val="-2"/>
        </w:rPr>
        <w:t>Benjamim</w:t>
      </w:r>
    </w:p>
    <w:p>
      <w:pPr>
        <w:pStyle w:val="BodyText"/>
        <w:spacing w:before="114"/>
      </w:pPr>
      <w:r>
        <w:rPr/>
        <w:t>Chefia de Enfermagem - </w:t>
      </w:r>
      <w:r>
        <w:rPr>
          <w:spacing w:val="-2"/>
        </w:rPr>
        <w:t>UECCI</w:t>
      </w:r>
    </w:p>
    <w:p>
      <w:pPr>
        <w:pStyle w:val="BodyText"/>
        <w:spacing w:line="338" w:lineRule="auto" w:before="114"/>
        <w:ind w:right="10658"/>
      </w:pPr>
      <w:r>
        <w:rPr/>
        <w:t>Coordenadora</w:t>
      </w:r>
      <w:r>
        <w:rPr>
          <w:spacing w:val="-13"/>
        </w:rPr>
        <w:t> </w:t>
      </w:r>
      <w:r>
        <w:rPr/>
        <w:t>Robótica</w:t>
      </w:r>
      <w:r>
        <w:rPr>
          <w:spacing w:val="-13"/>
        </w:rPr>
        <w:t> </w:t>
      </w:r>
      <w:r>
        <w:rPr/>
        <w:t>HUPE/</w:t>
      </w:r>
      <w:r>
        <w:rPr>
          <w:spacing w:val="-13"/>
        </w:rPr>
        <w:t> </w:t>
      </w:r>
      <w:r>
        <w:rPr/>
        <w:t>UERJ Mat: 36532-0/ ID: 436099-7</w:t>
      </w:r>
    </w:p>
    <w:p>
      <w:pPr>
        <w:pStyle w:val="BodyText"/>
        <w:spacing w:before="120"/>
        <w:ind w:left="0"/>
      </w:pPr>
    </w:p>
    <w:p>
      <w:pPr>
        <w:spacing w:line="235" w:lineRule="auto" w:before="1"/>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spacing w:after="0" w:line="235" w:lineRule="auto"/>
        <w:jc w:val="left"/>
        <w:rPr>
          <w:sz w:val="24"/>
        </w:rPr>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3"/>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SEI-260007/000493/2026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193/2026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779" w:val="left" w:leader="none"/>
        </w:tabs>
        <w:spacing w:line="273" w:lineRule="exact" w:before="114" w:after="0"/>
        <w:ind w:left="1779" w:right="0" w:hanging="1330"/>
        <w:jc w:val="left"/>
        <w:rPr>
          <w:b/>
          <w:sz w:val="24"/>
        </w:rPr>
      </w:pPr>
      <w:r>
        <w:rPr>
          <w:sz w:val="24"/>
        </w:rPr>
        <w:t>O</w:t>
      </w:r>
      <w:r>
        <w:rPr>
          <w:spacing w:val="8"/>
          <w:sz w:val="24"/>
        </w:rPr>
        <w:t> </w:t>
      </w:r>
      <w:r>
        <w:rPr>
          <w:sz w:val="24"/>
        </w:rPr>
        <w:t>objeto</w:t>
      </w:r>
      <w:r>
        <w:rPr>
          <w:spacing w:val="8"/>
          <w:sz w:val="24"/>
        </w:rPr>
        <w:t> </w:t>
      </w:r>
      <w:r>
        <w:rPr>
          <w:sz w:val="24"/>
        </w:rPr>
        <w:t>do</w:t>
      </w:r>
      <w:r>
        <w:rPr>
          <w:spacing w:val="8"/>
          <w:sz w:val="24"/>
        </w:rPr>
        <w:t> </w:t>
      </w:r>
      <w:r>
        <w:rPr>
          <w:sz w:val="24"/>
        </w:rPr>
        <w:t>presente</w:t>
      </w:r>
      <w:r>
        <w:rPr>
          <w:spacing w:val="8"/>
          <w:sz w:val="24"/>
        </w:rPr>
        <w:t> </w:t>
      </w:r>
      <w:r>
        <w:rPr>
          <w:sz w:val="24"/>
        </w:rPr>
        <w:t>Contrato</w:t>
      </w:r>
      <w:r>
        <w:rPr>
          <w:spacing w:val="8"/>
          <w:sz w:val="24"/>
        </w:rPr>
        <w:t> </w:t>
      </w:r>
      <w:r>
        <w:rPr>
          <w:sz w:val="24"/>
        </w:rPr>
        <w:t>é</w:t>
      </w:r>
      <w:r>
        <w:rPr>
          <w:spacing w:val="8"/>
          <w:sz w:val="24"/>
        </w:rPr>
        <w:t> </w:t>
      </w:r>
      <w:r>
        <w:rPr>
          <w:sz w:val="24"/>
        </w:rPr>
        <w:t>a</w:t>
      </w:r>
      <w:r>
        <w:rPr>
          <w:spacing w:val="8"/>
          <w:sz w:val="24"/>
        </w:rPr>
        <w:t> </w:t>
      </w:r>
      <w:r>
        <w:rPr>
          <w:b/>
          <w:sz w:val="24"/>
        </w:rPr>
        <w:t>AQUISIÇÃO</w:t>
      </w:r>
      <w:r>
        <w:rPr>
          <w:b/>
          <w:spacing w:val="8"/>
          <w:sz w:val="24"/>
        </w:rPr>
        <w:t> </w:t>
      </w:r>
      <w:r>
        <w:rPr>
          <w:b/>
          <w:sz w:val="24"/>
        </w:rPr>
        <w:t>DE</w:t>
      </w:r>
      <w:r>
        <w:rPr>
          <w:b/>
          <w:spacing w:val="8"/>
          <w:sz w:val="24"/>
        </w:rPr>
        <w:t> </w:t>
      </w:r>
      <w:r>
        <w:rPr>
          <w:b/>
          <w:sz w:val="24"/>
        </w:rPr>
        <w:t>MATERIAL</w:t>
      </w:r>
      <w:r>
        <w:rPr>
          <w:b/>
          <w:spacing w:val="-4"/>
          <w:sz w:val="24"/>
        </w:rPr>
        <w:t> </w:t>
      </w:r>
      <w:r>
        <w:rPr>
          <w:b/>
          <w:sz w:val="24"/>
        </w:rPr>
        <w:t>HOSPITALAR</w:t>
      </w:r>
      <w:r>
        <w:rPr>
          <w:b/>
          <w:spacing w:val="8"/>
          <w:sz w:val="24"/>
        </w:rPr>
        <w:t> </w:t>
      </w:r>
      <w:r>
        <w:rPr>
          <w:b/>
          <w:sz w:val="24"/>
        </w:rPr>
        <w:t>(CÂNULA</w:t>
      </w:r>
      <w:r>
        <w:rPr>
          <w:b/>
          <w:spacing w:val="-4"/>
          <w:sz w:val="24"/>
        </w:rPr>
        <w:t> </w:t>
      </w:r>
      <w:r>
        <w:rPr>
          <w:b/>
          <w:sz w:val="24"/>
        </w:rPr>
        <w:t>OROFARÍNGEA,</w:t>
      </w:r>
      <w:r>
        <w:rPr>
          <w:b/>
          <w:spacing w:val="8"/>
          <w:sz w:val="24"/>
        </w:rPr>
        <w:t> </w:t>
      </w:r>
      <w:r>
        <w:rPr>
          <w:b/>
          <w:sz w:val="24"/>
        </w:rPr>
        <w:t>ETC)</w:t>
      </w:r>
      <w:r>
        <w:rPr>
          <w:b/>
          <w:spacing w:val="8"/>
          <w:sz w:val="24"/>
        </w:rPr>
        <w:t> </w:t>
      </w:r>
      <w:r>
        <w:rPr>
          <w:b/>
          <w:sz w:val="24"/>
        </w:rPr>
        <w:t>PARA</w:t>
      </w:r>
      <w:r>
        <w:rPr>
          <w:b/>
          <w:spacing w:val="-4"/>
          <w:sz w:val="24"/>
        </w:rPr>
        <w:t> </w:t>
      </w:r>
      <w:r>
        <w:rPr>
          <w:b/>
          <w:spacing w:val="-10"/>
          <w:sz w:val="24"/>
        </w:rPr>
        <w:t>O</w:t>
      </w:r>
    </w:p>
    <w:p>
      <w:pPr>
        <w:spacing w:line="235" w:lineRule="auto" w:before="1"/>
        <w:ind w:left="449" w:right="0" w:firstLine="0"/>
        <w:jc w:val="left"/>
        <w:rPr>
          <w:sz w:val="24"/>
        </w:rPr>
      </w:pPr>
      <w:r>
        <w:rPr>
          <w:b/>
          <w:sz w:val="24"/>
        </w:rPr>
        <w:t>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ListParagraph"/>
        <w:spacing w:after="0" w:line="240" w:lineRule="auto"/>
        <w:jc w:val="left"/>
        <w:rPr>
          <w:sz w:val="24"/>
        </w:rPr>
        <w:sectPr>
          <w:pgSz w:w="15840" w:h="24480"/>
          <w:pgMar w:top="2860" w:bottom="280" w:left="360" w:right="360"/>
        </w:sectPr>
      </w:pPr>
    </w:p>
    <w:p>
      <w:pPr>
        <w:pStyle w:val="BodyText"/>
        <w:spacing w:before="6"/>
        <w:ind w:left="0"/>
        <w:rPr>
          <w:sz w:val="2"/>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39"/>
        <w:ind w:left="0"/>
      </w:pPr>
    </w:p>
    <w:p>
      <w:pPr>
        <w:pStyle w:val="ListParagraph"/>
        <w:numPr>
          <w:ilvl w:val="1"/>
          <w:numId w:val="37"/>
        </w:numPr>
        <w:tabs>
          <w:tab w:pos="1109" w:val="left" w:leader="none"/>
        </w:tabs>
        <w:spacing w:line="240" w:lineRule="auto" w:before="1"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spacing w:after="0" w:line="240" w:lineRule="auto"/>
        <w:jc w:val="both"/>
        <w:rPr>
          <w:sz w:val="24"/>
        </w:rPr>
        <w:sectPr>
          <w:pgSz w:w="15840" w:h="24480"/>
          <w:pgMar w:top="540" w:bottom="280" w:left="360" w:right="360"/>
        </w:sectPr>
      </w:pPr>
    </w:p>
    <w:p>
      <w:pPr>
        <w:pStyle w:val="ListParagraph"/>
        <w:numPr>
          <w:ilvl w:val="0"/>
          <w:numId w:val="44"/>
        </w:numPr>
        <w:tabs>
          <w:tab w:pos="1364" w:val="left" w:leader="none"/>
        </w:tabs>
        <w:spacing w:line="235" w:lineRule="auto" w:before="80" w:after="0"/>
        <w:ind w:left="449" w:right="432" w:firstLine="0"/>
        <w:jc w:val="left"/>
        <w:rPr>
          <w:sz w:val="24"/>
        </w:rPr>
      </w:pPr>
      <w:r>
        <w:rPr>
          <w:sz w:val="24"/>
        </w:rPr>
        <w:t>se</w:t>
      </w:r>
      <w:r>
        <w:rPr>
          <w:spacing w:val="15"/>
          <w:sz w:val="24"/>
        </w:rPr>
        <w:t> </w:t>
      </w:r>
      <w:r>
        <w:rPr>
          <w:sz w:val="24"/>
        </w:rPr>
        <w:t>o</w:t>
      </w:r>
      <w:r>
        <w:rPr>
          <w:spacing w:val="15"/>
          <w:sz w:val="24"/>
        </w:rPr>
        <w:t> </w:t>
      </w:r>
      <w:r>
        <w:rPr>
          <w:b/>
          <w:sz w:val="24"/>
        </w:rPr>
        <w:t>CONTRATADO</w:t>
      </w:r>
      <w:r>
        <w:rPr>
          <w:b/>
          <w:spacing w:val="15"/>
          <w:sz w:val="24"/>
        </w:rPr>
        <w:t> </w:t>
      </w:r>
      <w:r>
        <w:rPr>
          <w:sz w:val="24"/>
        </w:rPr>
        <w:t>foi</w:t>
      </w:r>
      <w:r>
        <w:rPr>
          <w:spacing w:val="15"/>
          <w:sz w:val="24"/>
        </w:rPr>
        <w:t> </w:t>
      </w:r>
      <w:r>
        <w:rPr>
          <w:sz w:val="24"/>
        </w:rPr>
        <w:t>penalizado</w:t>
      </w:r>
      <w:r>
        <w:rPr>
          <w:spacing w:val="15"/>
          <w:sz w:val="24"/>
        </w:rPr>
        <w:t> </w:t>
      </w:r>
      <w:r>
        <w:rPr>
          <w:sz w:val="24"/>
        </w:rPr>
        <w:t>com</w:t>
      </w:r>
      <w:r>
        <w:rPr>
          <w:spacing w:val="15"/>
          <w:sz w:val="24"/>
        </w:rPr>
        <w:t> </w:t>
      </w:r>
      <w:r>
        <w:rPr>
          <w:sz w:val="24"/>
        </w:rPr>
        <w:t>as</w:t>
      </w:r>
      <w:r>
        <w:rPr>
          <w:spacing w:val="15"/>
          <w:sz w:val="24"/>
        </w:rPr>
        <w:t> </w:t>
      </w:r>
      <w:r>
        <w:rPr>
          <w:sz w:val="24"/>
        </w:rPr>
        <w:t>sanções</w:t>
      </w:r>
      <w:r>
        <w:rPr>
          <w:spacing w:val="15"/>
          <w:sz w:val="24"/>
        </w:rPr>
        <w:t> </w:t>
      </w:r>
      <w:r>
        <w:rPr>
          <w:sz w:val="24"/>
        </w:rPr>
        <w:t>de</w:t>
      </w:r>
      <w:r>
        <w:rPr>
          <w:spacing w:val="15"/>
          <w:sz w:val="24"/>
        </w:rPr>
        <w:t> </w:t>
      </w:r>
      <w:r>
        <w:rPr>
          <w:sz w:val="24"/>
        </w:rPr>
        <w:t>declaração</w:t>
      </w:r>
      <w:r>
        <w:rPr>
          <w:spacing w:val="15"/>
          <w:sz w:val="24"/>
        </w:rPr>
        <w:t> </w:t>
      </w:r>
      <w:r>
        <w:rPr>
          <w:sz w:val="24"/>
        </w:rPr>
        <w:t>de</w:t>
      </w:r>
      <w:r>
        <w:rPr>
          <w:spacing w:val="15"/>
          <w:sz w:val="24"/>
        </w:rPr>
        <w:t> </w:t>
      </w:r>
      <w:r>
        <w:rPr>
          <w:sz w:val="24"/>
        </w:rPr>
        <w:t>inidoneidade</w:t>
      </w:r>
      <w:r>
        <w:rPr>
          <w:spacing w:val="15"/>
          <w:sz w:val="24"/>
        </w:rPr>
        <w:t> </w:t>
      </w:r>
      <w:r>
        <w:rPr>
          <w:sz w:val="24"/>
        </w:rPr>
        <w:t>ou</w:t>
      </w:r>
      <w:r>
        <w:rPr>
          <w:spacing w:val="15"/>
          <w:sz w:val="24"/>
        </w:rPr>
        <w:t> </w:t>
      </w:r>
      <w:r>
        <w:rPr>
          <w:sz w:val="24"/>
        </w:rPr>
        <w:t>impedimento</w:t>
      </w:r>
      <w:r>
        <w:rPr>
          <w:spacing w:val="15"/>
          <w:sz w:val="24"/>
        </w:rPr>
        <w:t> </w:t>
      </w:r>
      <w:r>
        <w:rPr>
          <w:sz w:val="24"/>
        </w:rPr>
        <w:t>de</w:t>
      </w:r>
      <w:r>
        <w:rPr>
          <w:spacing w:val="15"/>
          <w:sz w:val="24"/>
        </w:rPr>
        <w:t> </w:t>
      </w:r>
      <w:r>
        <w:rPr>
          <w:sz w:val="24"/>
        </w:rPr>
        <w:t>licitar</w:t>
      </w:r>
      <w:r>
        <w:rPr>
          <w:spacing w:val="15"/>
          <w:sz w:val="24"/>
        </w:rPr>
        <w:t> </w:t>
      </w:r>
      <w:r>
        <w:rPr>
          <w:sz w:val="24"/>
        </w:rPr>
        <w:t>e</w:t>
      </w:r>
      <w:r>
        <w:rPr>
          <w:spacing w:val="15"/>
          <w:sz w:val="24"/>
        </w:rPr>
        <w:t> </w:t>
      </w:r>
      <w:r>
        <w:rPr>
          <w:sz w:val="24"/>
        </w:rPr>
        <w:t>contratar</w:t>
      </w:r>
      <w:r>
        <w:rPr>
          <w:spacing w:val="15"/>
          <w:sz w:val="24"/>
        </w:rPr>
        <w:t> </w:t>
      </w:r>
      <w:r>
        <w:rPr>
          <w:sz w:val="24"/>
        </w:rPr>
        <w:t>com</w:t>
      </w:r>
      <w:r>
        <w:rPr>
          <w:spacing w:val="15"/>
          <w:sz w:val="24"/>
        </w:rPr>
        <w:t> </w:t>
      </w:r>
      <w:r>
        <w:rPr>
          <w:sz w:val="24"/>
        </w:rPr>
        <w:t>o</w:t>
      </w:r>
      <w:r>
        <w:rPr>
          <w:spacing w:val="15"/>
          <w:sz w:val="24"/>
        </w:rPr>
        <w:t> </w:t>
      </w:r>
      <w:r>
        <w:rPr>
          <w:sz w:val="24"/>
        </w:rPr>
        <w:t>poder público, observadas as abrangências de aplicação, por consulta aos seguintes cadastros;</w:t>
      </w:r>
    </w:p>
    <w:p>
      <w:pPr>
        <w:pStyle w:val="ListParagraph"/>
        <w:numPr>
          <w:ilvl w:val="1"/>
          <w:numId w:val="44"/>
        </w:numPr>
        <w:tabs>
          <w:tab w:pos="888" w:val="left" w:leader="none"/>
        </w:tabs>
        <w:spacing w:line="240" w:lineRule="auto" w:before="115" w:after="0"/>
        <w:ind w:left="888" w:right="0" w:hanging="439"/>
        <w:jc w:val="left"/>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20"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45"/>
        </w:numPr>
        <w:tabs>
          <w:tab w:pos="1612" w:val="left" w:leader="none"/>
        </w:tabs>
        <w:spacing w:line="235" w:lineRule="auto" w:before="80"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20"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0">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1">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20"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left"/>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w:t>
      </w:r>
      <w:r>
        <w:rPr>
          <w:spacing w:val="40"/>
          <w:sz w:val="24"/>
        </w:rPr>
        <w:t> </w:t>
      </w:r>
      <w:r>
        <w:rPr>
          <w:sz w:val="24"/>
        </w:rPr>
        <w:t>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left"/>
        <w:rPr>
          <w:sz w:val="24"/>
        </w:rPr>
      </w:pPr>
      <w:r>
        <w:rPr>
          <w:sz w:val="24"/>
        </w:rPr>
        <w:t>Conduzir</w:t>
      </w:r>
      <w:r>
        <w:rPr>
          <w:spacing w:val="40"/>
          <w:sz w:val="24"/>
        </w:rPr>
        <w:t> </w:t>
      </w:r>
      <w:r>
        <w:rPr>
          <w:sz w:val="24"/>
        </w:rPr>
        <w:t>os</w:t>
      </w:r>
      <w:r>
        <w:rPr>
          <w:spacing w:val="40"/>
          <w:sz w:val="24"/>
        </w:rPr>
        <w:t> </w:t>
      </w:r>
      <w:r>
        <w:rPr>
          <w:sz w:val="24"/>
        </w:rPr>
        <w:t>trabalhos</w:t>
      </w:r>
      <w:r>
        <w:rPr>
          <w:spacing w:val="40"/>
          <w:sz w:val="24"/>
        </w:rPr>
        <w:t> </w:t>
      </w:r>
      <w:r>
        <w:rPr>
          <w:sz w:val="24"/>
        </w:rPr>
        <w:t>com</w:t>
      </w:r>
      <w:r>
        <w:rPr>
          <w:spacing w:val="40"/>
          <w:sz w:val="24"/>
        </w:rPr>
        <w:t> </w:t>
      </w:r>
      <w:r>
        <w:rPr>
          <w:sz w:val="24"/>
        </w:rPr>
        <w:t>estrita</w:t>
      </w:r>
      <w:r>
        <w:rPr>
          <w:spacing w:val="40"/>
          <w:sz w:val="24"/>
        </w:rPr>
        <w:t> </w:t>
      </w:r>
      <w:r>
        <w:rPr>
          <w:sz w:val="24"/>
        </w:rPr>
        <w:t>observância</w:t>
      </w:r>
      <w:r>
        <w:rPr>
          <w:spacing w:val="40"/>
          <w:sz w:val="24"/>
        </w:rPr>
        <w:t> </w:t>
      </w:r>
      <w:r>
        <w:rPr>
          <w:sz w:val="24"/>
        </w:rPr>
        <w:t>às</w:t>
      </w:r>
      <w:r>
        <w:rPr>
          <w:spacing w:val="40"/>
          <w:sz w:val="24"/>
        </w:rPr>
        <w:t> </w:t>
      </w:r>
      <w:r>
        <w:rPr>
          <w:sz w:val="24"/>
        </w:rPr>
        <w:t>normas</w:t>
      </w:r>
      <w:r>
        <w:rPr>
          <w:spacing w:val="40"/>
          <w:sz w:val="24"/>
        </w:rPr>
        <w:t> </w:t>
      </w:r>
      <w:r>
        <w:rPr>
          <w:sz w:val="24"/>
        </w:rPr>
        <w:t>da</w:t>
      </w:r>
      <w:r>
        <w:rPr>
          <w:spacing w:val="40"/>
          <w:sz w:val="24"/>
        </w:rPr>
        <w:t> </w:t>
      </w:r>
      <w:r>
        <w:rPr>
          <w:sz w:val="24"/>
        </w:rPr>
        <w:t>legislação</w:t>
      </w:r>
      <w:r>
        <w:rPr>
          <w:spacing w:val="40"/>
          <w:sz w:val="24"/>
        </w:rPr>
        <w:t> </w:t>
      </w:r>
      <w:r>
        <w:rPr>
          <w:sz w:val="24"/>
        </w:rPr>
        <w:t>pertinente,</w:t>
      </w:r>
      <w:r>
        <w:rPr>
          <w:spacing w:val="40"/>
          <w:sz w:val="24"/>
        </w:rPr>
        <w:t> </w:t>
      </w:r>
      <w:r>
        <w:rPr>
          <w:sz w:val="24"/>
        </w:rPr>
        <w:t>cumprindo</w:t>
      </w:r>
      <w:r>
        <w:rPr>
          <w:spacing w:val="40"/>
          <w:sz w:val="24"/>
        </w:rPr>
        <w:t> </w:t>
      </w:r>
      <w:r>
        <w:rPr>
          <w:sz w:val="24"/>
        </w:rPr>
        <w:t>as</w:t>
      </w:r>
      <w:r>
        <w:rPr>
          <w:spacing w:val="40"/>
          <w:sz w:val="24"/>
        </w:rPr>
        <w:t> </w:t>
      </w:r>
      <w:r>
        <w:rPr>
          <w:sz w:val="24"/>
        </w:rPr>
        <w:t>determinações</w:t>
      </w:r>
      <w:r>
        <w:rPr>
          <w:spacing w:val="40"/>
          <w:sz w:val="24"/>
        </w:rPr>
        <w:t> </w:t>
      </w:r>
      <w:r>
        <w:rPr>
          <w:sz w:val="24"/>
        </w:rPr>
        <w:t>dos</w:t>
      </w:r>
      <w:r>
        <w:rPr>
          <w:spacing w:val="40"/>
          <w:sz w:val="24"/>
        </w:rPr>
        <w:t> </w:t>
      </w:r>
      <w:r>
        <w:rPr>
          <w:sz w:val="24"/>
        </w:rPr>
        <w:t>Poderes</w:t>
      </w:r>
      <w:r>
        <w:rPr>
          <w:spacing w:val="40"/>
          <w:sz w:val="24"/>
        </w:rPr>
        <w:t> </w:t>
      </w:r>
      <w:r>
        <w:rPr>
          <w:sz w:val="24"/>
        </w:rPr>
        <w:t>Públicos, mantendo sempre limpo o local de execução do objeto e nas melhores condições de segurança, higiene e disciplina.</w:t>
      </w:r>
    </w:p>
    <w:p>
      <w:pPr>
        <w:pStyle w:val="ListParagraph"/>
        <w:spacing w:after="0" w:line="235" w:lineRule="auto"/>
        <w:jc w:val="left"/>
        <w:rPr>
          <w:sz w:val="24"/>
        </w:rPr>
        <w:sectPr>
          <w:pgSz w:w="15840" w:h="24480"/>
          <w:pgMar w:top="480" w:bottom="280" w:left="360" w:right="360"/>
        </w:sectPr>
      </w:pPr>
    </w:p>
    <w:p>
      <w:pPr>
        <w:pStyle w:val="ListParagraph"/>
        <w:numPr>
          <w:ilvl w:val="2"/>
          <w:numId w:val="48"/>
        </w:numPr>
        <w:tabs>
          <w:tab w:pos="1115" w:val="left" w:leader="none"/>
        </w:tabs>
        <w:spacing w:line="235" w:lineRule="auto" w:before="8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2">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396126</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1084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2">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3">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before="118"/>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5"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52"/>
        </w:numPr>
        <w:tabs>
          <w:tab w:pos="1220" w:val="left" w:leader="none"/>
        </w:tabs>
        <w:spacing w:line="240" w:lineRule="auto" w:before="76" w:after="0"/>
        <w:ind w:left="1220" w:right="0" w:hanging="771"/>
        <w:jc w:val="both"/>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5"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8" w:after="0"/>
        <w:ind w:left="449" w:right="433" w:firstLine="0"/>
        <w:jc w:val="left"/>
        <w:rPr>
          <w:sz w:val="24"/>
        </w:rPr>
      </w:pPr>
      <w:r>
        <w:rPr>
          <w:sz w:val="24"/>
        </w:rPr>
        <w:t>a</w:t>
      </w:r>
      <w:r>
        <w:rPr>
          <w:spacing w:val="21"/>
          <w:sz w:val="24"/>
        </w:rPr>
        <w:t> </w:t>
      </w:r>
      <w:r>
        <w:rPr>
          <w:sz w:val="24"/>
        </w:rPr>
        <w:t>obrigação</w:t>
      </w:r>
      <w:r>
        <w:rPr>
          <w:spacing w:val="21"/>
          <w:sz w:val="24"/>
        </w:rPr>
        <w:t> </w:t>
      </w:r>
      <w:r>
        <w:rPr>
          <w:sz w:val="24"/>
        </w:rPr>
        <w:t>de</w:t>
      </w:r>
      <w:r>
        <w:rPr>
          <w:spacing w:val="21"/>
          <w:sz w:val="24"/>
        </w:rPr>
        <w:t> </w:t>
      </w:r>
      <w:r>
        <w:rPr>
          <w:sz w:val="24"/>
        </w:rPr>
        <w:t>reparação</w:t>
      </w:r>
      <w:r>
        <w:rPr>
          <w:spacing w:val="21"/>
          <w:sz w:val="24"/>
        </w:rPr>
        <w:t> </w:t>
      </w:r>
      <w:r>
        <w:rPr>
          <w:sz w:val="24"/>
        </w:rPr>
        <w:t>integral</w:t>
      </w:r>
      <w:r>
        <w:rPr>
          <w:spacing w:val="21"/>
          <w:sz w:val="24"/>
        </w:rPr>
        <w:t> </w:t>
      </w:r>
      <w:r>
        <w:rPr>
          <w:sz w:val="24"/>
        </w:rPr>
        <w:t>do</w:t>
      </w:r>
      <w:r>
        <w:rPr>
          <w:spacing w:val="21"/>
          <w:sz w:val="24"/>
        </w:rPr>
        <w:t> </w:t>
      </w:r>
      <w:r>
        <w:rPr>
          <w:sz w:val="24"/>
        </w:rPr>
        <w:t>dano</w:t>
      </w:r>
      <w:r>
        <w:rPr>
          <w:spacing w:val="21"/>
          <w:sz w:val="24"/>
        </w:rPr>
        <w:t> </w:t>
      </w:r>
      <w:r>
        <w:rPr>
          <w:sz w:val="24"/>
        </w:rPr>
        <w:t>causado</w:t>
      </w:r>
      <w:r>
        <w:rPr>
          <w:spacing w:val="21"/>
          <w:sz w:val="24"/>
        </w:rPr>
        <w:t> </w:t>
      </w:r>
      <w:r>
        <w:rPr>
          <w:sz w:val="24"/>
        </w:rPr>
        <w:t>à Administração</w:t>
      </w:r>
      <w:r>
        <w:rPr>
          <w:spacing w:val="21"/>
          <w:sz w:val="24"/>
        </w:rPr>
        <w:t> </w:t>
      </w:r>
      <w:r>
        <w:rPr>
          <w:sz w:val="24"/>
        </w:rPr>
        <w:t>Pública,</w:t>
      </w:r>
      <w:r>
        <w:rPr>
          <w:spacing w:val="21"/>
          <w:sz w:val="24"/>
        </w:rPr>
        <w:t> </w:t>
      </w:r>
      <w:r>
        <w:rPr>
          <w:sz w:val="24"/>
        </w:rPr>
        <w:t>na</w:t>
      </w:r>
      <w:r>
        <w:rPr>
          <w:spacing w:val="21"/>
          <w:sz w:val="24"/>
        </w:rPr>
        <w:t> </w:t>
      </w:r>
      <w:r>
        <w:rPr>
          <w:sz w:val="24"/>
        </w:rPr>
        <w:t>forma</w:t>
      </w:r>
      <w:r>
        <w:rPr>
          <w:spacing w:val="21"/>
          <w:sz w:val="24"/>
        </w:rPr>
        <w:t> </w:t>
      </w:r>
      <w:r>
        <w:rPr>
          <w:sz w:val="24"/>
        </w:rPr>
        <w:t>do</w:t>
      </w:r>
      <w:r>
        <w:rPr>
          <w:spacing w:val="21"/>
          <w:sz w:val="24"/>
        </w:rPr>
        <w:t> </w:t>
      </w:r>
      <w:r>
        <w:rPr>
          <w:sz w:val="24"/>
        </w:rPr>
        <w:t>art.</w:t>
      </w:r>
      <w:r>
        <w:rPr>
          <w:spacing w:val="21"/>
          <w:sz w:val="24"/>
        </w:rPr>
        <w:t> </w:t>
      </w:r>
      <w:r>
        <w:rPr>
          <w:sz w:val="24"/>
        </w:rPr>
        <w:t>156,</w:t>
      </w:r>
      <w:r>
        <w:rPr>
          <w:spacing w:val="21"/>
          <w:sz w:val="24"/>
        </w:rPr>
        <w:t> </w:t>
      </w:r>
      <w:r>
        <w:rPr>
          <w:sz w:val="24"/>
        </w:rPr>
        <w:t>§</w:t>
      </w:r>
      <w:r>
        <w:rPr>
          <w:spacing w:val="21"/>
          <w:sz w:val="24"/>
        </w:rPr>
        <w:t> </w:t>
      </w:r>
      <w:r>
        <w:rPr>
          <w:sz w:val="24"/>
        </w:rPr>
        <w:t>9º,</w:t>
      </w:r>
      <w:r>
        <w:rPr>
          <w:spacing w:val="21"/>
          <w:sz w:val="24"/>
        </w:rPr>
        <w:t> </w:t>
      </w:r>
      <w:r>
        <w:rPr>
          <w:sz w:val="24"/>
        </w:rPr>
        <w:t>da</w:t>
      </w:r>
      <w:r>
        <w:rPr>
          <w:spacing w:val="21"/>
          <w:sz w:val="24"/>
        </w:rPr>
        <w:t> </w:t>
      </w:r>
      <w:r>
        <w:rPr>
          <w:sz w:val="24"/>
        </w:rPr>
        <w:t>Lei</w:t>
      </w:r>
      <w:r>
        <w:rPr>
          <w:spacing w:val="21"/>
          <w:sz w:val="24"/>
        </w:rPr>
        <w:t> </w:t>
      </w:r>
      <w:r>
        <w:rPr>
          <w:sz w:val="24"/>
        </w:rPr>
        <w:t>nº</w:t>
      </w:r>
      <w:r>
        <w:rPr>
          <w:spacing w:val="21"/>
          <w:sz w:val="24"/>
        </w:rPr>
        <w:t> </w:t>
      </w:r>
      <w:r>
        <w:rPr>
          <w:sz w:val="24"/>
        </w:rPr>
        <w:t>14.133/2021</w:t>
      </w:r>
      <w:r>
        <w:rPr>
          <w:spacing w:val="21"/>
          <w:sz w:val="24"/>
        </w:rPr>
        <w:t> </w:t>
      </w:r>
      <w:r>
        <w:rPr>
          <w:sz w:val="24"/>
        </w:rPr>
        <w:t>e</w:t>
      </w:r>
      <w:r>
        <w:rPr>
          <w:spacing w:val="21"/>
          <w:sz w:val="24"/>
        </w:rPr>
        <w:t> </w:t>
      </w:r>
      <w:r>
        <w:rPr>
          <w:sz w:val="24"/>
        </w:rPr>
        <w:t>do</w:t>
      </w:r>
      <w:r>
        <w:rPr>
          <w:spacing w:val="21"/>
          <w:sz w:val="24"/>
        </w:rPr>
        <w:t> </w:t>
      </w:r>
      <w:r>
        <w:rPr>
          <w:sz w:val="24"/>
        </w:rPr>
        <w:t>art.</w:t>
      </w:r>
      <w:r>
        <w:rPr>
          <w:spacing w:val="21"/>
          <w:sz w:val="24"/>
        </w:rPr>
        <w: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left"/>
        <w:rPr>
          <w:sz w:val="24"/>
        </w:rPr>
      </w:pPr>
      <w:r>
        <w:rPr>
          <w:sz w:val="24"/>
        </w:rPr>
        <w:t>a possibilidade de rescisão administrativa do Contrato, na forma dos arts. 138 e 139 da Lei nº 14.133/2021, garantido o contraditório e a </w:t>
      </w:r>
      <w:r>
        <w:rPr>
          <w:sz w:val="24"/>
        </w:rPr>
        <w:t>ampla</w:t>
      </w:r>
      <w:r>
        <w:rPr>
          <w:spacing w:val="40"/>
          <w:sz w:val="24"/>
        </w:rPr>
        <w:t> </w:t>
      </w:r>
      <w:r>
        <w:rPr>
          <w:spacing w:val="-2"/>
          <w:sz w:val="24"/>
        </w:rPr>
        <w:t>defesa.</w:t>
      </w:r>
    </w:p>
    <w:p>
      <w:pPr>
        <w:pStyle w:val="ListParagraph"/>
        <w:numPr>
          <w:ilvl w:val="2"/>
          <w:numId w:val="52"/>
        </w:numPr>
        <w:tabs>
          <w:tab w:pos="1086" w:val="left" w:leader="none"/>
        </w:tabs>
        <w:spacing w:line="240" w:lineRule="auto" w:before="115" w:after="0"/>
        <w:ind w:left="108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spacing w:after="0" w:line="240" w:lineRule="auto"/>
        <w:jc w:val="left"/>
        <w:rPr>
          <w:sz w:val="24"/>
        </w:rPr>
        <w:sectPr>
          <w:pgSz w:w="15840" w:h="24480"/>
          <w:pgMar w:top="480" w:bottom="280" w:left="360" w:right="360"/>
        </w:sectPr>
      </w:pPr>
    </w:p>
    <w:p>
      <w:pPr>
        <w:pStyle w:val="ListParagraph"/>
        <w:numPr>
          <w:ilvl w:val="1"/>
          <w:numId w:val="52"/>
        </w:numPr>
        <w:tabs>
          <w:tab w:pos="946" w:val="left" w:leader="none"/>
        </w:tabs>
        <w:spacing w:line="235" w:lineRule="auto" w:before="80"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after="0"/>
        <w:sectPr>
          <w:pgSz w:w="15840" w:h="24480"/>
          <w:pgMar w:top="480" w:bottom="280" w:left="360" w:right="360"/>
        </w:sectPr>
      </w:pPr>
    </w:p>
    <w:p>
      <w:pPr>
        <w:pStyle w:val="ListParagraph"/>
        <w:numPr>
          <w:ilvl w:val="1"/>
          <w:numId w:val="61"/>
        </w:numPr>
        <w:tabs>
          <w:tab w:pos="929" w:val="left" w:leader="none"/>
        </w:tabs>
        <w:spacing w:line="240" w:lineRule="auto" w:before="76"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48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7"/>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4">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7"/>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7"/>
        <w:ind w:left="0"/>
        <w:rPr>
          <w:b/>
        </w:rPr>
      </w:pPr>
    </w:p>
    <w:p>
      <w:pPr>
        <w:pStyle w:val="ListParagraph"/>
        <w:numPr>
          <w:ilvl w:val="1"/>
          <w:numId w:val="67"/>
        </w:numPr>
        <w:tabs>
          <w:tab w:pos="809" w:val="left" w:leader="none"/>
        </w:tabs>
        <w:spacing w:line="240" w:lineRule="auto" w:before="1"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7"/>
        </w:numPr>
        <w:tabs>
          <w:tab w:pos="852" w:val="left" w:leader="none"/>
        </w:tabs>
        <w:spacing w:line="235" w:lineRule="auto" w:before="0"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320591</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43446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7"/>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7"/>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spacing w:after="0" w:line="235" w:lineRule="auto"/>
        <w:jc w:val="left"/>
        <w:rPr>
          <w:sz w:val="24"/>
        </w:rPr>
        <w:sectPr>
          <w:pgSz w:w="15840" w:h="24480"/>
          <w:pgMar w:top="880" w:bottom="280" w:left="360" w:right="360"/>
        </w:sectPr>
      </w:pPr>
    </w:p>
    <w:p>
      <w:pPr>
        <w:pStyle w:val="ListParagraph"/>
        <w:numPr>
          <w:ilvl w:val="2"/>
          <w:numId w:val="67"/>
        </w:numPr>
        <w:tabs>
          <w:tab w:pos="996" w:val="left" w:leader="none"/>
        </w:tabs>
        <w:spacing w:line="235" w:lineRule="auto" w:before="80" w:after="0"/>
        <w:ind w:left="449" w:right="43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7"/>
        </w:numPr>
        <w:tabs>
          <w:tab w:pos="1013" w:val="left" w:leader="none"/>
        </w:tabs>
        <w:spacing w:line="235" w:lineRule="auto" w:before="119" w:after="0"/>
        <w:ind w:left="449" w:right="43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BodyText"/>
        <w:spacing w:before="232"/>
        <w:ind w:left="0"/>
        <w:rPr>
          <w:b/>
        </w:rPr>
      </w:pPr>
    </w:p>
    <w:p>
      <w:pPr>
        <w:pStyle w:val="ListParagraph"/>
        <w:numPr>
          <w:ilvl w:val="1"/>
          <w:numId w:val="67"/>
        </w:numPr>
        <w:tabs>
          <w:tab w:pos="827" w:val="left" w:leader="none"/>
        </w:tabs>
        <w:spacing w:line="235" w:lineRule="auto" w:before="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7"/>
        </w:numPr>
        <w:tabs>
          <w:tab w:pos="795" w:val="left" w:leader="none"/>
        </w:tabs>
        <w:spacing w:line="240" w:lineRule="auto" w:before="1"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7"/>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63"/>
        <w:ind w:left="0"/>
        <w:rPr>
          <w:b/>
          <w:sz w:val="20"/>
        </w:rPr>
      </w:pPr>
    </w:p>
    <w:tbl>
      <w:tblPr>
        <w:tblW w:w="0" w:type="auto"/>
        <w:jc w:val="left"/>
        <w:tblInd w:w="35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720"/>
        <w:gridCol w:w="780"/>
        <w:gridCol w:w="4305"/>
        <w:gridCol w:w="1440"/>
        <w:gridCol w:w="1710"/>
        <w:gridCol w:w="1380"/>
      </w:tblGrid>
      <w:tr>
        <w:trPr>
          <w:trHeight w:val="1574" w:hRule="atLeast"/>
        </w:trPr>
        <w:tc>
          <w:tcPr>
            <w:tcW w:w="720" w:type="dxa"/>
            <w:tcBorders>
              <w:left w:val="single" w:sz="6" w:space="0" w:color="2A2A2A"/>
            </w:tcBorders>
          </w:tcPr>
          <w:p>
            <w:pPr>
              <w:pStyle w:val="TableParagraph"/>
              <w:rPr>
                <w:b/>
                <w:sz w:val="24"/>
              </w:rPr>
            </w:pPr>
          </w:p>
          <w:p>
            <w:pPr>
              <w:pStyle w:val="TableParagraph"/>
              <w:rPr>
                <w:b/>
                <w:sz w:val="24"/>
              </w:rPr>
            </w:pPr>
          </w:p>
          <w:p>
            <w:pPr>
              <w:pStyle w:val="TableParagraph"/>
              <w:spacing w:before="73"/>
              <w:rPr>
                <w:b/>
                <w:sz w:val="24"/>
              </w:rPr>
            </w:pPr>
          </w:p>
          <w:p>
            <w:pPr>
              <w:pStyle w:val="TableParagraph"/>
              <w:ind w:left="15" w:right="7"/>
              <w:jc w:val="center"/>
              <w:rPr>
                <w:b/>
                <w:sz w:val="24"/>
              </w:rPr>
            </w:pPr>
            <w:r>
              <w:rPr>
                <w:b/>
                <w:spacing w:val="-4"/>
                <w:sz w:val="24"/>
              </w:rPr>
              <w:t>ITEM</w:t>
            </w:r>
          </w:p>
        </w:tc>
        <w:tc>
          <w:tcPr>
            <w:tcW w:w="780" w:type="dxa"/>
          </w:tcPr>
          <w:p>
            <w:pPr>
              <w:pStyle w:val="TableParagraph"/>
              <w:rPr>
                <w:b/>
                <w:sz w:val="24"/>
              </w:rPr>
            </w:pPr>
          </w:p>
          <w:p>
            <w:pPr>
              <w:pStyle w:val="TableParagraph"/>
              <w:spacing w:before="218"/>
              <w:rPr>
                <w:b/>
                <w:sz w:val="24"/>
              </w:rPr>
            </w:pPr>
          </w:p>
          <w:p>
            <w:pPr>
              <w:pStyle w:val="TableParagraph"/>
              <w:spacing w:line="235" w:lineRule="auto"/>
              <w:ind w:left="85" w:right="59" w:firstLine="160"/>
              <w:rPr>
                <w:b/>
                <w:sz w:val="24"/>
              </w:rPr>
            </w:pPr>
            <w:r>
              <w:rPr>
                <w:b/>
                <w:spacing w:val="-6"/>
                <w:sz w:val="24"/>
              </w:rPr>
              <w:t>ID </w:t>
            </w:r>
            <w:r>
              <w:rPr>
                <w:b/>
                <w:spacing w:val="-4"/>
                <w:sz w:val="24"/>
              </w:rPr>
              <w:t>SIGA</w:t>
            </w:r>
          </w:p>
        </w:tc>
        <w:tc>
          <w:tcPr>
            <w:tcW w:w="43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21"/>
              <w:rPr>
                <w:b/>
                <w:sz w:val="24"/>
              </w:rPr>
            </w:pPr>
            <w:r>
              <w:rPr>
                <w:b/>
                <w:spacing w:val="-2"/>
                <w:sz w:val="24"/>
              </w:rPr>
              <w:t>DESCRIÇÃO</w:t>
            </w:r>
          </w:p>
        </w:tc>
        <w:tc>
          <w:tcPr>
            <w:tcW w:w="1440" w:type="dxa"/>
          </w:tcPr>
          <w:p>
            <w:pPr>
              <w:pStyle w:val="TableParagraph"/>
              <w:spacing w:before="14"/>
              <w:rPr>
                <w:b/>
                <w:sz w:val="24"/>
              </w:rPr>
            </w:pPr>
          </w:p>
          <w:p>
            <w:pPr>
              <w:pStyle w:val="TableParagraph"/>
              <w:spacing w:line="235" w:lineRule="auto"/>
              <w:ind w:left="38"/>
              <w:jc w:val="center"/>
              <w:rPr>
                <w:b/>
                <w:sz w:val="24"/>
              </w:rPr>
            </w:pPr>
            <w:r>
              <w:rPr>
                <w:b/>
                <w:spacing w:val="-2"/>
                <w:sz w:val="24"/>
              </w:rPr>
              <w:t>VALOR UNITÁRIO ESTIMADO</w:t>
            </w:r>
          </w:p>
          <w:p>
            <w:pPr>
              <w:pStyle w:val="TableParagraph"/>
              <w:spacing w:line="270" w:lineRule="exact"/>
              <w:ind w:left="38" w:right="3"/>
              <w:jc w:val="center"/>
              <w:rPr>
                <w:b/>
                <w:sz w:val="24"/>
              </w:rPr>
            </w:pPr>
            <w:r>
              <w:rPr>
                <w:b/>
                <w:spacing w:val="-5"/>
                <w:sz w:val="24"/>
              </w:rPr>
              <w:t>R$</w:t>
            </w:r>
          </w:p>
        </w:tc>
        <w:tc>
          <w:tcPr>
            <w:tcW w:w="17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1" w:right="-15"/>
              <w:jc w:val="center"/>
              <w:rPr>
                <w:b/>
                <w:sz w:val="24"/>
              </w:rPr>
            </w:pPr>
            <w:r>
              <w:rPr>
                <w:b/>
                <w:spacing w:val="-2"/>
                <w:sz w:val="24"/>
              </w:rPr>
              <w:t>QUANTIDADE</w:t>
            </w:r>
          </w:p>
        </w:tc>
        <w:tc>
          <w:tcPr>
            <w:tcW w:w="1380" w:type="dxa"/>
            <w:tcBorders>
              <w:right w:val="single" w:sz="6" w:space="0" w:color="808080"/>
            </w:tcBorders>
          </w:tcPr>
          <w:p>
            <w:pPr>
              <w:pStyle w:val="TableParagraph"/>
              <w:spacing w:before="239"/>
              <w:rPr>
                <w:b/>
                <w:sz w:val="24"/>
              </w:rPr>
            </w:pPr>
          </w:p>
          <w:p>
            <w:pPr>
              <w:pStyle w:val="TableParagraph"/>
              <w:spacing w:line="235" w:lineRule="auto"/>
              <w:ind w:left="9"/>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9" w:right="3"/>
              <w:jc w:val="center"/>
              <w:rPr>
                <w:b/>
                <w:sz w:val="24"/>
              </w:rPr>
            </w:pPr>
            <w:r>
              <w:rPr>
                <w:b/>
                <w:spacing w:val="-5"/>
                <w:sz w:val="24"/>
              </w:rPr>
              <w:t>R$</w:t>
            </w:r>
          </w:p>
        </w:tc>
      </w:tr>
      <w:tr>
        <w:trPr>
          <w:trHeight w:val="1079" w:hRule="atLeast"/>
        </w:trPr>
        <w:tc>
          <w:tcPr>
            <w:tcW w:w="720" w:type="dxa"/>
            <w:tcBorders>
              <w:left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1</w:t>
            </w:r>
          </w:p>
        </w:tc>
        <w:tc>
          <w:tcPr>
            <w:tcW w:w="780" w:type="dxa"/>
          </w:tcPr>
          <w:p>
            <w:pPr>
              <w:pStyle w:val="TableParagraph"/>
              <w:spacing w:before="114"/>
              <w:rPr>
                <w:b/>
                <w:sz w:val="24"/>
              </w:rPr>
            </w:pPr>
          </w:p>
          <w:p>
            <w:pPr>
              <w:pStyle w:val="TableParagraph"/>
              <w:spacing w:before="1"/>
              <w:ind w:left="18" w:right="-15"/>
              <w:jc w:val="center"/>
              <w:rPr>
                <w:sz w:val="24"/>
              </w:rPr>
            </w:pPr>
            <w:r>
              <w:rPr>
                <w:spacing w:val="-2"/>
                <w:sz w:val="24"/>
              </w:rPr>
              <w:t>182787</w:t>
            </w:r>
          </w:p>
        </w:tc>
        <w:tc>
          <w:tcPr>
            <w:tcW w:w="4305" w:type="dxa"/>
          </w:tcPr>
          <w:p>
            <w:pPr>
              <w:pStyle w:val="TableParagraph"/>
              <w:spacing w:line="235" w:lineRule="auto"/>
              <w:ind w:left="15" w:right="-15"/>
              <w:jc w:val="both"/>
              <w:rPr>
                <w:sz w:val="24"/>
              </w:rPr>
            </w:pPr>
            <w:r>
              <w:rPr>
                <w:sz w:val="24"/>
              </w:rPr>
              <w:t>Cânula orofaríngea (Guedel), em PVC, nº 00,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Pr>
          <w:p>
            <w:pPr>
              <w:pStyle w:val="TableParagraph"/>
              <w:spacing w:before="114"/>
              <w:rPr>
                <w:b/>
                <w:sz w:val="24"/>
              </w:rPr>
            </w:pPr>
          </w:p>
          <w:p>
            <w:pPr>
              <w:pStyle w:val="TableParagraph"/>
              <w:spacing w:before="1"/>
              <w:ind w:left="38" w:right="2"/>
              <w:jc w:val="center"/>
              <w:rPr>
                <w:sz w:val="24"/>
              </w:rPr>
            </w:pPr>
            <w:r>
              <w:rPr>
                <w:spacing w:val="-2"/>
                <w:sz w:val="24"/>
              </w:rPr>
              <w:t>4,0000</w:t>
            </w:r>
          </w:p>
        </w:tc>
        <w:tc>
          <w:tcPr>
            <w:tcW w:w="1710" w:type="dxa"/>
          </w:tcPr>
          <w:p>
            <w:pPr>
              <w:pStyle w:val="TableParagraph"/>
              <w:spacing w:before="114"/>
              <w:rPr>
                <w:b/>
                <w:sz w:val="24"/>
              </w:rPr>
            </w:pPr>
          </w:p>
          <w:p>
            <w:pPr>
              <w:pStyle w:val="TableParagraph"/>
              <w:spacing w:before="1"/>
              <w:ind w:left="38"/>
              <w:jc w:val="center"/>
              <w:rPr>
                <w:sz w:val="24"/>
              </w:rPr>
            </w:pPr>
            <w:r>
              <w:rPr>
                <w:spacing w:val="-5"/>
                <w:sz w:val="24"/>
              </w:rPr>
              <w:t>144</w:t>
            </w:r>
          </w:p>
        </w:tc>
        <w:tc>
          <w:tcPr>
            <w:tcW w:w="1380" w:type="dxa"/>
            <w:tcBorders>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576,00</w:t>
            </w:r>
          </w:p>
        </w:tc>
      </w:tr>
      <w:tr>
        <w:trPr>
          <w:trHeight w:val="1079" w:hRule="atLeast"/>
        </w:trPr>
        <w:tc>
          <w:tcPr>
            <w:tcW w:w="720" w:type="dxa"/>
            <w:tcBorders>
              <w:left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2</w:t>
            </w:r>
          </w:p>
        </w:tc>
        <w:tc>
          <w:tcPr>
            <w:tcW w:w="780" w:type="dxa"/>
          </w:tcPr>
          <w:p>
            <w:pPr>
              <w:pStyle w:val="TableParagraph"/>
              <w:spacing w:before="114"/>
              <w:rPr>
                <w:b/>
                <w:sz w:val="24"/>
              </w:rPr>
            </w:pPr>
          </w:p>
          <w:p>
            <w:pPr>
              <w:pStyle w:val="TableParagraph"/>
              <w:spacing w:before="1"/>
              <w:ind w:left="22"/>
              <w:jc w:val="center"/>
              <w:rPr>
                <w:sz w:val="24"/>
              </w:rPr>
            </w:pPr>
            <w:r>
              <w:rPr>
                <w:spacing w:val="-4"/>
                <w:sz w:val="24"/>
              </w:rPr>
              <w:t>2998</w:t>
            </w:r>
          </w:p>
        </w:tc>
        <w:tc>
          <w:tcPr>
            <w:tcW w:w="4305" w:type="dxa"/>
          </w:tcPr>
          <w:p>
            <w:pPr>
              <w:pStyle w:val="TableParagraph"/>
              <w:spacing w:line="235" w:lineRule="auto"/>
              <w:ind w:left="3" w:right="-15"/>
              <w:jc w:val="both"/>
              <w:rPr>
                <w:sz w:val="24"/>
              </w:rPr>
            </w:pPr>
            <w:r>
              <w:rPr>
                <w:sz w:val="24"/>
              </w:rPr>
              <w:t>Cânula</w:t>
            </w:r>
            <w:r>
              <w:rPr>
                <w:spacing w:val="-4"/>
                <w:sz w:val="24"/>
              </w:rPr>
              <w:t> </w:t>
            </w:r>
            <w:r>
              <w:rPr>
                <w:sz w:val="24"/>
              </w:rPr>
              <w:t>orofaríngea</w:t>
            </w:r>
            <w:r>
              <w:rPr>
                <w:spacing w:val="-4"/>
                <w:sz w:val="24"/>
              </w:rPr>
              <w:t> </w:t>
            </w:r>
            <w:r>
              <w:rPr>
                <w:sz w:val="24"/>
              </w:rPr>
              <w:t>(Guedel),</w:t>
            </w:r>
            <w:r>
              <w:rPr>
                <w:spacing w:val="-4"/>
                <w:sz w:val="24"/>
              </w:rPr>
              <w:t> </w:t>
            </w:r>
            <w:r>
              <w:rPr>
                <w:sz w:val="24"/>
              </w:rPr>
              <w:t>em</w:t>
            </w:r>
            <w:r>
              <w:rPr>
                <w:spacing w:val="-4"/>
                <w:sz w:val="24"/>
              </w:rPr>
              <w:t> </w:t>
            </w:r>
            <w:r>
              <w:rPr>
                <w:sz w:val="24"/>
              </w:rPr>
              <w:t>PVC,</w:t>
            </w:r>
            <w:r>
              <w:rPr>
                <w:spacing w:val="-4"/>
                <w:sz w:val="24"/>
              </w:rPr>
              <w:t> </w:t>
            </w:r>
            <w:r>
              <w:rPr>
                <w:sz w:val="24"/>
              </w:rPr>
              <w:t>nº</w:t>
            </w:r>
            <w:r>
              <w:rPr>
                <w:spacing w:val="-4"/>
                <w:sz w:val="24"/>
              </w:rPr>
              <w:t> </w:t>
            </w:r>
            <w:r>
              <w:rPr>
                <w:sz w:val="24"/>
              </w:rPr>
              <w:t>0, estéril, atóxica, flexível, isenta de látex. Orifício</w:t>
            </w:r>
            <w:r>
              <w:rPr>
                <w:spacing w:val="32"/>
                <w:sz w:val="24"/>
              </w:rPr>
              <w:t> </w:t>
            </w:r>
            <w:r>
              <w:rPr>
                <w:sz w:val="24"/>
              </w:rPr>
              <w:t>central</w:t>
            </w:r>
            <w:r>
              <w:rPr>
                <w:spacing w:val="32"/>
                <w:sz w:val="24"/>
              </w:rPr>
              <w:t> </w:t>
            </w:r>
            <w:r>
              <w:rPr>
                <w:sz w:val="24"/>
              </w:rPr>
              <w:t>que</w:t>
            </w:r>
            <w:r>
              <w:rPr>
                <w:spacing w:val="32"/>
                <w:sz w:val="24"/>
              </w:rPr>
              <w:t> </w:t>
            </w:r>
            <w:r>
              <w:rPr>
                <w:sz w:val="24"/>
              </w:rPr>
              <w:t>garanta</w:t>
            </w:r>
            <w:r>
              <w:rPr>
                <w:spacing w:val="32"/>
                <w:sz w:val="24"/>
              </w:rPr>
              <w:t> </w:t>
            </w:r>
            <w:r>
              <w:rPr>
                <w:sz w:val="24"/>
              </w:rPr>
              <w:t>boa</w:t>
            </w:r>
            <w:r>
              <w:rPr>
                <w:spacing w:val="32"/>
                <w:sz w:val="24"/>
              </w:rPr>
              <w:t> </w:t>
            </w:r>
            <w:r>
              <w:rPr>
                <w:spacing w:val="-2"/>
                <w:sz w:val="24"/>
              </w:rPr>
              <w:t>ventilação</w:t>
            </w:r>
          </w:p>
          <w:p>
            <w:pPr>
              <w:pStyle w:val="TableParagraph"/>
              <w:spacing w:line="258" w:lineRule="exact"/>
              <w:ind w:left="3"/>
              <w:jc w:val="both"/>
              <w:rPr>
                <w:sz w:val="24"/>
              </w:rPr>
            </w:pPr>
            <w:r>
              <w:rPr>
                <w:sz w:val="24"/>
              </w:rPr>
              <w:t>e borda de segurança. </w:t>
            </w:r>
            <w:r>
              <w:rPr>
                <w:spacing w:val="-2"/>
                <w:sz w:val="24"/>
              </w:rPr>
              <w:t>Descartável.</w:t>
            </w:r>
          </w:p>
        </w:tc>
        <w:tc>
          <w:tcPr>
            <w:tcW w:w="1440" w:type="dxa"/>
          </w:tcPr>
          <w:p>
            <w:pPr>
              <w:pStyle w:val="TableParagraph"/>
              <w:spacing w:before="114"/>
              <w:rPr>
                <w:b/>
                <w:sz w:val="24"/>
              </w:rPr>
            </w:pPr>
          </w:p>
          <w:p>
            <w:pPr>
              <w:pStyle w:val="TableParagraph"/>
              <w:spacing w:before="1"/>
              <w:ind w:left="38" w:right="2"/>
              <w:jc w:val="center"/>
              <w:rPr>
                <w:sz w:val="24"/>
              </w:rPr>
            </w:pPr>
            <w:r>
              <w:rPr>
                <w:spacing w:val="-2"/>
                <w:sz w:val="24"/>
              </w:rPr>
              <w:t>4,5300</w:t>
            </w:r>
          </w:p>
        </w:tc>
        <w:tc>
          <w:tcPr>
            <w:tcW w:w="1710" w:type="dxa"/>
          </w:tcPr>
          <w:p>
            <w:pPr>
              <w:pStyle w:val="TableParagraph"/>
              <w:spacing w:before="114"/>
              <w:rPr>
                <w:b/>
                <w:sz w:val="24"/>
              </w:rPr>
            </w:pPr>
          </w:p>
          <w:p>
            <w:pPr>
              <w:pStyle w:val="TableParagraph"/>
              <w:spacing w:before="1"/>
              <w:ind w:left="38"/>
              <w:jc w:val="center"/>
              <w:rPr>
                <w:sz w:val="24"/>
              </w:rPr>
            </w:pPr>
            <w:r>
              <w:rPr>
                <w:spacing w:val="-5"/>
                <w:sz w:val="24"/>
              </w:rPr>
              <w:t>156</w:t>
            </w:r>
          </w:p>
        </w:tc>
        <w:tc>
          <w:tcPr>
            <w:tcW w:w="1380" w:type="dxa"/>
            <w:tcBorders>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706,68</w:t>
            </w:r>
          </w:p>
        </w:tc>
      </w:tr>
      <w:tr>
        <w:trPr>
          <w:trHeight w:val="1079" w:hRule="atLeast"/>
        </w:trPr>
        <w:tc>
          <w:tcPr>
            <w:tcW w:w="720" w:type="dxa"/>
            <w:tcBorders>
              <w:left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3</w:t>
            </w:r>
          </w:p>
        </w:tc>
        <w:tc>
          <w:tcPr>
            <w:tcW w:w="780" w:type="dxa"/>
          </w:tcPr>
          <w:p>
            <w:pPr>
              <w:pStyle w:val="TableParagraph"/>
              <w:spacing w:before="114"/>
              <w:rPr>
                <w:b/>
                <w:sz w:val="24"/>
              </w:rPr>
            </w:pPr>
          </w:p>
          <w:p>
            <w:pPr>
              <w:pStyle w:val="TableParagraph"/>
              <w:spacing w:before="1"/>
              <w:ind w:left="22"/>
              <w:jc w:val="center"/>
              <w:rPr>
                <w:sz w:val="24"/>
              </w:rPr>
            </w:pPr>
            <w:r>
              <w:rPr>
                <w:spacing w:val="-4"/>
                <w:sz w:val="24"/>
              </w:rPr>
              <w:t>3001</w:t>
            </w:r>
          </w:p>
        </w:tc>
        <w:tc>
          <w:tcPr>
            <w:tcW w:w="4305" w:type="dxa"/>
          </w:tcPr>
          <w:p>
            <w:pPr>
              <w:pStyle w:val="TableParagraph"/>
              <w:spacing w:line="235" w:lineRule="auto"/>
              <w:ind w:left="15" w:right="-15"/>
              <w:jc w:val="both"/>
              <w:rPr>
                <w:sz w:val="24"/>
              </w:rPr>
            </w:pPr>
            <w:r>
              <w:rPr>
                <w:sz w:val="24"/>
              </w:rPr>
              <w:t>Cânula orofaríngea (Guedel), em PVC, nº</w:t>
            </w:r>
            <w:r>
              <w:rPr>
                <w:spacing w:val="80"/>
                <w:sz w:val="24"/>
              </w:rPr>
              <w:t> </w:t>
            </w:r>
            <w:r>
              <w:rPr>
                <w:sz w:val="24"/>
              </w:rPr>
              <w:t>1,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Pr>
          <w:p>
            <w:pPr>
              <w:pStyle w:val="TableParagraph"/>
              <w:spacing w:before="114"/>
              <w:rPr>
                <w:b/>
                <w:sz w:val="24"/>
              </w:rPr>
            </w:pPr>
          </w:p>
          <w:p>
            <w:pPr>
              <w:pStyle w:val="TableParagraph"/>
              <w:spacing w:before="1"/>
              <w:ind w:left="38" w:right="2"/>
              <w:jc w:val="center"/>
              <w:rPr>
                <w:sz w:val="24"/>
              </w:rPr>
            </w:pPr>
            <w:r>
              <w:rPr>
                <w:spacing w:val="-2"/>
                <w:sz w:val="24"/>
              </w:rPr>
              <w:t>4,0500</w:t>
            </w:r>
          </w:p>
        </w:tc>
        <w:tc>
          <w:tcPr>
            <w:tcW w:w="1710" w:type="dxa"/>
          </w:tcPr>
          <w:p>
            <w:pPr>
              <w:pStyle w:val="TableParagraph"/>
              <w:spacing w:before="114"/>
              <w:rPr>
                <w:b/>
                <w:sz w:val="24"/>
              </w:rPr>
            </w:pPr>
          </w:p>
          <w:p>
            <w:pPr>
              <w:pStyle w:val="TableParagraph"/>
              <w:spacing w:before="1"/>
              <w:ind w:left="38"/>
              <w:jc w:val="center"/>
              <w:rPr>
                <w:sz w:val="24"/>
              </w:rPr>
            </w:pPr>
            <w:r>
              <w:rPr>
                <w:spacing w:val="-5"/>
                <w:sz w:val="24"/>
              </w:rPr>
              <w:t>552</w:t>
            </w:r>
          </w:p>
        </w:tc>
        <w:tc>
          <w:tcPr>
            <w:tcW w:w="1380" w:type="dxa"/>
            <w:tcBorders>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2.235,60</w:t>
            </w:r>
          </w:p>
        </w:tc>
      </w:tr>
      <w:tr>
        <w:trPr>
          <w:trHeight w:val="1079" w:hRule="atLeast"/>
        </w:trPr>
        <w:tc>
          <w:tcPr>
            <w:tcW w:w="720" w:type="dxa"/>
            <w:tcBorders>
              <w:left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4</w:t>
            </w:r>
          </w:p>
        </w:tc>
        <w:tc>
          <w:tcPr>
            <w:tcW w:w="780" w:type="dxa"/>
          </w:tcPr>
          <w:p>
            <w:pPr>
              <w:pStyle w:val="TableParagraph"/>
              <w:spacing w:before="114"/>
              <w:rPr>
                <w:b/>
                <w:sz w:val="24"/>
              </w:rPr>
            </w:pPr>
          </w:p>
          <w:p>
            <w:pPr>
              <w:pStyle w:val="TableParagraph"/>
              <w:spacing w:before="1"/>
              <w:ind w:left="22"/>
              <w:jc w:val="center"/>
              <w:rPr>
                <w:sz w:val="24"/>
              </w:rPr>
            </w:pPr>
            <w:r>
              <w:rPr>
                <w:spacing w:val="-4"/>
                <w:sz w:val="24"/>
              </w:rPr>
              <w:t>3002</w:t>
            </w:r>
          </w:p>
        </w:tc>
        <w:tc>
          <w:tcPr>
            <w:tcW w:w="4305" w:type="dxa"/>
          </w:tcPr>
          <w:p>
            <w:pPr>
              <w:pStyle w:val="TableParagraph"/>
              <w:spacing w:line="235" w:lineRule="auto"/>
              <w:ind w:left="15" w:right="-15"/>
              <w:jc w:val="both"/>
              <w:rPr>
                <w:sz w:val="24"/>
              </w:rPr>
            </w:pPr>
            <w:r>
              <w:rPr>
                <w:sz w:val="24"/>
              </w:rPr>
              <w:t>Cânula orofaríngea (Guedel), em PVC, nº</w:t>
            </w:r>
            <w:r>
              <w:rPr>
                <w:spacing w:val="80"/>
                <w:sz w:val="24"/>
              </w:rPr>
              <w:t> </w:t>
            </w:r>
            <w:r>
              <w:rPr>
                <w:sz w:val="24"/>
              </w:rPr>
              <w:t>2,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Pr>
          <w:p>
            <w:pPr>
              <w:pStyle w:val="TableParagraph"/>
              <w:spacing w:before="114"/>
              <w:rPr>
                <w:b/>
                <w:sz w:val="24"/>
              </w:rPr>
            </w:pPr>
          </w:p>
          <w:p>
            <w:pPr>
              <w:pStyle w:val="TableParagraph"/>
              <w:spacing w:before="1"/>
              <w:ind w:left="38" w:right="2"/>
              <w:jc w:val="center"/>
              <w:rPr>
                <w:sz w:val="24"/>
              </w:rPr>
            </w:pPr>
            <w:r>
              <w:rPr>
                <w:spacing w:val="-2"/>
                <w:sz w:val="24"/>
              </w:rPr>
              <w:t>4,1600</w:t>
            </w:r>
          </w:p>
        </w:tc>
        <w:tc>
          <w:tcPr>
            <w:tcW w:w="1710" w:type="dxa"/>
          </w:tcPr>
          <w:p>
            <w:pPr>
              <w:pStyle w:val="TableParagraph"/>
              <w:spacing w:before="114"/>
              <w:rPr>
                <w:b/>
                <w:sz w:val="24"/>
              </w:rPr>
            </w:pPr>
          </w:p>
          <w:p>
            <w:pPr>
              <w:pStyle w:val="TableParagraph"/>
              <w:spacing w:before="1"/>
              <w:ind w:left="38"/>
              <w:jc w:val="center"/>
              <w:rPr>
                <w:sz w:val="24"/>
              </w:rPr>
            </w:pPr>
            <w:r>
              <w:rPr>
                <w:spacing w:val="-5"/>
                <w:sz w:val="24"/>
              </w:rPr>
              <w:t>552</w:t>
            </w:r>
          </w:p>
        </w:tc>
        <w:tc>
          <w:tcPr>
            <w:tcW w:w="1380" w:type="dxa"/>
            <w:tcBorders>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2.296,32</w:t>
            </w:r>
          </w:p>
        </w:tc>
      </w:tr>
      <w:tr>
        <w:trPr>
          <w:trHeight w:val="1079" w:hRule="atLeast"/>
        </w:trPr>
        <w:tc>
          <w:tcPr>
            <w:tcW w:w="720" w:type="dxa"/>
            <w:tcBorders>
              <w:left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5</w:t>
            </w:r>
          </w:p>
        </w:tc>
        <w:tc>
          <w:tcPr>
            <w:tcW w:w="780" w:type="dxa"/>
          </w:tcPr>
          <w:p>
            <w:pPr>
              <w:pStyle w:val="TableParagraph"/>
              <w:spacing w:before="114"/>
              <w:rPr>
                <w:b/>
                <w:sz w:val="24"/>
              </w:rPr>
            </w:pPr>
          </w:p>
          <w:p>
            <w:pPr>
              <w:pStyle w:val="TableParagraph"/>
              <w:spacing w:before="1"/>
              <w:ind w:left="22"/>
              <w:jc w:val="center"/>
              <w:rPr>
                <w:sz w:val="24"/>
              </w:rPr>
            </w:pPr>
            <w:r>
              <w:rPr>
                <w:spacing w:val="-4"/>
                <w:sz w:val="24"/>
              </w:rPr>
              <w:t>3003</w:t>
            </w:r>
          </w:p>
        </w:tc>
        <w:tc>
          <w:tcPr>
            <w:tcW w:w="4305" w:type="dxa"/>
          </w:tcPr>
          <w:p>
            <w:pPr>
              <w:pStyle w:val="TableParagraph"/>
              <w:spacing w:line="235" w:lineRule="auto"/>
              <w:ind w:left="3" w:right="-15"/>
              <w:jc w:val="both"/>
              <w:rPr>
                <w:sz w:val="24"/>
              </w:rPr>
            </w:pPr>
            <w:r>
              <w:rPr>
                <w:sz w:val="24"/>
              </w:rPr>
              <w:t>Cânula</w:t>
            </w:r>
            <w:r>
              <w:rPr>
                <w:spacing w:val="-4"/>
                <w:sz w:val="24"/>
              </w:rPr>
              <w:t> </w:t>
            </w:r>
            <w:r>
              <w:rPr>
                <w:sz w:val="24"/>
              </w:rPr>
              <w:t>orofaríngea</w:t>
            </w:r>
            <w:r>
              <w:rPr>
                <w:spacing w:val="-4"/>
                <w:sz w:val="24"/>
              </w:rPr>
              <w:t> </w:t>
            </w:r>
            <w:r>
              <w:rPr>
                <w:sz w:val="24"/>
              </w:rPr>
              <w:t>(Guedel),</w:t>
            </w:r>
            <w:r>
              <w:rPr>
                <w:spacing w:val="-4"/>
                <w:sz w:val="24"/>
              </w:rPr>
              <w:t> </w:t>
            </w:r>
            <w:r>
              <w:rPr>
                <w:sz w:val="24"/>
              </w:rPr>
              <w:t>em</w:t>
            </w:r>
            <w:r>
              <w:rPr>
                <w:spacing w:val="-4"/>
                <w:sz w:val="24"/>
              </w:rPr>
              <w:t> </w:t>
            </w:r>
            <w:r>
              <w:rPr>
                <w:sz w:val="24"/>
              </w:rPr>
              <w:t>PVC,</w:t>
            </w:r>
            <w:r>
              <w:rPr>
                <w:spacing w:val="-4"/>
                <w:sz w:val="24"/>
              </w:rPr>
              <w:t> </w:t>
            </w:r>
            <w:r>
              <w:rPr>
                <w:sz w:val="24"/>
              </w:rPr>
              <w:t>nº</w:t>
            </w:r>
            <w:r>
              <w:rPr>
                <w:spacing w:val="-4"/>
                <w:sz w:val="24"/>
              </w:rPr>
              <w:t> </w:t>
            </w:r>
            <w:r>
              <w:rPr>
                <w:sz w:val="24"/>
              </w:rPr>
              <w:t>3, estéril, atóxica, flexível, isenta de látex. Orifício</w:t>
            </w:r>
            <w:r>
              <w:rPr>
                <w:spacing w:val="33"/>
                <w:sz w:val="24"/>
              </w:rPr>
              <w:t> </w:t>
            </w:r>
            <w:r>
              <w:rPr>
                <w:sz w:val="24"/>
              </w:rPr>
              <w:t>central</w:t>
            </w:r>
            <w:r>
              <w:rPr>
                <w:spacing w:val="33"/>
                <w:sz w:val="24"/>
              </w:rPr>
              <w:t> </w:t>
            </w:r>
            <w:r>
              <w:rPr>
                <w:sz w:val="24"/>
              </w:rPr>
              <w:t>que</w:t>
            </w:r>
            <w:r>
              <w:rPr>
                <w:spacing w:val="33"/>
                <w:sz w:val="24"/>
              </w:rPr>
              <w:t> </w:t>
            </w:r>
            <w:r>
              <w:rPr>
                <w:sz w:val="24"/>
              </w:rPr>
              <w:t>garanta</w:t>
            </w:r>
            <w:r>
              <w:rPr>
                <w:spacing w:val="33"/>
                <w:sz w:val="24"/>
              </w:rPr>
              <w:t> </w:t>
            </w:r>
            <w:r>
              <w:rPr>
                <w:sz w:val="24"/>
              </w:rPr>
              <w:t>boa</w:t>
            </w:r>
            <w:r>
              <w:rPr>
                <w:spacing w:val="33"/>
                <w:sz w:val="24"/>
              </w:rPr>
              <w:t> </w:t>
            </w:r>
            <w:r>
              <w:rPr>
                <w:spacing w:val="-2"/>
                <w:sz w:val="24"/>
              </w:rPr>
              <w:t>ventilação</w:t>
            </w:r>
          </w:p>
          <w:p>
            <w:pPr>
              <w:pStyle w:val="TableParagraph"/>
              <w:spacing w:line="258" w:lineRule="exact"/>
              <w:ind w:left="3"/>
              <w:jc w:val="both"/>
              <w:rPr>
                <w:sz w:val="24"/>
              </w:rPr>
            </w:pPr>
            <w:r>
              <w:rPr>
                <w:sz w:val="24"/>
              </w:rPr>
              <w:t>e borda de segurança. </w:t>
            </w:r>
            <w:r>
              <w:rPr>
                <w:spacing w:val="-2"/>
                <w:sz w:val="24"/>
              </w:rPr>
              <w:t>Descartável.</w:t>
            </w:r>
          </w:p>
        </w:tc>
        <w:tc>
          <w:tcPr>
            <w:tcW w:w="1440" w:type="dxa"/>
          </w:tcPr>
          <w:p>
            <w:pPr>
              <w:pStyle w:val="TableParagraph"/>
              <w:spacing w:before="114"/>
              <w:rPr>
                <w:b/>
                <w:sz w:val="24"/>
              </w:rPr>
            </w:pPr>
          </w:p>
          <w:p>
            <w:pPr>
              <w:pStyle w:val="TableParagraph"/>
              <w:spacing w:before="1"/>
              <w:ind w:left="38" w:right="2"/>
              <w:jc w:val="center"/>
              <w:rPr>
                <w:sz w:val="24"/>
              </w:rPr>
            </w:pPr>
            <w:r>
              <w:rPr>
                <w:spacing w:val="-2"/>
                <w:sz w:val="24"/>
              </w:rPr>
              <w:t>4,4000</w:t>
            </w:r>
          </w:p>
        </w:tc>
        <w:tc>
          <w:tcPr>
            <w:tcW w:w="1710" w:type="dxa"/>
          </w:tcPr>
          <w:p>
            <w:pPr>
              <w:pStyle w:val="TableParagraph"/>
              <w:spacing w:before="114"/>
              <w:rPr>
                <w:b/>
                <w:sz w:val="24"/>
              </w:rPr>
            </w:pPr>
          </w:p>
          <w:p>
            <w:pPr>
              <w:pStyle w:val="TableParagraph"/>
              <w:spacing w:before="1"/>
              <w:ind w:left="38"/>
              <w:jc w:val="center"/>
              <w:rPr>
                <w:sz w:val="24"/>
              </w:rPr>
            </w:pPr>
            <w:r>
              <w:rPr>
                <w:spacing w:val="-2"/>
                <w:sz w:val="24"/>
              </w:rPr>
              <w:t>12.000</w:t>
            </w:r>
          </w:p>
        </w:tc>
        <w:tc>
          <w:tcPr>
            <w:tcW w:w="1380" w:type="dxa"/>
            <w:tcBorders>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52.800,00</w:t>
            </w:r>
          </w:p>
        </w:tc>
      </w:tr>
      <w:tr>
        <w:trPr>
          <w:trHeight w:val="1079" w:hRule="atLeast"/>
        </w:trPr>
        <w:tc>
          <w:tcPr>
            <w:tcW w:w="720" w:type="dxa"/>
            <w:tcBorders>
              <w:left w:val="single" w:sz="6" w:space="0" w:color="2A2A2A"/>
              <w:bottom w:val="sing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6</w:t>
            </w:r>
          </w:p>
        </w:tc>
        <w:tc>
          <w:tcPr>
            <w:tcW w:w="780" w:type="dxa"/>
            <w:tcBorders>
              <w:bottom w:val="single" w:sz="6" w:space="0" w:color="2A2A2A"/>
            </w:tcBorders>
          </w:tcPr>
          <w:p>
            <w:pPr>
              <w:pStyle w:val="TableParagraph"/>
              <w:spacing w:before="114"/>
              <w:rPr>
                <w:b/>
                <w:sz w:val="24"/>
              </w:rPr>
            </w:pPr>
          </w:p>
          <w:p>
            <w:pPr>
              <w:pStyle w:val="TableParagraph"/>
              <w:spacing w:before="1"/>
              <w:ind w:left="22"/>
              <w:jc w:val="center"/>
              <w:rPr>
                <w:sz w:val="24"/>
              </w:rPr>
            </w:pPr>
            <w:r>
              <w:rPr>
                <w:spacing w:val="-4"/>
                <w:sz w:val="24"/>
              </w:rPr>
              <w:t>3004</w:t>
            </w:r>
          </w:p>
        </w:tc>
        <w:tc>
          <w:tcPr>
            <w:tcW w:w="4305" w:type="dxa"/>
            <w:tcBorders>
              <w:bottom w:val="single" w:sz="6" w:space="0" w:color="2A2A2A"/>
            </w:tcBorders>
          </w:tcPr>
          <w:p>
            <w:pPr>
              <w:pStyle w:val="TableParagraph"/>
              <w:spacing w:line="235" w:lineRule="auto"/>
              <w:ind w:left="15" w:right="-15"/>
              <w:jc w:val="both"/>
              <w:rPr>
                <w:sz w:val="24"/>
              </w:rPr>
            </w:pPr>
            <w:r>
              <w:rPr>
                <w:sz w:val="24"/>
              </w:rPr>
              <w:t>Cânula orofaríngea (Guedel), em PVC, nº</w:t>
            </w:r>
            <w:r>
              <w:rPr>
                <w:spacing w:val="80"/>
                <w:sz w:val="24"/>
              </w:rPr>
              <w:t> </w:t>
            </w:r>
            <w:r>
              <w:rPr>
                <w:sz w:val="24"/>
              </w:rPr>
              <w:t>4,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Borders>
              <w:bottom w:val="single" w:sz="6" w:space="0" w:color="2A2A2A"/>
            </w:tcBorders>
          </w:tcPr>
          <w:p>
            <w:pPr>
              <w:pStyle w:val="TableParagraph"/>
              <w:spacing w:before="114"/>
              <w:rPr>
                <w:b/>
                <w:sz w:val="24"/>
              </w:rPr>
            </w:pPr>
          </w:p>
          <w:p>
            <w:pPr>
              <w:pStyle w:val="TableParagraph"/>
              <w:spacing w:before="1"/>
              <w:ind w:left="38" w:right="2"/>
              <w:jc w:val="center"/>
              <w:rPr>
                <w:sz w:val="24"/>
              </w:rPr>
            </w:pPr>
            <w:r>
              <w:rPr>
                <w:spacing w:val="-2"/>
                <w:sz w:val="24"/>
              </w:rPr>
              <w:t>3,9900</w:t>
            </w:r>
          </w:p>
        </w:tc>
        <w:tc>
          <w:tcPr>
            <w:tcW w:w="1710" w:type="dxa"/>
            <w:tcBorders>
              <w:bottom w:val="single" w:sz="6" w:space="0" w:color="2A2A2A"/>
            </w:tcBorders>
          </w:tcPr>
          <w:p>
            <w:pPr>
              <w:pStyle w:val="TableParagraph"/>
              <w:spacing w:before="114"/>
              <w:rPr>
                <w:b/>
                <w:sz w:val="24"/>
              </w:rPr>
            </w:pPr>
          </w:p>
          <w:p>
            <w:pPr>
              <w:pStyle w:val="TableParagraph"/>
              <w:spacing w:before="1"/>
              <w:ind w:left="38"/>
              <w:jc w:val="center"/>
              <w:rPr>
                <w:sz w:val="24"/>
              </w:rPr>
            </w:pPr>
            <w:r>
              <w:rPr>
                <w:spacing w:val="-2"/>
                <w:sz w:val="24"/>
              </w:rPr>
              <w:t>24.000</w:t>
            </w:r>
          </w:p>
        </w:tc>
        <w:tc>
          <w:tcPr>
            <w:tcW w:w="1380" w:type="dxa"/>
            <w:tcBorders>
              <w:bottom w:val="single" w:sz="6" w:space="0" w:color="2A2A2A"/>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95.760,00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720"/>
        <w:gridCol w:w="780"/>
        <w:gridCol w:w="4305"/>
        <w:gridCol w:w="1440"/>
        <w:gridCol w:w="1710"/>
        <w:gridCol w:w="1380"/>
      </w:tblGrid>
      <w:tr>
        <w:trPr>
          <w:trHeight w:val="1079" w:hRule="atLeast"/>
        </w:trPr>
        <w:tc>
          <w:tcPr>
            <w:tcW w:w="720" w:type="dxa"/>
            <w:tcBorders>
              <w:left w:val="sing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7</w:t>
            </w:r>
          </w:p>
        </w:tc>
        <w:tc>
          <w:tcPr>
            <w:tcW w:w="780" w:type="dxa"/>
            <w:tcBorders>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22"/>
              <w:jc w:val="center"/>
              <w:rPr>
                <w:sz w:val="24"/>
              </w:rPr>
            </w:pPr>
            <w:r>
              <w:rPr>
                <w:spacing w:val="-4"/>
                <w:sz w:val="24"/>
              </w:rPr>
              <w:t>3005</w:t>
            </w:r>
          </w:p>
        </w:tc>
        <w:tc>
          <w:tcPr>
            <w:tcW w:w="4305" w:type="dxa"/>
            <w:tcBorders>
              <w:left w:val="double" w:sz="6" w:space="0" w:color="2A2A2A"/>
              <w:bottom w:val="double" w:sz="6" w:space="0" w:color="2A2A2A"/>
              <w:right w:val="double" w:sz="6" w:space="0" w:color="2A2A2A"/>
            </w:tcBorders>
          </w:tcPr>
          <w:p>
            <w:pPr>
              <w:pStyle w:val="TableParagraph"/>
              <w:spacing w:line="235" w:lineRule="auto"/>
              <w:ind w:left="15" w:right="-15"/>
              <w:jc w:val="both"/>
              <w:rPr>
                <w:sz w:val="24"/>
              </w:rPr>
            </w:pPr>
            <w:r>
              <w:rPr>
                <w:sz w:val="24"/>
              </w:rPr>
              <w:t>Cânula orofaríngea (Guedel), em PVC, nº</w:t>
            </w:r>
            <w:r>
              <w:rPr>
                <w:spacing w:val="80"/>
                <w:sz w:val="24"/>
              </w:rPr>
              <w:t> </w:t>
            </w:r>
            <w:r>
              <w:rPr>
                <w:sz w:val="24"/>
              </w:rPr>
              <w:t>5,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Borders>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8" w:right="2"/>
              <w:jc w:val="center"/>
              <w:rPr>
                <w:sz w:val="24"/>
              </w:rPr>
            </w:pPr>
            <w:r>
              <w:rPr>
                <w:spacing w:val="-2"/>
                <w:sz w:val="24"/>
              </w:rPr>
              <w:t>3,5000</w:t>
            </w:r>
          </w:p>
        </w:tc>
        <w:tc>
          <w:tcPr>
            <w:tcW w:w="1710" w:type="dxa"/>
            <w:tcBorders>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8"/>
              <w:jc w:val="center"/>
              <w:rPr>
                <w:sz w:val="24"/>
              </w:rPr>
            </w:pPr>
            <w:r>
              <w:rPr>
                <w:spacing w:val="-2"/>
                <w:sz w:val="24"/>
              </w:rPr>
              <w:t>12.000</w:t>
            </w:r>
          </w:p>
        </w:tc>
        <w:tc>
          <w:tcPr>
            <w:tcW w:w="1380" w:type="dxa"/>
            <w:tcBorders>
              <w:left w:val="double" w:sz="6" w:space="0" w:color="2A2A2A"/>
              <w:bottom w:val="double" w:sz="6" w:space="0" w:color="2A2A2A"/>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42.000,00</w:t>
            </w:r>
          </w:p>
        </w:tc>
      </w:tr>
      <w:tr>
        <w:trPr>
          <w:trHeight w:val="107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5"/>
              <w:jc w:val="center"/>
              <w:rPr>
                <w:sz w:val="24"/>
              </w:rPr>
            </w:pPr>
            <w:r>
              <w:rPr>
                <w:spacing w:val="-10"/>
                <w:sz w:val="24"/>
              </w:rPr>
              <w:t>8</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22"/>
              <w:jc w:val="center"/>
              <w:rPr>
                <w:sz w:val="24"/>
              </w:rPr>
            </w:pPr>
            <w:r>
              <w:rPr>
                <w:spacing w:val="-4"/>
                <w:sz w:val="24"/>
              </w:rPr>
              <w:t>3000</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jc w:val="both"/>
              <w:rPr>
                <w:sz w:val="24"/>
              </w:rPr>
            </w:pPr>
            <w:r>
              <w:rPr>
                <w:sz w:val="24"/>
              </w:rPr>
              <w:t>Cânula orofaríngea (Guedel), em PVC, nº</w:t>
            </w:r>
            <w:r>
              <w:rPr>
                <w:spacing w:val="80"/>
                <w:sz w:val="24"/>
              </w:rPr>
              <w:t> </w:t>
            </w:r>
            <w:r>
              <w:rPr>
                <w:sz w:val="24"/>
              </w:rPr>
              <w:t>6, estéril, atóxica, flexível, isenta de látex. Orifício</w:t>
            </w:r>
            <w:r>
              <w:rPr>
                <w:spacing w:val="30"/>
                <w:sz w:val="24"/>
              </w:rPr>
              <w:t> </w:t>
            </w:r>
            <w:r>
              <w:rPr>
                <w:sz w:val="24"/>
              </w:rPr>
              <w:t>central</w:t>
            </w:r>
            <w:r>
              <w:rPr>
                <w:spacing w:val="30"/>
                <w:sz w:val="24"/>
              </w:rPr>
              <w:t> </w:t>
            </w:r>
            <w:r>
              <w:rPr>
                <w:sz w:val="24"/>
              </w:rPr>
              <w:t>que</w:t>
            </w:r>
            <w:r>
              <w:rPr>
                <w:spacing w:val="30"/>
                <w:sz w:val="24"/>
              </w:rPr>
              <w:t> </w:t>
            </w:r>
            <w:r>
              <w:rPr>
                <w:sz w:val="24"/>
              </w:rPr>
              <w:t>garanta</w:t>
            </w:r>
            <w:r>
              <w:rPr>
                <w:spacing w:val="30"/>
                <w:sz w:val="24"/>
              </w:rPr>
              <w:t> </w:t>
            </w:r>
            <w:r>
              <w:rPr>
                <w:sz w:val="24"/>
              </w:rPr>
              <w:t>boa</w:t>
            </w:r>
            <w:r>
              <w:rPr>
                <w:spacing w:val="30"/>
                <w:sz w:val="24"/>
              </w:rPr>
              <w:t> </w:t>
            </w:r>
            <w:r>
              <w:rPr>
                <w:spacing w:val="-2"/>
                <w:sz w:val="24"/>
              </w:rPr>
              <w:t>ventilação</w:t>
            </w:r>
          </w:p>
          <w:p>
            <w:pPr>
              <w:pStyle w:val="TableParagraph"/>
              <w:spacing w:line="258" w:lineRule="exact"/>
              <w:ind w:left="15"/>
              <w:jc w:val="both"/>
              <w:rPr>
                <w:sz w:val="24"/>
              </w:rPr>
            </w:pPr>
            <w:r>
              <w:rPr>
                <w:sz w:val="24"/>
              </w:rPr>
              <w:t>e borda de segurança.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8" w:right="2"/>
              <w:jc w:val="center"/>
              <w:rPr>
                <w:sz w:val="24"/>
              </w:rPr>
            </w:pPr>
            <w:r>
              <w:rPr>
                <w:spacing w:val="-2"/>
                <w:sz w:val="24"/>
              </w:rPr>
              <w:t>3,7600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114"/>
              <w:rPr>
                <w:b/>
                <w:sz w:val="24"/>
              </w:rPr>
            </w:pPr>
          </w:p>
          <w:p>
            <w:pPr>
              <w:pStyle w:val="TableParagraph"/>
              <w:spacing w:before="1"/>
              <w:ind w:left="38"/>
              <w:jc w:val="center"/>
              <w:rPr>
                <w:sz w:val="24"/>
              </w:rPr>
            </w:pPr>
            <w:r>
              <w:rPr>
                <w:spacing w:val="-2"/>
                <w:sz w:val="24"/>
              </w:rPr>
              <w:t>2.760</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114"/>
              <w:rPr>
                <w:b/>
                <w:sz w:val="24"/>
              </w:rPr>
            </w:pPr>
          </w:p>
          <w:p>
            <w:pPr>
              <w:pStyle w:val="TableParagraph"/>
              <w:spacing w:before="1"/>
              <w:ind w:left="9" w:right="2"/>
              <w:jc w:val="center"/>
              <w:rPr>
                <w:sz w:val="24"/>
              </w:rPr>
            </w:pPr>
            <w:r>
              <w:rPr>
                <w:spacing w:val="-2"/>
                <w:sz w:val="24"/>
              </w:rPr>
              <w:t>10.377,60</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10"/>
                <w:sz w:val="24"/>
              </w:rPr>
              <w:t>9</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22"/>
              <w:jc w:val="center"/>
              <w:rPr>
                <w:sz w:val="24"/>
              </w:rPr>
            </w:pPr>
            <w:r>
              <w:rPr>
                <w:spacing w:val="-4"/>
                <w:sz w:val="24"/>
              </w:rPr>
              <w:t>114475</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1,0,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25,1050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77</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1.933,08</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10</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18" w:right="-15"/>
              <w:jc w:val="center"/>
              <w:rPr>
                <w:sz w:val="24"/>
              </w:rPr>
            </w:pPr>
            <w:r>
              <w:rPr>
                <w:spacing w:val="-2"/>
                <w:sz w:val="24"/>
              </w:rPr>
              <w:t>160748</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1,5,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24,1900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106</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2.564,14</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11</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22"/>
              <w:jc w:val="center"/>
              <w:rPr>
                <w:sz w:val="24"/>
              </w:rPr>
            </w:pPr>
            <w:r>
              <w:rPr>
                <w:spacing w:val="-4"/>
                <w:sz w:val="24"/>
              </w:rPr>
              <w:t>114476</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2,0,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27,2900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158</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4.311,82</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12</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18" w:right="-15"/>
              <w:jc w:val="center"/>
              <w:rPr>
                <w:sz w:val="24"/>
              </w:rPr>
            </w:pPr>
            <w:r>
              <w:rPr>
                <w:spacing w:val="-2"/>
                <w:sz w:val="24"/>
              </w:rPr>
              <w:t>160988</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2,5,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26,0000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156</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4.056,00</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13</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22"/>
              <w:jc w:val="center"/>
              <w:rPr>
                <w:sz w:val="24"/>
              </w:rPr>
            </w:pPr>
            <w:r>
              <w:rPr>
                <w:spacing w:val="-4"/>
                <w:sz w:val="24"/>
              </w:rPr>
              <w:t>114477</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3,0,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27,2200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108</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2.939,76</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14</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22"/>
              <w:jc w:val="center"/>
              <w:rPr>
                <w:sz w:val="24"/>
              </w:rPr>
            </w:pPr>
            <w:r>
              <w:rPr>
                <w:spacing w:val="-4"/>
                <w:sz w:val="24"/>
              </w:rPr>
              <w:t>114478</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4,0,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29,4400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139</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4.092,16</w:t>
            </w:r>
          </w:p>
        </w:tc>
      </w:tr>
      <w:tr>
        <w:trPr>
          <w:trHeight w:val="809" w:hRule="atLeast"/>
        </w:trPr>
        <w:tc>
          <w:tcPr>
            <w:tcW w:w="720" w:type="dxa"/>
            <w:tcBorders>
              <w:top w:val="double" w:sz="6" w:space="0" w:color="2A2A2A"/>
              <w:left w:val="single" w:sz="6" w:space="0" w:color="2A2A2A"/>
              <w:bottom w:val="double" w:sz="6" w:space="0" w:color="2A2A2A"/>
              <w:right w:val="double" w:sz="6" w:space="0" w:color="2A2A2A"/>
            </w:tcBorders>
          </w:tcPr>
          <w:p>
            <w:pPr>
              <w:pStyle w:val="TableParagraph"/>
              <w:spacing w:before="256"/>
              <w:ind w:left="35"/>
              <w:jc w:val="center"/>
              <w:rPr>
                <w:sz w:val="24"/>
              </w:rPr>
            </w:pPr>
            <w:r>
              <w:rPr>
                <w:spacing w:val="-5"/>
                <w:sz w:val="24"/>
              </w:rPr>
              <w:t>15</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spacing w:before="256"/>
              <w:ind w:left="22"/>
              <w:jc w:val="center"/>
              <w:rPr>
                <w:sz w:val="24"/>
              </w:rPr>
            </w:pPr>
            <w:r>
              <w:rPr>
                <w:spacing w:val="-4"/>
                <w:sz w:val="24"/>
              </w:rPr>
              <w:t>114479</w:t>
            </w:r>
          </w:p>
        </w:tc>
        <w:tc>
          <w:tcPr>
            <w:tcW w:w="430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5" w:right="-15"/>
              <w:rPr>
                <w:sz w:val="24"/>
              </w:rPr>
            </w:pPr>
            <w:r>
              <w:rPr>
                <w:sz w:val="24"/>
              </w:rPr>
              <w:t>Máscara laríngea em PVC, nº 5,0, atóxica, com</w:t>
            </w:r>
            <w:r>
              <w:rPr>
                <w:spacing w:val="66"/>
                <w:sz w:val="24"/>
              </w:rPr>
              <w:t> </w:t>
            </w:r>
            <w:r>
              <w:rPr>
                <w:sz w:val="24"/>
              </w:rPr>
              <w:t>marcação</w:t>
            </w:r>
            <w:r>
              <w:rPr>
                <w:spacing w:val="66"/>
                <w:sz w:val="24"/>
              </w:rPr>
              <w:t> </w:t>
            </w:r>
            <w:r>
              <w:rPr>
                <w:sz w:val="24"/>
              </w:rPr>
              <w:t>linear,</w:t>
            </w:r>
            <w:r>
              <w:rPr>
                <w:spacing w:val="67"/>
                <w:sz w:val="24"/>
              </w:rPr>
              <w:t> </w:t>
            </w:r>
            <w:r>
              <w:rPr>
                <w:sz w:val="24"/>
              </w:rPr>
              <w:t>isenta</w:t>
            </w:r>
            <w:r>
              <w:rPr>
                <w:spacing w:val="66"/>
                <w:sz w:val="24"/>
              </w:rPr>
              <w:t> </w:t>
            </w:r>
            <w:r>
              <w:rPr>
                <w:sz w:val="24"/>
              </w:rPr>
              <w:t>do</w:t>
            </w:r>
            <w:r>
              <w:rPr>
                <w:spacing w:val="66"/>
                <w:sz w:val="24"/>
              </w:rPr>
              <w:t> </w:t>
            </w:r>
            <w:r>
              <w:rPr>
                <w:sz w:val="24"/>
              </w:rPr>
              <w:t>de</w:t>
            </w:r>
            <w:r>
              <w:rPr>
                <w:spacing w:val="67"/>
                <w:sz w:val="24"/>
              </w:rPr>
              <w:t> </w:t>
            </w:r>
            <w:r>
              <w:rPr>
                <w:spacing w:val="-2"/>
                <w:sz w:val="24"/>
              </w:rPr>
              <w:t>látex,</w:t>
            </w:r>
          </w:p>
          <w:p>
            <w:pPr>
              <w:pStyle w:val="TableParagraph"/>
              <w:spacing w:line="259" w:lineRule="exact"/>
              <w:ind w:left="15"/>
              <w:rPr>
                <w:sz w:val="24"/>
              </w:rPr>
            </w:pPr>
            <w:r>
              <w:rPr>
                <w:sz w:val="24"/>
              </w:rPr>
              <w:t>estéril, </w:t>
            </w:r>
            <w:r>
              <w:rPr>
                <w:spacing w:val="-2"/>
                <w:sz w:val="24"/>
              </w:rPr>
              <w:t>descartável.</w:t>
            </w:r>
          </w:p>
        </w:tc>
        <w:tc>
          <w:tcPr>
            <w:tcW w:w="144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right="2"/>
              <w:jc w:val="center"/>
              <w:rPr>
                <w:sz w:val="24"/>
              </w:rPr>
            </w:pPr>
            <w:r>
              <w:rPr>
                <w:spacing w:val="-2"/>
                <w:sz w:val="24"/>
              </w:rPr>
              <w:t>26,2400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spacing w:before="256"/>
              <w:ind w:left="38"/>
              <w:jc w:val="center"/>
              <w:rPr>
                <w:sz w:val="24"/>
              </w:rPr>
            </w:pPr>
            <w:r>
              <w:rPr>
                <w:spacing w:val="-5"/>
                <w:sz w:val="24"/>
              </w:rPr>
              <w:t>127</w:t>
            </w:r>
          </w:p>
        </w:tc>
        <w:tc>
          <w:tcPr>
            <w:tcW w:w="1380" w:type="dxa"/>
            <w:tcBorders>
              <w:top w:val="double" w:sz="6" w:space="0" w:color="2A2A2A"/>
              <w:left w:val="double" w:sz="6" w:space="0" w:color="2A2A2A"/>
              <w:bottom w:val="double" w:sz="6" w:space="0" w:color="2A2A2A"/>
              <w:right w:val="single" w:sz="6" w:space="0" w:color="808080"/>
            </w:tcBorders>
          </w:tcPr>
          <w:p>
            <w:pPr>
              <w:pStyle w:val="TableParagraph"/>
              <w:spacing w:before="256"/>
              <w:ind w:left="9" w:right="2"/>
              <w:jc w:val="center"/>
              <w:rPr>
                <w:sz w:val="24"/>
              </w:rPr>
            </w:pPr>
            <w:r>
              <w:rPr>
                <w:spacing w:val="-2"/>
                <w:sz w:val="24"/>
              </w:rPr>
              <w:t>3.332,48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6"/>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855"/>
        <w:gridCol w:w="750"/>
        <w:gridCol w:w="930"/>
        <w:gridCol w:w="990"/>
        <w:gridCol w:w="1005"/>
        <w:gridCol w:w="990"/>
        <w:gridCol w:w="1005"/>
        <w:gridCol w:w="585"/>
      </w:tblGrid>
      <w:tr>
        <w:trPr>
          <w:trHeight w:val="1559" w:hRule="atLeast"/>
        </w:trPr>
        <w:tc>
          <w:tcPr>
            <w:tcW w:w="4560" w:type="dxa"/>
            <w:gridSpan w:val="2"/>
          </w:tcPr>
          <w:p>
            <w:pPr>
              <w:pStyle w:val="TableParagraph"/>
              <w:spacing w:line="235" w:lineRule="auto"/>
              <w:ind w:left="33" w:right="19"/>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before="225"/>
              <w:ind w:left="33" w:right="2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33" w:right="22"/>
              <w:jc w:val="center"/>
              <w:rPr>
                <w:b/>
                <w:sz w:val="24"/>
              </w:rPr>
            </w:pPr>
            <w:r>
              <w:rPr>
                <w:b/>
                <w:spacing w:val="-4"/>
                <w:sz w:val="24"/>
              </w:rPr>
              <w:t>PROPOSTA</w:t>
            </w:r>
            <w:r>
              <w:rPr>
                <w:b/>
                <w:sz w:val="24"/>
              </w:rPr>
              <w:t> </w:t>
            </w:r>
            <w:r>
              <w:rPr>
                <w:b/>
                <w:spacing w:val="-2"/>
                <w:sz w:val="24"/>
              </w:rPr>
              <w:t>DETALHE</w:t>
            </w:r>
          </w:p>
        </w:tc>
        <w:tc>
          <w:tcPr>
            <w:tcW w:w="6255" w:type="dxa"/>
            <w:gridSpan w:val="7"/>
          </w:tcPr>
          <w:p>
            <w:pPr>
              <w:pStyle w:val="TableParagraph"/>
              <w:spacing w:before="241"/>
              <w:ind w:left="20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193/2026.</w:t>
            </w:r>
          </w:p>
          <w:p>
            <w:pPr>
              <w:pStyle w:val="TableParagraph"/>
              <w:spacing w:line="338" w:lineRule="auto" w:before="114"/>
              <w:ind w:left="201" w:right="1131"/>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SEI-260007/000493/2026.</w:t>
            </w:r>
          </w:p>
        </w:tc>
      </w:tr>
      <w:tr>
        <w:trPr>
          <w:trHeight w:val="1619" w:hRule="atLeast"/>
        </w:trPr>
        <w:tc>
          <w:tcPr>
            <w:tcW w:w="4560" w:type="dxa"/>
            <w:gridSpan w:val="2"/>
          </w:tcPr>
          <w:p>
            <w:pPr>
              <w:pStyle w:val="TableParagraph"/>
              <w:spacing w:line="235" w:lineRule="auto" w:before="125"/>
              <w:ind w:left="182" w:right="131"/>
              <w:rPr>
                <w:b/>
                <w:sz w:val="24"/>
              </w:rPr>
            </w:pPr>
            <w:r>
              <w:rPr>
                <w:sz w:val="24"/>
              </w:rPr>
              <w:t>A firma ao lado mencionada propõe fornecer à Universidade do Estado do Rio de Janeiro, pelos preços abaixo assinados, obedecendo</w:t>
            </w:r>
            <w:r>
              <w:rPr>
                <w:spacing w:val="-10"/>
                <w:sz w:val="24"/>
              </w:rPr>
              <w:t> </w:t>
            </w:r>
            <w:r>
              <w:rPr>
                <w:sz w:val="24"/>
              </w:rPr>
              <w:t>rigorosamente</w:t>
            </w:r>
            <w:r>
              <w:rPr>
                <w:spacing w:val="-10"/>
                <w:sz w:val="24"/>
              </w:rPr>
              <w:t> </w:t>
            </w:r>
            <w:r>
              <w:rPr>
                <w:sz w:val="24"/>
              </w:rPr>
              <w:t>ao</w:t>
            </w:r>
            <w:r>
              <w:rPr>
                <w:spacing w:val="-10"/>
                <w:sz w:val="24"/>
              </w:rPr>
              <w:t> </w:t>
            </w:r>
            <w:r>
              <w:rPr>
                <w:sz w:val="24"/>
              </w:rPr>
              <w:t>estipulado</w:t>
            </w:r>
            <w:r>
              <w:rPr>
                <w:spacing w:val="-10"/>
                <w:sz w:val="24"/>
              </w:rPr>
              <w:t> </w:t>
            </w:r>
            <w:r>
              <w:rPr>
                <w:sz w:val="24"/>
              </w:rPr>
              <w:t>e constante do </w:t>
            </w:r>
            <w:r>
              <w:rPr>
                <w:b/>
                <w:sz w:val="24"/>
              </w:rPr>
              <w:t>EDITAL n° 193/2026.</w:t>
            </w:r>
          </w:p>
        </w:tc>
        <w:tc>
          <w:tcPr>
            <w:tcW w:w="6255" w:type="dxa"/>
            <w:gridSpan w:val="7"/>
          </w:tcPr>
          <w:p>
            <w:pPr>
              <w:pStyle w:val="TableParagraph"/>
              <w:spacing w:line="235" w:lineRule="auto"/>
              <w:ind w:left="194" w:right="4717"/>
              <w:rPr>
                <w:sz w:val="24"/>
              </w:rPr>
            </w:pPr>
            <w:r>
              <w:rPr>
                <w:sz w:val="24"/>
              </w:rPr>
              <w:t>Razão </w:t>
            </w:r>
            <w:r>
              <w:rPr>
                <w:spacing w:val="-2"/>
                <w:sz w:val="24"/>
              </w:rPr>
              <w:t>Social:</w:t>
            </w:r>
          </w:p>
          <w:p>
            <w:pPr>
              <w:pStyle w:val="TableParagraph"/>
              <w:spacing w:line="235" w:lineRule="auto"/>
              <w:ind w:left="194" w:right="4717"/>
              <w:rPr>
                <w:sz w:val="24"/>
              </w:rPr>
            </w:pPr>
            <w:r>
              <w:rPr>
                <w:spacing w:val="-2"/>
                <w:sz w:val="24"/>
              </w:rPr>
              <w:t>CNPJ:</w:t>
            </w:r>
          </w:p>
          <w:p>
            <w:pPr>
              <w:pStyle w:val="TableParagraph"/>
              <w:spacing w:line="235" w:lineRule="auto"/>
              <w:ind w:left="194" w:right="4210"/>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4"/>
              <w:rPr>
                <w:sz w:val="24"/>
              </w:rPr>
            </w:pPr>
            <w:r>
              <w:rPr>
                <w:sz w:val="24"/>
              </w:rPr>
              <w:t>E-</w:t>
            </w:r>
            <w:r>
              <w:rPr>
                <w:spacing w:val="-2"/>
                <w:sz w:val="24"/>
              </w:rPr>
              <w:t>mail:</w:t>
            </w:r>
          </w:p>
        </w:tc>
      </w:tr>
      <w:tr>
        <w:trPr>
          <w:trHeight w:val="539" w:hRule="atLeast"/>
        </w:trPr>
        <w:tc>
          <w:tcPr>
            <w:tcW w:w="705" w:type="dxa"/>
            <w:vMerge w:val="restart"/>
          </w:tcPr>
          <w:p>
            <w:pPr>
              <w:pStyle w:val="TableParagraph"/>
              <w:spacing w:before="129"/>
              <w:rPr>
                <w:b/>
                <w:sz w:val="24"/>
              </w:rPr>
            </w:pPr>
          </w:p>
          <w:p>
            <w:pPr>
              <w:pStyle w:val="TableParagraph"/>
              <w:spacing w:before="1"/>
              <w:ind w:left="130"/>
              <w:rPr>
                <w:b/>
                <w:sz w:val="24"/>
              </w:rPr>
            </w:pPr>
            <w:r>
              <w:rPr>
                <w:b/>
                <w:spacing w:val="-4"/>
                <w:sz w:val="24"/>
              </w:rPr>
              <w:t>item</w:t>
            </w:r>
          </w:p>
        </w:tc>
        <w:tc>
          <w:tcPr>
            <w:tcW w:w="3855" w:type="dxa"/>
            <w:vMerge w:val="restart"/>
          </w:tcPr>
          <w:p>
            <w:pPr>
              <w:pStyle w:val="TableParagraph"/>
              <w:spacing w:before="129"/>
              <w:rPr>
                <w:b/>
                <w:sz w:val="24"/>
              </w:rPr>
            </w:pPr>
          </w:p>
          <w:p>
            <w:pPr>
              <w:pStyle w:val="TableParagraph"/>
              <w:spacing w:before="1"/>
              <w:ind w:left="944"/>
              <w:rPr>
                <w:b/>
                <w:sz w:val="24"/>
              </w:rPr>
            </w:pPr>
            <w:r>
              <w:rPr>
                <w:b/>
                <w:spacing w:val="-2"/>
                <w:sz w:val="24"/>
              </w:rPr>
              <w:t>ESPECIFICAÇÃO</w:t>
            </w:r>
          </w:p>
        </w:tc>
        <w:tc>
          <w:tcPr>
            <w:tcW w:w="750" w:type="dxa"/>
            <w:vMerge w:val="restart"/>
          </w:tcPr>
          <w:p>
            <w:pPr>
              <w:pStyle w:val="TableParagraph"/>
              <w:spacing w:before="129"/>
              <w:rPr>
                <w:b/>
                <w:sz w:val="24"/>
              </w:rPr>
            </w:pPr>
          </w:p>
          <w:p>
            <w:pPr>
              <w:pStyle w:val="TableParagraph"/>
              <w:spacing w:before="1"/>
              <w:ind w:left="127"/>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68"/>
              <w:rPr>
                <w:b/>
                <w:sz w:val="24"/>
              </w:rPr>
            </w:pPr>
            <w:r>
              <w:rPr>
                <w:b/>
                <w:spacing w:val="-5"/>
                <w:sz w:val="24"/>
              </w:rPr>
              <w:t>Qtd</w:t>
            </w:r>
          </w:p>
        </w:tc>
        <w:tc>
          <w:tcPr>
            <w:tcW w:w="1995" w:type="dxa"/>
            <w:gridSpan w:val="2"/>
          </w:tcPr>
          <w:p>
            <w:pPr>
              <w:pStyle w:val="TableParagraph"/>
              <w:spacing w:line="259" w:lineRule="exact"/>
              <w:ind w:left="365"/>
              <w:rPr>
                <w:b/>
                <w:sz w:val="24"/>
              </w:rPr>
            </w:pPr>
            <w:r>
              <w:rPr>
                <w:b/>
                <w:sz w:val="24"/>
              </w:rPr>
              <w:t>preço</w:t>
            </w:r>
            <w:r>
              <w:rPr>
                <w:b/>
                <w:spacing w:val="-5"/>
                <w:sz w:val="24"/>
              </w:rPr>
              <w:t> COM</w:t>
            </w:r>
          </w:p>
          <w:p>
            <w:pPr>
              <w:pStyle w:val="TableParagraph"/>
              <w:spacing w:line="261" w:lineRule="exact"/>
              <w:ind w:left="425"/>
              <w:rPr>
                <w:b/>
                <w:sz w:val="24"/>
              </w:rPr>
            </w:pPr>
            <w:r>
              <w:rPr>
                <w:b/>
                <w:sz w:val="24"/>
              </w:rPr>
              <w:t>ICMS </w:t>
            </w:r>
            <w:r>
              <w:rPr>
                <w:b/>
                <w:spacing w:val="-4"/>
                <w:sz w:val="24"/>
              </w:rPr>
              <w:t>(R$)</w:t>
            </w:r>
          </w:p>
        </w:tc>
        <w:tc>
          <w:tcPr>
            <w:tcW w:w="1995" w:type="dxa"/>
            <w:gridSpan w:val="2"/>
          </w:tcPr>
          <w:p>
            <w:pPr>
              <w:pStyle w:val="TableParagraph"/>
              <w:spacing w:line="259" w:lineRule="exact"/>
              <w:ind w:left="394"/>
              <w:rPr>
                <w:b/>
                <w:sz w:val="24"/>
              </w:rPr>
            </w:pPr>
            <w:r>
              <w:rPr>
                <w:b/>
                <w:sz w:val="24"/>
              </w:rPr>
              <w:t>preço</w:t>
            </w:r>
            <w:r>
              <w:rPr>
                <w:b/>
                <w:spacing w:val="-5"/>
                <w:sz w:val="24"/>
              </w:rPr>
              <w:t> SEM</w:t>
            </w:r>
          </w:p>
          <w:p>
            <w:pPr>
              <w:pStyle w:val="TableParagraph"/>
              <w:spacing w:line="261" w:lineRule="exact"/>
              <w:ind w:left="422"/>
              <w:rPr>
                <w:b/>
                <w:sz w:val="24"/>
              </w:rPr>
            </w:pPr>
            <w:r>
              <w:rPr>
                <w:b/>
                <w:sz w:val="24"/>
              </w:rPr>
              <w:t>ICMS </w:t>
            </w:r>
            <w:r>
              <w:rPr>
                <w:b/>
                <w:spacing w:val="-4"/>
                <w:sz w:val="24"/>
              </w:rPr>
              <w:t>(R$)</w:t>
            </w:r>
          </w:p>
        </w:tc>
        <w:tc>
          <w:tcPr>
            <w:tcW w:w="585" w:type="dxa"/>
          </w:tcPr>
          <w:p>
            <w:pPr>
              <w:pStyle w:val="TableParagraph"/>
              <w:rPr>
                <w:sz w:val="24"/>
              </w:rPr>
            </w:pPr>
          </w:p>
        </w:tc>
      </w:tr>
      <w:tr>
        <w:trPr>
          <w:trHeight w:val="539" w:hRule="atLeast"/>
        </w:trPr>
        <w:tc>
          <w:tcPr>
            <w:tcW w:w="705" w:type="dxa"/>
            <w:vMerge/>
            <w:tcBorders>
              <w:top w:val="nil"/>
            </w:tcBorders>
          </w:tcPr>
          <w:p>
            <w:pPr>
              <w:rPr>
                <w:sz w:val="2"/>
                <w:szCs w:val="2"/>
              </w:rPr>
            </w:pPr>
          </w:p>
        </w:tc>
        <w:tc>
          <w:tcPr>
            <w:tcW w:w="3855" w:type="dxa"/>
            <w:vMerge/>
            <w:tcBorders>
              <w:top w:val="nil"/>
            </w:tcBorders>
          </w:tcPr>
          <w:p>
            <w:pPr>
              <w:rPr>
                <w:sz w:val="2"/>
                <w:szCs w:val="2"/>
              </w:rPr>
            </w:pPr>
          </w:p>
        </w:tc>
        <w:tc>
          <w:tcPr>
            <w:tcW w:w="750" w:type="dxa"/>
            <w:vMerge/>
            <w:tcBorders>
              <w:top w:val="nil"/>
            </w:tcBorders>
          </w:tcPr>
          <w:p>
            <w:pPr>
              <w:rPr>
                <w:sz w:val="2"/>
                <w:szCs w:val="2"/>
              </w:rPr>
            </w:pPr>
          </w:p>
        </w:tc>
        <w:tc>
          <w:tcPr>
            <w:tcW w:w="930" w:type="dxa"/>
            <w:vMerge/>
            <w:tcBorders>
              <w:top w:val="nil"/>
            </w:tcBorders>
          </w:tcPr>
          <w:p>
            <w:pPr>
              <w:rPr>
                <w:sz w:val="2"/>
                <w:szCs w:val="2"/>
              </w:rPr>
            </w:pPr>
          </w:p>
        </w:tc>
        <w:tc>
          <w:tcPr>
            <w:tcW w:w="990"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990" w:type="dxa"/>
          </w:tcPr>
          <w:p>
            <w:pPr>
              <w:pStyle w:val="TableParagraph"/>
              <w:spacing w:line="259" w:lineRule="exact"/>
              <w:ind w:left="34" w:right="10"/>
              <w:jc w:val="center"/>
              <w:rPr>
                <w:b/>
                <w:sz w:val="24"/>
              </w:rPr>
            </w:pPr>
            <w:r>
              <w:rPr>
                <w:b/>
                <w:spacing w:val="-4"/>
                <w:sz w:val="24"/>
              </w:rPr>
              <w:t>preço</w:t>
            </w:r>
          </w:p>
          <w:p>
            <w:pPr>
              <w:pStyle w:val="TableParagraph"/>
              <w:spacing w:line="261" w:lineRule="exact"/>
              <w:ind w:left="34" w:right="2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585"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3855"/>
        <w:gridCol w:w="750"/>
        <w:gridCol w:w="930"/>
        <w:gridCol w:w="990"/>
        <w:gridCol w:w="1005"/>
        <w:gridCol w:w="990"/>
        <w:gridCol w:w="1005"/>
        <w:gridCol w:w="585"/>
      </w:tblGrid>
      <w:tr>
        <w:trPr>
          <w:trHeight w:val="2369" w:hRule="atLeast"/>
        </w:trPr>
        <w:tc>
          <w:tcPr>
            <w:tcW w:w="705"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24"/>
              <w:jc w:val="center"/>
              <w:rPr>
                <w:sz w:val="24"/>
              </w:rPr>
            </w:pPr>
            <w:r>
              <w:rPr>
                <w:spacing w:val="-10"/>
                <w:sz w:val="24"/>
              </w:rPr>
              <w:t>1</w:t>
            </w:r>
          </w:p>
        </w:tc>
        <w:tc>
          <w:tcPr>
            <w:tcW w:w="3855" w:type="dxa"/>
          </w:tcPr>
          <w:p>
            <w:pPr>
              <w:pStyle w:val="TableParagraph"/>
              <w:spacing w:line="235" w:lineRule="auto"/>
              <w:ind w:left="80" w:right="56"/>
              <w:jc w:val="both"/>
              <w:rPr>
                <w:sz w:val="24"/>
              </w:rPr>
            </w:pPr>
            <w:r>
              <w:rPr>
                <w:sz w:val="24"/>
              </w:rPr>
              <w:t>Cânula orofaríngea (Guedel), </w:t>
            </w:r>
            <w:r>
              <w:rPr>
                <w:sz w:val="24"/>
              </w:rPr>
              <w:t>em PVC, nº 00, estéril, atóxica, flexível, isenta de látex. Orifício central que garanta boa ventilação e borda de segurança. Descartável.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8"/>
              <w:rPr>
                <w:b/>
                <w:sz w:val="24"/>
              </w:rPr>
            </w:pPr>
          </w:p>
          <w:p>
            <w:pPr>
              <w:pStyle w:val="TableParagraph"/>
              <w:ind w:left="11" w:right="3"/>
              <w:jc w:val="center"/>
              <w:rPr>
                <w:sz w:val="24"/>
              </w:rPr>
            </w:pPr>
            <w:r>
              <w:rPr>
                <w:spacing w:val="-5"/>
                <w:sz w:val="24"/>
              </w:rPr>
              <w:t>144</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7" w:hRule="atLeast"/>
        </w:trPr>
        <w:tc>
          <w:tcPr>
            <w:tcW w:w="705" w:type="dxa"/>
          </w:tcPr>
          <w:p>
            <w:pPr>
              <w:pStyle w:val="TableParagraph"/>
              <w:rPr>
                <w:b/>
                <w:sz w:val="24"/>
              </w:rPr>
            </w:pPr>
          </w:p>
          <w:p>
            <w:pPr>
              <w:pStyle w:val="TableParagraph"/>
              <w:rPr>
                <w:b/>
                <w:sz w:val="24"/>
              </w:rPr>
            </w:pPr>
          </w:p>
          <w:p>
            <w:pPr>
              <w:pStyle w:val="TableParagraph"/>
              <w:spacing w:before="205"/>
              <w:rPr>
                <w:b/>
                <w:sz w:val="24"/>
              </w:rPr>
            </w:pPr>
          </w:p>
          <w:p>
            <w:pPr>
              <w:pStyle w:val="TableParagraph"/>
              <w:ind w:left="24"/>
              <w:jc w:val="center"/>
              <w:rPr>
                <w:sz w:val="24"/>
              </w:rPr>
            </w:pPr>
            <w:r>
              <w:rPr>
                <w:spacing w:val="-10"/>
                <w:sz w:val="24"/>
              </w:rPr>
              <w:t>2</w:t>
            </w:r>
          </w:p>
        </w:tc>
        <w:tc>
          <w:tcPr>
            <w:tcW w:w="3855" w:type="dxa"/>
          </w:tcPr>
          <w:p>
            <w:pPr>
              <w:pStyle w:val="TableParagraph"/>
              <w:spacing w:line="235" w:lineRule="auto"/>
              <w:ind w:left="80" w:right="56"/>
              <w:jc w:val="both"/>
              <w:rPr>
                <w:sz w:val="24"/>
              </w:rPr>
            </w:pPr>
            <w:r>
              <w:rPr>
                <w:sz w:val="24"/>
              </w:rPr>
              <w:t>Cânula orofaríngea (Guedel), </w:t>
            </w:r>
            <w:r>
              <w:rPr>
                <w:sz w:val="24"/>
              </w:rPr>
              <w:t>em PVC, nº 0, estéril, atóxica, flexível, isenta de látex. Orifício central que garanta boa ventilação e borda de segurança. Descartável.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5"/>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5"/>
              <w:rPr>
                <w:b/>
                <w:sz w:val="24"/>
              </w:rPr>
            </w:pPr>
          </w:p>
          <w:p>
            <w:pPr>
              <w:pStyle w:val="TableParagraph"/>
              <w:ind w:left="11" w:right="3"/>
              <w:jc w:val="center"/>
              <w:rPr>
                <w:sz w:val="24"/>
              </w:rPr>
            </w:pPr>
            <w:r>
              <w:rPr>
                <w:spacing w:val="-5"/>
                <w:sz w:val="24"/>
              </w:rPr>
              <w:t>156</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4" w:hRule="atLeast"/>
        </w:trPr>
        <w:tc>
          <w:tcPr>
            <w:tcW w:w="705" w:type="dxa"/>
          </w:tcPr>
          <w:p>
            <w:pPr>
              <w:pStyle w:val="TableParagraph"/>
              <w:rPr>
                <w:b/>
                <w:sz w:val="24"/>
              </w:rPr>
            </w:pPr>
          </w:p>
          <w:p>
            <w:pPr>
              <w:pStyle w:val="TableParagraph"/>
              <w:rPr>
                <w:b/>
                <w:sz w:val="24"/>
              </w:rPr>
            </w:pPr>
          </w:p>
          <w:p>
            <w:pPr>
              <w:pStyle w:val="TableParagraph"/>
              <w:spacing w:before="203"/>
              <w:rPr>
                <w:b/>
                <w:sz w:val="24"/>
              </w:rPr>
            </w:pPr>
          </w:p>
          <w:p>
            <w:pPr>
              <w:pStyle w:val="TableParagraph"/>
              <w:ind w:left="24"/>
              <w:jc w:val="center"/>
              <w:rPr>
                <w:sz w:val="24"/>
              </w:rPr>
            </w:pPr>
            <w:r>
              <w:rPr>
                <w:spacing w:val="-10"/>
                <w:sz w:val="24"/>
              </w:rPr>
              <w:t>3</w:t>
            </w:r>
          </w:p>
        </w:tc>
        <w:tc>
          <w:tcPr>
            <w:tcW w:w="3855" w:type="dxa"/>
          </w:tcPr>
          <w:p>
            <w:pPr>
              <w:pStyle w:val="TableParagraph"/>
              <w:spacing w:line="235" w:lineRule="auto"/>
              <w:ind w:left="80" w:right="56"/>
              <w:jc w:val="both"/>
              <w:rPr>
                <w:sz w:val="24"/>
              </w:rPr>
            </w:pPr>
            <w:r>
              <w:rPr>
                <w:sz w:val="24"/>
              </w:rPr>
              <w:t>Cânula orofaríngea (Guedel), </w:t>
            </w:r>
            <w:r>
              <w:rPr>
                <w:sz w:val="24"/>
              </w:rPr>
              <w:t>em PVC, nº 1, estéril, atóxica, flexível, isenta de látex. Orifício central que garanta boa ventilação e borda de segurança. Descartável.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3"/>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3"/>
              <w:rPr>
                <w:b/>
                <w:sz w:val="24"/>
              </w:rPr>
            </w:pPr>
          </w:p>
          <w:p>
            <w:pPr>
              <w:pStyle w:val="TableParagraph"/>
              <w:ind w:left="11" w:right="3"/>
              <w:jc w:val="center"/>
              <w:rPr>
                <w:sz w:val="24"/>
              </w:rPr>
            </w:pPr>
            <w:r>
              <w:rPr>
                <w:spacing w:val="-5"/>
                <w:sz w:val="24"/>
              </w:rPr>
              <w:t>552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2" w:hRule="atLeast"/>
        </w:trPr>
        <w:tc>
          <w:tcPr>
            <w:tcW w:w="705"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24"/>
              <w:jc w:val="center"/>
              <w:rPr>
                <w:sz w:val="24"/>
              </w:rPr>
            </w:pPr>
            <w:r>
              <w:rPr>
                <w:spacing w:val="-10"/>
                <w:sz w:val="24"/>
              </w:rPr>
              <w:t>4</w:t>
            </w:r>
          </w:p>
        </w:tc>
        <w:tc>
          <w:tcPr>
            <w:tcW w:w="3855" w:type="dxa"/>
          </w:tcPr>
          <w:p>
            <w:pPr>
              <w:pStyle w:val="TableParagraph"/>
              <w:spacing w:line="252" w:lineRule="exact"/>
              <w:ind w:left="80"/>
              <w:jc w:val="both"/>
              <w:rPr>
                <w:sz w:val="24"/>
              </w:rPr>
            </w:pPr>
            <w:r>
              <w:rPr>
                <w:sz w:val="24"/>
              </w:rPr>
              <w:t>Cânula</w:t>
            </w:r>
            <w:r>
              <w:rPr>
                <w:spacing w:val="58"/>
                <w:sz w:val="24"/>
              </w:rPr>
              <w:t>  </w:t>
            </w:r>
            <w:r>
              <w:rPr>
                <w:sz w:val="24"/>
              </w:rPr>
              <w:t>orofaríngea</w:t>
            </w:r>
            <w:r>
              <w:rPr>
                <w:spacing w:val="58"/>
                <w:sz w:val="24"/>
              </w:rPr>
              <w:t>  </w:t>
            </w:r>
            <w:r>
              <w:rPr>
                <w:sz w:val="24"/>
              </w:rPr>
              <w:t>(Guedel),</w:t>
            </w:r>
            <w:r>
              <w:rPr>
                <w:spacing w:val="58"/>
                <w:sz w:val="24"/>
              </w:rPr>
              <w:t>  </w:t>
            </w:r>
            <w:r>
              <w:rPr>
                <w:spacing w:val="-5"/>
                <w:sz w:val="24"/>
              </w:rPr>
              <w:t>em</w:t>
            </w:r>
          </w:p>
          <w:p>
            <w:pPr>
              <w:pStyle w:val="TableParagraph"/>
              <w:spacing w:line="235" w:lineRule="auto" w:before="1"/>
              <w:ind w:left="80" w:right="56"/>
              <w:jc w:val="both"/>
              <w:rPr>
                <w:sz w:val="24"/>
              </w:rPr>
            </w:pPr>
            <w:r>
              <w:rPr>
                <w:sz w:val="24"/>
              </w:rPr>
              <w:t>PVC, nº 2, estéril, atóxica, </w:t>
            </w:r>
            <w:r>
              <w:rPr>
                <w:sz w:val="24"/>
              </w:rPr>
              <w:t>flexível, isenta de látex. Orifício central que garanta boa ventilação e borda de segurança. Descartável.</w:t>
            </w:r>
          </w:p>
          <w:p>
            <w:pPr>
              <w:pStyle w:val="TableParagraph"/>
              <w:spacing w:line="510" w:lineRule="exact" w:before="10"/>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1" w:right="3"/>
              <w:jc w:val="center"/>
              <w:rPr>
                <w:sz w:val="24"/>
              </w:rPr>
            </w:pPr>
            <w:r>
              <w:rPr>
                <w:spacing w:val="-5"/>
                <w:sz w:val="24"/>
              </w:rPr>
              <w:t>552</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7" w:hRule="atLeast"/>
        </w:trPr>
        <w:tc>
          <w:tcPr>
            <w:tcW w:w="705"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24"/>
              <w:jc w:val="center"/>
              <w:rPr>
                <w:sz w:val="24"/>
              </w:rPr>
            </w:pPr>
            <w:r>
              <w:rPr>
                <w:spacing w:val="-10"/>
                <w:sz w:val="24"/>
              </w:rPr>
              <w:t>5</w:t>
            </w:r>
          </w:p>
        </w:tc>
        <w:tc>
          <w:tcPr>
            <w:tcW w:w="3855" w:type="dxa"/>
          </w:tcPr>
          <w:p>
            <w:pPr>
              <w:pStyle w:val="TableParagraph"/>
              <w:spacing w:line="235" w:lineRule="auto"/>
              <w:ind w:left="80" w:right="56"/>
              <w:jc w:val="both"/>
              <w:rPr>
                <w:sz w:val="24"/>
              </w:rPr>
            </w:pPr>
            <w:r>
              <w:rPr>
                <w:sz w:val="24"/>
              </w:rPr>
              <w:t>Cânula orofaríngea (Guedel), </w:t>
            </w:r>
            <w:r>
              <w:rPr>
                <w:sz w:val="24"/>
              </w:rPr>
              <w:t>em PVC, nº 3, estéril, atóxica, flexível, isenta de látex. Orifício central que garanta boa ventilação e borda de segurança. Descartável.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6"/>
              <w:rPr>
                <w:b/>
                <w:sz w:val="24"/>
              </w:rPr>
            </w:pPr>
          </w:p>
          <w:p>
            <w:pPr>
              <w:pStyle w:val="TableParagraph"/>
              <w:ind w:left="11" w:right="3"/>
              <w:jc w:val="center"/>
              <w:rPr>
                <w:sz w:val="24"/>
              </w:rPr>
            </w:pPr>
            <w:r>
              <w:rPr>
                <w:spacing w:val="-2"/>
                <w:sz w:val="24"/>
              </w:rPr>
              <w:t>12.000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5" w:hRule="atLeast"/>
        </w:trPr>
        <w:tc>
          <w:tcPr>
            <w:tcW w:w="705"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24"/>
              <w:jc w:val="center"/>
              <w:rPr>
                <w:sz w:val="24"/>
              </w:rPr>
            </w:pPr>
            <w:r>
              <w:rPr>
                <w:spacing w:val="-10"/>
                <w:sz w:val="24"/>
              </w:rPr>
              <w:t>6</w:t>
            </w:r>
          </w:p>
        </w:tc>
        <w:tc>
          <w:tcPr>
            <w:tcW w:w="3855" w:type="dxa"/>
          </w:tcPr>
          <w:p>
            <w:pPr>
              <w:pStyle w:val="TableParagraph"/>
              <w:spacing w:line="235" w:lineRule="auto"/>
              <w:ind w:left="80" w:right="56"/>
              <w:jc w:val="both"/>
              <w:rPr>
                <w:sz w:val="24"/>
              </w:rPr>
            </w:pPr>
            <w:r>
              <w:rPr>
                <w:sz w:val="24"/>
              </w:rPr>
              <w:t>Cânula orofaríngea (Guedel), </w:t>
            </w:r>
            <w:r>
              <w:rPr>
                <w:sz w:val="24"/>
              </w:rPr>
              <w:t>em PVC, nº 4, estéril, atóxica, flexível, isenta de látex. Orifício central que garanta boa ventilação e borda de segurança. Descartável.</w:t>
            </w:r>
          </w:p>
          <w:p>
            <w:pPr>
              <w:pStyle w:val="TableParagraph"/>
              <w:spacing w:line="510" w:lineRule="exact"/>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3"/>
              <w:rPr>
                <w:b/>
                <w:sz w:val="24"/>
              </w:rPr>
            </w:pPr>
          </w:p>
          <w:p>
            <w:pPr>
              <w:pStyle w:val="TableParagraph"/>
              <w:spacing w:before="1"/>
              <w:ind w:left="11" w:right="3"/>
              <w:jc w:val="center"/>
              <w:rPr>
                <w:sz w:val="24"/>
              </w:rPr>
            </w:pPr>
            <w:r>
              <w:rPr>
                <w:spacing w:val="-2"/>
                <w:sz w:val="24"/>
              </w:rPr>
              <w:t>24.000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Pr>
          <w:p>
            <w:pPr>
              <w:pStyle w:val="TableParagraph"/>
              <w:rPr>
                <w:sz w:val="24"/>
              </w:rPr>
            </w:pPr>
          </w:p>
        </w:tc>
      </w:tr>
      <w:tr>
        <w:trPr>
          <w:trHeight w:val="2363" w:hRule="atLeast"/>
        </w:trPr>
        <w:tc>
          <w:tcPr>
            <w:tcW w:w="705"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24"/>
              <w:jc w:val="center"/>
              <w:rPr>
                <w:sz w:val="24"/>
              </w:rPr>
            </w:pPr>
            <w:r>
              <w:rPr>
                <w:spacing w:val="-10"/>
                <w:sz w:val="24"/>
              </w:rPr>
              <w:t>7</w:t>
            </w:r>
          </w:p>
        </w:tc>
        <w:tc>
          <w:tcPr>
            <w:tcW w:w="3855" w:type="dxa"/>
          </w:tcPr>
          <w:p>
            <w:pPr>
              <w:pStyle w:val="TableParagraph"/>
              <w:spacing w:line="253" w:lineRule="exact"/>
              <w:ind w:left="80"/>
              <w:jc w:val="both"/>
              <w:rPr>
                <w:sz w:val="24"/>
              </w:rPr>
            </w:pPr>
            <w:r>
              <w:rPr>
                <w:sz w:val="24"/>
              </w:rPr>
              <w:t>Cânula</w:t>
            </w:r>
            <w:r>
              <w:rPr>
                <w:spacing w:val="58"/>
                <w:sz w:val="24"/>
              </w:rPr>
              <w:t>  </w:t>
            </w:r>
            <w:r>
              <w:rPr>
                <w:sz w:val="24"/>
              </w:rPr>
              <w:t>orofaríngea</w:t>
            </w:r>
            <w:r>
              <w:rPr>
                <w:spacing w:val="58"/>
                <w:sz w:val="24"/>
              </w:rPr>
              <w:t>  </w:t>
            </w:r>
            <w:r>
              <w:rPr>
                <w:sz w:val="24"/>
              </w:rPr>
              <w:t>(Guedel),</w:t>
            </w:r>
            <w:r>
              <w:rPr>
                <w:spacing w:val="58"/>
                <w:sz w:val="24"/>
              </w:rPr>
              <w:t>  </w:t>
            </w:r>
            <w:r>
              <w:rPr>
                <w:spacing w:val="-5"/>
                <w:sz w:val="24"/>
              </w:rPr>
              <w:t>em</w:t>
            </w:r>
          </w:p>
          <w:p>
            <w:pPr>
              <w:pStyle w:val="TableParagraph"/>
              <w:spacing w:line="235" w:lineRule="auto" w:before="1"/>
              <w:ind w:left="80" w:right="56"/>
              <w:jc w:val="both"/>
              <w:rPr>
                <w:sz w:val="24"/>
              </w:rPr>
            </w:pPr>
            <w:r>
              <w:rPr>
                <w:sz w:val="24"/>
              </w:rPr>
              <w:t>PVC, nº 5, estéril, atóxica, </w:t>
            </w:r>
            <w:r>
              <w:rPr>
                <w:sz w:val="24"/>
              </w:rPr>
              <w:t>flexível, isenta de látex. Orifício central que garanta boa ventilação e borda de segurança. Descartável.</w:t>
            </w:r>
          </w:p>
          <w:p>
            <w:pPr>
              <w:pStyle w:val="TableParagraph"/>
              <w:spacing w:line="510" w:lineRule="exact" w:before="10"/>
              <w:ind w:left="80" w:right="2231"/>
              <w:jc w:val="both"/>
              <w:rPr>
                <w:sz w:val="24"/>
              </w:rPr>
            </w:pPr>
            <w:r>
              <w:rPr>
                <w:sz w:val="24"/>
              </w:rPr>
              <w:t>Marca</w:t>
            </w:r>
            <w:r>
              <w:rPr>
                <w:spacing w:val="-15"/>
                <w:sz w:val="24"/>
              </w:rPr>
              <w:t> </w:t>
            </w:r>
            <w:r>
              <w:rPr>
                <w:sz w:val="24"/>
              </w:rPr>
              <w:t>ofertada: Registro nº:</w:t>
            </w:r>
          </w:p>
        </w:tc>
        <w:tc>
          <w:tcPr>
            <w:tcW w:w="75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2"/>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spacing w:before="201"/>
              <w:rPr>
                <w:b/>
                <w:sz w:val="24"/>
              </w:rPr>
            </w:pPr>
          </w:p>
          <w:p>
            <w:pPr>
              <w:pStyle w:val="TableParagraph"/>
              <w:ind w:left="11" w:right="3"/>
              <w:jc w:val="center"/>
              <w:rPr>
                <w:sz w:val="24"/>
              </w:rPr>
            </w:pPr>
            <w:r>
              <w:rPr>
                <w:spacing w:val="-2"/>
                <w:sz w:val="24"/>
              </w:rPr>
              <w:t>12.000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c>
          <w:tcPr>
            <w:tcW w:w="585" w:type="dxa"/>
            <w:tcBorders>
              <w:right w:val="nil"/>
            </w:tcBorders>
          </w:tcPr>
          <w:p>
            <w:pPr>
              <w:pStyle w:val="TableParagraph"/>
              <w:rPr>
                <w:sz w:val="24"/>
              </w:rPr>
            </w:pPr>
          </w:p>
        </w:tc>
      </w:tr>
      <w:tr>
        <w:trPr>
          <w:trHeight w:val="6626" w:hRule="atLeast"/>
        </w:trPr>
        <w:tc>
          <w:tcPr>
            <w:tcW w:w="4560" w:type="dxa"/>
            <w:gridSpan w:val="2"/>
            <w:tcBorders>
              <w:bottom w:val="single" w:sz="4" w:space="0" w:color="000000"/>
            </w:tcBorders>
          </w:tcPr>
          <w:p>
            <w:pPr>
              <w:pStyle w:val="TableParagraph"/>
              <w:spacing w:line="260" w:lineRule="exact"/>
              <w:ind w:left="33" w:right="2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849" w:val="left" w:leader="none"/>
              </w:tabs>
              <w:spacing w:line="235" w:lineRule="auto" w:before="1" w:after="0"/>
              <w:ind w:left="568" w:right="113" w:firstLine="0"/>
              <w:jc w:val="both"/>
              <w:rPr>
                <w:sz w:val="24"/>
              </w:rPr>
            </w:pPr>
            <w:r>
              <w:rPr>
                <w:sz w:val="24"/>
              </w:rPr>
              <w:t>ser preenchida integralmente </w:t>
            </w:r>
            <w:r>
              <w:rPr>
                <w:sz w:val="24"/>
              </w:rPr>
              <w:t>por processo mecânico ou eletrônico, sem emendas e rasuras;</w:t>
            </w:r>
          </w:p>
          <w:p>
            <w:pPr>
              <w:pStyle w:val="TableParagraph"/>
              <w:numPr>
                <w:ilvl w:val="0"/>
                <w:numId w:val="70"/>
              </w:numPr>
              <w:tabs>
                <w:tab w:pos="730" w:val="left" w:leader="none"/>
              </w:tabs>
              <w:spacing w:line="235" w:lineRule="auto" w:before="0" w:after="0"/>
              <w:ind w:left="568" w:right="113" w:firstLine="0"/>
              <w:jc w:val="both"/>
              <w:rPr>
                <w:sz w:val="24"/>
              </w:rPr>
            </w:pPr>
            <w:r>
              <w:rPr>
                <w:sz w:val="24"/>
              </w:rPr>
              <w:t>conter os preços em algarismos e </w:t>
            </w:r>
            <w:r>
              <w:rPr>
                <w:sz w:val="24"/>
              </w:rPr>
              <w:t>por extenso, por unidade, já incluídas as despesas de fretes, impostos federais,</w:t>
            </w:r>
            <w:r>
              <w:rPr>
                <w:spacing w:val="40"/>
                <w:sz w:val="24"/>
              </w:rPr>
              <w:t> </w:t>
            </w:r>
            <w:r>
              <w:rPr>
                <w:sz w:val="24"/>
              </w:rPr>
              <w:t>ou estaduais e descontos especiais;</w:t>
            </w:r>
          </w:p>
          <w:p>
            <w:pPr>
              <w:pStyle w:val="TableParagraph"/>
              <w:spacing w:line="235" w:lineRule="auto" w:before="237"/>
              <w:ind w:left="340" w:right="56"/>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13"/>
              <w:jc w:val="both"/>
              <w:rPr>
                <w:sz w:val="24"/>
              </w:rPr>
            </w:pPr>
            <w:r>
              <w:rPr>
                <w:sz w:val="24"/>
              </w:rPr>
              <w:t>- ser datada e assinada pelo gerente </w:t>
            </w:r>
            <w:r>
              <w:rPr>
                <w:sz w:val="24"/>
              </w:rPr>
              <w:t>ou seu procurador.</w:t>
            </w:r>
          </w:p>
          <w:p>
            <w:pPr>
              <w:pStyle w:val="TableParagraph"/>
              <w:spacing w:line="235" w:lineRule="auto"/>
              <w:ind w:left="398" w:right="113"/>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13"/>
              <w:jc w:val="both"/>
              <w:rPr>
                <w:sz w:val="24"/>
              </w:rPr>
            </w:pPr>
            <w:r>
              <w:rPr>
                <w:sz w:val="24"/>
              </w:rPr>
              <w:t>3ª</w:t>
            </w:r>
            <w:r>
              <w:rPr>
                <w:spacing w:val="-10"/>
                <w:sz w:val="24"/>
              </w:rPr>
              <w:t> </w:t>
            </w:r>
            <w:r>
              <w:rPr>
                <w:sz w:val="24"/>
              </w:rPr>
              <w:t>A</w:t>
            </w:r>
            <w:r>
              <w:rPr>
                <w:spacing w:val="-10"/>
                <w:sz w:val="24"/>
              </w:rPr>
              <w:t> </w:t>
            </w:r>
            <w:r>
              <w:rPr>
                <w:sz w:val="24"/>
              </w:rPr>
              <w:t>licitação poderá ser anulada no </w:t>
            </w:r>
            <w:r>
              <w:rPr>
                <w:sz w:val="24"/>
              </w:rPr>
              <w:t>todo, ou em parte, de conformidade com a legislação vigente.</w:t>
            </w:r>
          </w:p>
        </w:tc>
        <w:tc>
          <w:tcPr>
            <w:tcW w:w="6255" w:type="dxa"/>
            <w:gridSpan w:val="7"/>
            <w:tcBorders>
              <w:bottom w:val="single" w:sz="4"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39"/>
              <w:rPr>
                <w:b/>
                <w:sz w:val="24"/>
              </w:rPr>
            </w:pPr>
          </w:p>
          <w:p>
            <w:pPr>
              <w:pStyle w:val="TableParagraph"/>
              <w:spacing w:line="235" w:lineRule="auto"/>
              <w:ind w:left="138" w:right="1133"/>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8"/>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9"/>
              <w:rPr>
                <w:b/>
                <w:sz w:val="24"/>
              </w:rPr>
            </w:pPr>
          </w:p>
          <w:p>
            <w:pPr>
              <w:pStyle w:val="TableParagraph"/>
              <w:tabs>
                <w:tab w:pos="1131" w:val="left" w:leader="none"/>
                <w:tab w:pos="2158" w:val="left" w:leader="none"/>
              </w:tabs>
              <w:ind w:left="13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605"/>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819"/>
              <w:rPr>
                <w:sz w:val="24"/>
              </w:rPr>
            </w:pPr>
            <w:r>
              <w:rPr>
                <w:sz w:val="24"/>
              </w:rPr>
              <w:t>(assinatura do </w:t>
            </w:r>
            <w:r>
              <w:rPr>
                <w:spacing w:val="-2"/>
                <w:sz w:val="24"/>
              </w:rPr>
              <w:t>responsável)</w:t>
            </w:r>
          </w:p>
          <w:p>
            <w:pPr>
              <w:pStyle w:val="TableParagraph"/>
              <w:spacing w:before="243"/>
              <w:ind w:left="149" w:right="5368" w:hanging="11"/>
              <w:rPr>
                <w:b/>
                <w:sz w:val="24"/>
              </w:rPr>
            </w:pPr>
            <w:r>
              <w:rPr>
                <w:b/>
                <w:spacing w:val="-2"/>
                <w:sz w:val="24"/>
              </w:rPr>
              <w:t>Nome:</w:t>
            </w:r>
          </w:p>
          <w:p>
            <w:pPr>
              <w:pStyle w:val="TableParagraph"/>
              <w:spacing w:before="9"/>
              <w:ind w:left="149" w:right="5368"/>
              <w:rPr>
                <w:b/>
                <w:sz w:val="24"/>
              </w:rPr>
            </w:pPr>
            <w:r>
              <w:rPr>
                <w:b/>
                <w:spacing w:val="-2"/>
                <w:sz w:val="24"/>
              </w:rPr>
              <w:t>Cargo:</w:t>
            </w:r>
          </w:p>
        </w:tc>
      </w:tr>
    </w:tbl>
    <w:p>
      <w:pPr>
        <w:pStyle w:val="TableParagraph"/>
        <w:spacing w:after="0"/>
        <w:rPr>
          <w:b/>
          <w:sz w:val="24"/>
        </w:rPr>
        <w:sectPr>
          <w:pgSz w:w="15840" w:h="24480"/>
          <w:pgMar w:top="540" w:bottom="280" w:left="360" w:right="360"/>
        </w:sect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05"/>
        <w:gridCol w:w="3780"/>
        <w:gridCol w:w="705"/>
        <w:gridCol w:w="780"/>
        <w:gridCol w:w="1065"/>
        <w:gridCol w:w="990"/>
        <w:gridCol w:w="1065"/>
        <w:gridCol w:w="990"/>
      </w:tblGrid>
      <w:tr>
        <w:trPr>
          <w:trHeight w:val="1919" w:hRule="atLeast"/>
        </w:trPr>
        <w:tc>
          <w:tcPr>
            <w:tcW w:w="5085" w:type="dxa"/>
            <w:gridSpan w:val="2"/>
          </w:tcPr>
          <w:p>
            <w:pPr>
              <w:pStyle w:val="TableParagraph"/>
              <w:spacing w:line="312" w:lineRule="auto" w:before="31"/>
              <w:ind w:left="20"/>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20"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20" w:right="3"/>
              <w:jc w:val="center"/>
              <w:rPr>
                <w:b/>
                <w:sz w:val="24"/>
              </w:rPr>
            </w:pPr>
            <w:r>
              <w:rPr>
                <w:b/>
                <w:spacing w:val="-4"/>
                <w:sz w:val="24"/>
              </w:rPr>
              <w:t>PROPOSTA</w:t>
            </w:r>
            <w:r>
              <w:rPr>
                <w:b/>
                <w:sz w:val="24"/>
              </w:rPr>
              <w:t> </w:t>
            </w:r>
            <w:r>
              <w:rPr>
                <w:b/>
                <w:spacing w:val="-2"/>
                <w:sz w:val="24"/>
              </w:rPr>
              <w:t>DETALHE</w:t>
            </w:r>
          </w:p>
        </w:tc>
        <w:tc>
          <w:tcPr>
            <w:tcW w:w="5595" w:type="dxa"/>
            <w:gridSpan w:val="6"/>
          </w:tcPr>
          <w:p>
            <w:pPr>
              <w:pStyle w:val="TableParagraph"/>
              <w:spacing w:before="144"/>
              <w:rPr>
                <w:b/>
                <w:sz w:val="24"/>
              </w:rPr>
            </w:pPr>
          </w:p>
          <w:p>
            <w:pPr>
              <w:pStyle w:val="TableParagraph"/>
              <w:spacing w:before="1"/>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193/2026.</w:t>
            </w:r>
          </w:p>
          <w:p>
            <w:pPr>
              <w:pStyle w:val="TableParagraph"/>
              <w:spacing w:line="338" w:lineRule="auto" w:before="114"/>
              <w:ind w:left="200" w:right="47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29/06/2026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SEI-260007/000493/2026.</w:t>
            </w:r>
          </w:p>
        </w:tc>
      </w:tr>
      <w:tr>
        <w:trPr>
          <w:trHeight w:val="539" w:hRule="atLeast"/>
        </w:trPr>
        <w:tc>
          <w:tcPr>
            <w:tcW w:w="1305" w:type="dxa"/>
            <w:vMerge w:val="restart"/>
          </w:tcPr>
          <w:p>
            <w:pPr>
              <w:pStyle w:val="TableParagraph"/>
              <w:spacing w:before="129"/>
              <w:rPr>
                <w:b/>
                <w:sz w:val="24"/>
              </w:rPr>
            </w:pPr>
          </w:p>
          <w:p>
            <w:pPr>
              <w:pStyle w:val="TableParagraph"/>
              <w:spacing w:before="1"/>
              <w:ind w:left="402"/>
              <w:rPr>
                <w:b/>
                <w:sz w:val="24"/>
              </w:rPr>
            </w:pPr>
            <w:r>
              <w:rPr>
                <w:b/>
                <w:spacing w:val="-4"/>
                <w:sz w:val="24"/>
              </w:rPr>
              <w:t>IteM</w:t>
            </w:r>
          </w:p>
        </w:tc>
        <w:tc>
          <w:tcPr>
            <w:tcW w:w="3780" w:type="dxa"/>
            <w:vMerge w:val="restart"/>
          </w:tcPr>
          <w:p>
            <w:pPr>
              <w:pStyle w:val="TableParagraph"/>
              <w:spacing w:before="129"/>
              <w:rPr>
                <w:b/>
                <w:sz w:val="24"/>
              </w:rPr>
            </w:pPr>
          </w:p>
          <w:p>
            <w:pPr>
              <w:pStyle w:val="TableParagraph"/>
              <w:spacing w:before="1"/>
              <w:ind w:left="901"/>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780" w:type="dxa"/>
            <w:vMerge w:val="restart"/>
          </w:tcPr>
          <w:p>
            <w:pPr>
              <w:pStyle w:val="TableParagraph"/>
              <w:spacing w:before="129"/>
              <w:rPr>
                <w:b/>
                <w:sz w:val="24"/>
              </w:rPr>
            </w:pPr>
          </w:p>
          <w:p>
            <w:pPr>
              <w:pStyle w:val="TableParagraph"/>
              <w:spacing w:before="1"/>
              <w:ind w:left="194"/>
              <w:rPr>
                <w:b/>
                <w:sz w:val="24"/>
              </w:rPr>
            </w:pPr>
            <w:r>
              <w:rPr>
                <w:b/>
                <w:spacing w:val="-5"/>
                <w:sz w:val="24"/>
              </w:rPr>
              <w:t>Qtd</w:t>
            </w:r>
          </w:p>
        </w:tc>
        <w:tc>
          <w:tcPr>
            <w:tcW w:w="2055" w:type="dxa"/>
            <w:gridSpan w:val="2"/>
          </w:tcPr>
          <w:p>
            <w:pPr>
              <w:pStyle w:val="TableParagraph"/>
              <w:spacing w:line="259" w:lineRule="exact"/>
              <w:ind w:left="393"/>
              <w:rPr>
                <w:b/>
                <w:sz w:val="24"/>
              </w:rPr>
            </w:pPr>
            <w:r>
              <w:rPr>
                <w:b/>
                <w:sz w:val="24"/>
              </w:rPr>
              <w:t>preço</w:t>
            </w:r>
            <w:r>
              <w:rPr>
                <w:b/>
                <w:spacing w:val="-5"/>
                <w:sz w:val="24"/>
              </w:rPr>
              <w:t> COM</w:t>
            </w:r>
          </w:p>
          <w:p>
            <w:pPr>
              <w:pStyle w:val="TableParagraph"/>
              <w:spacing w:line="261" w:lineRule="exact"/>
              <w:ind w:left="453"/>
              <w:rPr>
                <w:b/>
                <w:sz w:val="24"/>
              </w:rPr>
            </w:pPr>
            <w:r>
              <w:rPr>
                <w:b/>
                <w:sz w:val="24"/>
              </w:rPr>
              <w:t>ICMS </w:t>
            </w:r>
            <w:r>
              <w:rPr>
                <w:b/>
                <w:spacing w:val="-4"/>
                <w:sz w:val="24"/>
              </w:rPr>
              <w:t>(R$)</w:t>
            </w:r>
          </w:p>
        </w:tc>
        <w:tc>
          <w:tcPr>
            <w:tcW w:w="2055" w:type="dxa"/>
            <w:gridSpan w:val="2"/>
          </w:tcPr>
          <w:p>
            <w:pPr>
              <w:pStyle w:val="TableParagraph"/>
              <w:spacing w:line="259" w:lineRule="exact"/>
              <w:ind w:left="427"/>
              <w:rPr>
                <w:b/>
                <w:sz w:val="24"/>
              </w:rPr>
            </w:pPr>
            <w:r>
              <w:rPr>
                <w:b/>
                <w:sz w:val="24"/>
              </w:rPr>
              <w:t>preço</w:t>
            </w:r>
            <w:r>
              <w:rPr>
                <w:b/>
                <w:spacing w:val="-5"/>
                <w:sz w:val="24"/>
              </w:rPr>
              <w:t> SEM</w:t>
            </w:r>
          </w:p>
          <w:p>
            <w:pPr>
              <w:pStyle w:val="TableParagraph"/>
              <w:spacing w:line="261" w:lineRule="exact"/>
              <w:ind w:left="454"/>
              <w:rPr>
                <w:b/>
                <w:sz w:val="24"/>
              </w:rPr>
            </w:pPr>
            <w:r>
              <w:rPr>
                <w:b/>
                <w:sz w:val="24"/>
              </w:rPr>
              <w:t>ICMS </w:t>
            </w:r>
            <w:r>
              <w:rPr>
                <w:b/>
                <w:spacing w:val="-4"/>
                <w:sz w:val="24"/>
              </w:rPr>
              <w:t>(R$)</w:t>
            </w:r>
          </w:p>
        </w:tc>
      </w:tr>
      <w:tr>
        <w:trPr>
          <w:trHeight w:val="539" w:hRule="atLeast"/>
        </w:trPr>
        <w:tc>
          <w:tcPr>
            <w:tcW w:w="1305" w:type="dxa"/>
            <w:vMerge/>
            <w:tcBorders>
              <w:top w:val="nil"/>
            </w:tcBorders>
          </w:tcPr>
          <w:p>
            <w:pPr>
              <w:rPr>
                <w:sz w:val="2"/>
                <w:szCs w:val="2"/>
              </w:rPr>
            </w:pPr>
          </w:p>
        </w:tc>
        <w:tc>
          <w:tcPr>
            <w:tcW w:w="3780" w:type="dxa"/>
            <w:vMerge/>
            <w:tcBorders>
              <w:top w:val="nil"/>
            </w:tcBorders>
          </w:tcPr>
          <w:p>
            <w:pPr>
              <w:rPr>
                <w:sz w:val="2"/>
                <w:szCs w:val="2"/>
              </w:rPr>
            </w:pPr>
          </w:p>
        </w:tc>
        <w:tc>
          <w:tcPr>
            <w:tcW w:w="705" w:type="dxa"/>
            <w:vMerge/>
            <w:tcBorders>
              <w:top w:val="nil"/>
            </w:tcBorders>
          </w:tcPr>
          <w:p>
            <w:pPr>
              <w:rPr>
                <w:sz w:val="2"/>
                <w:szCs w:val="2"/>
              </w:rPr>
            </w:pPr>
          </w:p>
        </w:tc>
        <w:tc>
          <w:tcPr>
            <w:tcW w:w="780" w:type="dxa"/>
            <w:vMerge/>
            <w:tcBorders>
              <w:top w:val="nil"/>
            </w:tcBorders>
          </w:tcPr>
          <w:p>
            <w:pPr>
              <w:rPr>
                <w:sz w:val="2"/>
                <w:szCs w:val="2"/>
              </w:rPr>
            </w:pPr>
          </w:p>
        </w:tc>
        <w:tc>
          <w:tcPr>
            <w:tcW w:w="1065"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3"/>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c>
          <w:tcPr>
            <w:tcW w:w="1065" w:type="dxa"/>
          </w:tcPr>
          <w:p>
            <w:pPr>
              <w:pStyle w:val="TableParagraph"/>
              <w:spacing w:line="259" w:lineRule="exact"/>
              <w:ind w:left="24" w:right="7"/>
              <w:jc w:val="center"/>
              <w:rPr>
                <w:b/>
                <w:sz w:val="24"/>
              </w:rPr>
            </w:pPr>
            <w:r>
              <w:rPr>
                <w:b/>
                <w:spacing w:val="-4"/>
                <w:sz w:val="24"/>
              </w:rPr>
              <w:t>preço</w:t>
            </w:r>
          </w:p>
          <w:p>
            <w:pPr>
              <w:pStyle w:val="TableParagraph"/>
              <w:spacing w:line="261" w:lineRule="exact"/>
              <w:ind w:left="24" w:right="21"/>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r>
      <w:tr>
        <w:trPr>
          <w:trHeight w:val="2879" w:hRule="atLeast"/>
        </w:trPr>
        <w:tc>
          <w:tcPr>
            <w:tcW w:w="13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
              <w:jc w:val="center"/>
              <w:rPr>
                <w:sz w:val="24"/>
              </w:rPr>
            </w:pPr>
            <w:r>
              <w:rPr>
                <w:spacing w:val="-10"/>
                <w:sz w:val="24"/>
              </w:rPr>
              <w:t>8</w:t>
            </w:r>
          </w:p>
        </w:tc>
        <w:tc>
          <w:tcPr>
            <w:tcW w:w="3780" w:type="dxa"/>
          </w:tcPr>
          <w:p>
            <w:pPr>
              <w:pStyle w:val="TableParagraph"/>
              <w:spacing w:line="235" w:lineRule="auto"/>
              <w:ind w:left="71" w:right="57"/>
              <w:jc w:val="both"/>
              <w:rPr>
                <w:sz w:val="24"/>
              </w:rPr>
            </w:pPr>
            <w:r>
              <w:rPr>
                <w:sz w:val="24"/>
              </w:rPr>
              <w:t>Cânula orofaríngea (Guedel), </w:t>
            </w:r>
            <w:r>
              <w:rPr>
                <w:sz w:val="24"/>
              </w:rPr>
              <w:t>em PVC, nº 6, estéril, atóxica, flexível, isenta de látex. Orifício central que garanta boa ventilação e borda de segurança. Descartável.</w:t>
            </w:r>
          </w:p>
          <w:p>
            <w:pPr>
              <w:pStyle w:val="TableParagraph"/>
              <w:spacing w:before="211"/>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0"/>
              <w:jc w:val="center"/>
              <w:rPr>
                <w:sz w:val="24"/>
              </w:rPr>
            </w:pPr>
            <w:r>
              <w:rPr>
                <w:spacing w:val="-2"/>
                <w:sz w:val="24"/>
              </w:rPr>
              <w:t>2.760</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10"/>
                <w:sz w:val="24"/>
              </w:rPr>
              <w:t>9</w:t>
            </w:r>
          </w:p>
        </w:tc>
        <w:tc>
          <w:tcPr>
            <w:tcW w:w="3780" w:type="dxa"/>
          </w:tcPr>
          <w:p>
            <w:pPr>
              <w:pStyle w:val="TableParagraph"/>
              <w:spacing w:line="235" w:lineRule="auto"/>
              <w:ind w:left="71" w:right="57"/>
              <w:jc w:val="both"/>
              <w:rPr>
                <w:sz w:val="24"/>
              </w:rPr>
            </w:pPr>
            <w:r>
              <w:rPr>
                <w:sz w:val="24"/>
              </w:rPr>
              <w:t>Máscara laríngea em PVC, nº </w:t>
            </w:r>
            <w:r>
              <w:rPr>
                <w:sz w:val="24"/>
              </w:rPr>
              <w:t>1,0,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77</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10</w:t>
            </w:r>
          </w:p>
        </w:tc>
        <w:tc>
          <w:tcPr>
            <w:tcW w:w="3780" w:type="dxa"/>
          </w:tcPr>
          <w:p>
            <w:pPr>
              <w:pStyle w:val="TableParagraph"/>
              <w:spacing w:line="235" w:lineRule="auto"/>
              <w:ind w:left="71" w:right="57"/>
              <w:jc w:val="both"/>
              <w:rPr>
                <w:sz w:val="24"/>
              </w:rPr>
            </w:pPr>
            <w:r>
              <w:rPr>
                <w:sz w:val="24"/>
              </w:rPr>
              <w:t>Máscara laríngea em PVC, nº </w:t>
            </w:r>
            <w:r>
              <w:rPr>
                <w:sz w:val="24"/>
              </w:rPr>
              <w:t>1,5,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106</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11</w:t>
            </w:r>
          </w:p>
        </w:tc>
        <w:tc>
          <w:tcPr>
            <w:tcW w:w="3780" w:type="dxa"/>
          </w:tcPr>
          <w:p>
            <w:pPr>
              <w:pStyle w:val="TableParagraph"/>
              <w:spacing w:line="235" w:lineRule="auto"/>
              <w:ind w:left="71" w:right="57"/>
              <w:jc w:val="both"/>
              <w:rPr>
                <w:sz w:val="24"/>
              </w:rPr>
            </w:pPr>
            <w:r>
              <w:rPr>
                <w:sz w:val="24"/>
              </w:rPr>
              <w:t>Máscara laríngea em PVC, nº </w:t>
            </w:r>
            <w:r>
              <w:rPr>
                <w:sz w:val="24"/>
              </w:rPr>
              <w:t>2,0,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158</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12</w:t>
            </w:r>
          </w:p>
        </w:tc>
        <w:tc>
          <w:tcPr>
            <w:tcW w:w="3780" w:type="dxa"/>
          </w:tcPr>
          <w:p>
            <w:pPr>
              <w:pStyle w:val="TableParagraph"/>
              <w:spacing w:line="235" w:lineRule="auto"/>
              <w:ind w:left="71" w:right="57"/>
              <w:jc w:val="both"/>
              <w:rPr>
                <w:sz w:val="24"/>
              </w:rPr>
            </w:pPr>
            <w:r>
              <w:rPr>
                <w:sz w:val="24"/>
              </w:rPr>
              <w:t>Máscara laríngea em PVC, nº </w:t>
            </w:r>
            <w:r>
              <w:rPr>
                <w:sz w:val="24"/>
              </w:rPr>
              <w:t>2,5,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156</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13</w:t>
            </w:r>
          </w:p>
        </w:tc>
        <w:tc>
          <w:tcPr>
            <w:tcW w:w="3780" w:type="dxa"/>
          </w:tcPr>
          <w:p>
            <w:pPr>
              <w:pStyle w:val="TableParagraph"/>
              <w:spacing w:line="235" w:lineRule="auto"/>
              <w:ind w:left="71" w:right="57"/>
              <w:jc w:val="both"/>
              <w:rPr>
                <w:sz w:val="24"/>
              </w:rPr>
            </w:pPr>
            <w:r>
              <w:rPr>
                <w:sz w:val="24"/>
              </w:rPr>
              <w:t>Máscara laríngea em PVC, nº </w:t>
            </w:r>
            <w:r>
              <w:rPr>
                <w:sz w:val="24"/>
              </w:rPr>
              <w:t>3,0,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108</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14</w:t>
            </w:r>
          </w:p>
        </w:tc>
        <w:tc>
          <w:tcPr>
            <w:tcW w:w="3780" w:type="dxa"/>
          </w:tcPr>
          <w:p>
            <w:pPr>
              <w:pStyle w:val="TableParagraph"/>
              <w:spacing w:line="235" w:lineRule="auto"/>
              <w:ind w:left="71" w:right="57"/>
              <w:jc w:val="both"/>
              <w:rPr>
                <w:sz w:val="24"/>
              </w:rPr>
            </w:pPr>
            <w:r>
              <w:rPr>
                <w:sz w:val="24"/>
              </w:rPr>
              <w:t>Máscara laríngea em PVC, nº </w:t>
            </w:r>
            <w:r>
              <w:rPr>
                <w:sz w:val="24"/>
              </w:rPr>
              <w:t>4,0,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139</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339" w:hRule="atLeast"/>
        </w:trPr>
        <w:tc>
          <w:tcPr>
            <w:tcW w:w="13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2"/>
              <w:jc w:val="center"/>
              <w:rPr>
                <w:sz w:val="24"/>
              </w:rPr>
            </w:pPr>
            <w:r>
              <w:rPr>
                <w:spacing w:val="-5"/>
                <w:sz w:val="24"/>
              </w:rPr>
              <w:t>15</w:t>
            </w:r>
          </w:p>
        </w:tc>
        <w:tc>
          <w:tcPr>
            <w:tcW w:w="3780" w:type="dxa"/>
          </w:tcPr>
          <w:p>
            <w:pPr>
              <w:pStyle w:val="TableParagraph"/>
              <w:spacing w:line="235" w:lineRule="auto"/>
              <w:ind w:left="71" w:right="57"/>
              <w:jc w:val="both"/>
              <w:rPr>
                <w:sz w:val="24"/>
              </w:rPr>
            </w:pPr>
            <w:r>
              <w:rPr>
                <w:sz w:val="24"/>
              </w:rPr>
              <w:t>Máscara laríngea em PVC, nº </w:t>
            </w:r>
            <w:r>
              <w:rPr>
                <w:sz w:val="24"/>
              </w:rPr>
              <w:t>5,0, atóxica, com marcação linear, isenta do de látex, estéril, descartável.</w:t>
            </w:r>
          </w:p>
          <w:p>
            <w:pPr>
              <w:pStyle w:val="TableParagraph"/>
              <w:spacing w:before="212"/>
              <w:rPr>
                <w:b/>
                <w:sz w:val="24"/>
              </w:rPr>
            </w:pPr>
          </w:p>
          <w:p>
            <w:pPr>
              <w:pStyle w:val="TableParagraph"/>
              <w:spacing w:line="510" w:lineRule="atLeast"/>
              <w:ind w:left="71" w:right="216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0"/>
              <w:jc w:val="center"/>
              <w:rPr>
                <w:sz w:val="24"/>
              </w:rPr>
            </w:pPr>
            <w:r>
              <w:rPr>
                <w:spacing w:val="-5"/>
                <w:sz w:val="24"/>
              </w:rPr>
              <w:t>127</w:t>
            </w:r>
          </w:p>
        </w:tc>
        <w:tc>
          <w:tcPr>
            <w:tcW w:w="1065"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type w:val="continuous"/>
          <w:pgSz w:w="15840" w:h="24480"/>
          <w:pgMar w:top="142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600"/>
        <w:gridCol w:w="3784"/>
        <w:gridCol w:w="702"/>
        <w:gridCol w:w="781"/>
        <w:gridCol w:w="1066"/>
        <w:gridCol w:w="991"/>
        <w:gridCol w:w="1066"/>
        <w:gridCol w:w="991"/>
      </w:tblGrid>
      <w:tr>
        <w:trPr>
          <w:trHeight w:val="959" w:hRule="atLeast"/>
        </w:trPr>
        <w:tc>
          <w:tcPr>
            <w:tcW w:w="705" w:type="dxa"/>
            <w:vMerge w:val="restart"/>
          </w:tcPr>
          <w:p>
            <w:pPr>
              <w:pStyle w:val="TableParagraph"/>
              <w:rPr>
                <w:sz w:val="22"/>
              </w:rPr>
            </w:pPr>
          </w:p>
        </w:tc>
        <w:tc>
          <w:tcPr>
            <w:tcW w:w="4384" w:type="dxa"/>
            <w:gridSpan w:val="2"/>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4"/>
              <w:rPr>
                <w:sz w:val="24"/>
              </w:rPr>
            </w:pPr>
            <w:r>
              <w:rPr>
                <w:spacing w:val="-2"/>
                <w:sz w:val="24"/>
              </w:rPr>
              <w:t>Data:</w:t>
            </w:r>
          </w:p>
        </w:tc>
        <w:tc>
          <w:tcPr>
            <w:tcW w:w="5597" w:type="dxa"/>
            <w:gridSpan w:val="6"/>
          </w:tcPr>
          <w:p>
            <w:pPr>
              <w:pStyle w:val="TableParagraph"/>
              <w:rPr>
                <w:sz w:val="22"/>
              </w:rPr>
            </w:pPr>
          </w:p>
        </w:tc>
      </w:tr>
      <w:tr>
        <w:trPr>
          <w:trHeight w:val="959" w:hRule="atLeast"/>
        </w:trPr>
        <w:tc>
          <w:tcPr>
            <w:tcW w:w="705" w:type="dxa"/>
            <w:vMerge/>
            <w:tcBorders>
              <w:top w:val="nil"/>
            </w:tcBorders>
          </w:tcPr>
          <w:p>
            <w:pPr>
              <w:rPr>
                <w:sz w:val="2"/>
                <w:szCs w:val="2"/>
              </w:rPr>
            </w:pPr>
          </w:p>
        </w:tc>
        <w:tc>
          <w:tcPr>
            <w:tcW w:w="4384" w:type="dxa"/>
            <w:gridSpan w:val="2"/>
            <w:vMerge/>
            <w:tcBorders>
              <w:top w:val="nil"/>
            </w:tcBorders>
          </w:tcPr>
          <w:p>
            <w:pPr>
              <w:rPr>
                <w:sz w:val="2"/>
                <w:szCs w:val="2"/>
              </w:rPr>
            </w:pPr>
          </w:p>
        </w:tc>
        <w:tc>
          <w:tcPr>
            <w:tcW w:w="5597" w:type="dxa"/>
            <w:gridSpan w:val="6"/>
          </w:tcPr>
          <w:p>
            <w:pPr>
              <w:pStyle w:val="TableParagraph"/>
              <w:spacing w:before="31"/>
              <w:ind w:left="1455"/>
              <w:rPr>
                <w:sz w:val="24"/>
              </w:rPr>
            </w:pPr>
            <w:r>
              <w:rPr>
                <w:sz w:val="24"/>
              </w:rPr>
              <w:t>(Assinatura do </w:t>
            </w:r>
            <w:r>
              <w:rPr>
                <w:spacing w:val="-2"/>
                <w:sz w:val="24"/>
              </w:rPr>
              <w:t>responsável)</w:t>
            </w:r>
          </w:p>
        </w:tc>
      </w:tr>
      <w:tr>
        <w:trPr>
          <w:trHeight w:val="359" w:hRule="atLeast"/>
        </w:trPr>
        <w:tc>
          <w:tcPr>
            <w:tcW w:w="705" w:type="dxa"/>
          </w:tcPr>
          <w:p>
            <w:pPr>
              <w:pStyle w:val="TableParagraph"/>
              <w:rPr>
                <w:sz w:val="22"/>
              </w:rPr>
            </w:pPr>
          </w:p>
        </w:tc>
        <w:tc>
          <w:tcPr>
            <w:tcW w:w="600" w:type="dxa"/>
          </w:tcPr>
          <w:p>
            <w:pPr>
              <w:pStyle w:val="TableParagraph"/>
              <w:rPr>
                <w:sz w:val="22"/>
              </w:rPr>
            </w:pPr>
          </w:p>
        </w:tc>
        <w:tc>
          <w:tcPr>
            <w:tcW w:w="3784" w:type="dxa"/>
          </w:tcPr>
          <w:p>
            <w:pPr>
              <w:pStyle w:val="TableParagraph"/>
              <w:rPr>
                <w:sz w:val="22"/>
              </w:rPr>
            </w:pPr>
          </w:p>
        </w:tc>
        <w:tc>
          <w:tcPr>
            <w:tcW w:w="702" w:type="dxa"/>
          </w:tcPr>
          <w:p>
            <w:pPr>
              <w:pStyle w:val="TableParagraph"/>
              <w:rPr>
                <w:sz w:val="22"/>
              </w:rPr>
            </w:pPr>
          </w:p>
        </w:tc>
        <w:tc>
          <w:tcPr>
            <w:tcW w:w="781" w:type="dxa"/>
          </w:tcPr>
          <w:p>
            <w:pPr>
              <w:pStyle w:val="TableParagraph"/>
              <w:rPr>
                <w:sz w:val="22"/>
              </w:rPr>
            </w:pPr>
          </w:p>
        </w:tc>
        <w:tc>
          <w:tcPr>
            <w:tcW w:w="1066" w:type="dxa"/>
          </w:tcPr>
          <w:p>
            <w:pPr>
              <w:pStyle w:val="TableParagraph"/>
              <w:rPr>
                <w:sz w:val="22"/>
              </w:rPr>
            </w:pPr>
          </w:p>
        </w:tc>
        <w:tc>
          <w:tcPr>
            <w:tcW w:w="991" w:type="dxa"/>
          </w:tcPr>
          <w:p>
            <w:pPr>
              <w:pStyle w:val="TableParagraph"/>
              <w:rPr>
                <w:sz w:val="22"/>
              </w:rPr>
            </w:pPr>
          </w:p>
        </w:tc>
        <w:tc>
          <w:tcPr>
            <w:tcW w:w="1066" w:type="dxa"/>
          </w:tcPr>
          <w:p>
            <w:pPr>
              <w:pStyle w:val="TableParagraph"/>
              <w:rPr>
                <w:sz w:val="22"/>
              </w:rPr>
            </w:pPr>
          </w:p>
        </w:tc>
        <w:tc>
          <w:tcPr>
            <w:tcW w:w="991" w:type="dxa"/>
          </w:tcPr>
          <w:p>
            <w:pPr>
              <w:pStyle w:val="TableParagraph"/>
              <w:rPr>
                <w:sz w:val="22"/>
              </w:rPr>
            </w:pPr>
          </w:p>
        </w:tc>
      </w:tr>
    </w:tbl>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0"/>
        <w:ind w:left="0"/>
        <w:rPr>
          <w:b/>
          <w:sz w:val="22"/>
        </w:rPr>
      </w:pPr>
    </w:p>
    <w:p>
      <w:pPr>
        <w:pStyle w:val="BodyText"/>
        <w:spacing w:before="171"/>
        <w:ind w:left="0"/>
        <w:rPr>
          <w:b/>
          <w:sz w:val="22"/>
        </w:rPr>
      </w:pPr>
    </w:p>
    <w:p>
      <w:pPr>
        <w:spacing w:before="1"/>
        <w:ind w:left="14" w:right="0" w:firstLine="0"/>
        <w:jc w:val="center"/>
        <w:rPr>
          <w:sz w:val="22"/>
        </w:rPr>
      </w:pPr>
      <w:r>
        <w:rPr>
          <w:sz w:val="22"/>
        </w:rPr>
        <w:t>ANEXO</w:t>
      </w:r>
      <w:r>
        <w:rPr>
          <w:spacing w:val="-8"/>
          <w:sz w:val="22"/>
        </w:rPr>
        <w:t> </w:t>
      </w:r>
      <w:r>
        <w:rPr>
          <w:sz w:val="22"/>
        </w:rPr>
        <w:t>VI</w:t>
      </w:r>
      <w:r>
        <w:rPr>
          <w:spacing w:val="-3"/>
          <w:sz w:val="22"/>
        </w:rPr>
        <w:t> </w:t>
      </w:r>
      <w:r>
        <w:rPr>
          <w:sz w:val="22"/>
        </w:rPr>
        <w:t>-</w:t>
      </w:r>
      <w:r>
        <w:rPr>
          <w:spacing w:val="-4"/>
          <w:sz w:val="22"/>
        </w:rPr>
        <w:t> </w:t>
      </w:r>
      <w:r>
        <w:rPr>
          <w:sz w:val="22"/>
        </w:rPr>
        <w:t>DECLARAÇÃO</w:t>
      </w:r>
      <w:r>
        <w:rPr>
          <w:spacing w:val="-3"/>
          <w:sz w:val="22"/>
        </w:rPr>
        <w:t> </w:t>
      </w:r>
      <w:r>
        <w:rPr>
          <w:sz w:val="22"/>
        </w:rPr>
        <w:t>DE</w:t>
      </w:r>
      <w:r>
        <w:rPr>
          <w:spacing w:val="-3"/>
          <w:sz w:val="22"/>
        </w:rPr>
        <w:t> </w:t>
      </w:r>
      <w:r>
        <w:rPr>
          <w:sz w:val="22"/>
        </w:rPr>
        <w:t>REPRESENTANTE</w:t>
      </w:r>
      <w:r>
        <w:rPr>
          <w:spacing w:val="-3"/>
          <w:sz w:val="22"/>
        </w:rPr>
        <w:t> </w:t>
      </w:r>
      <w:r>
        <w:rPr>
          <w:sz w:val="22"/>
        </w:rPr>
        <w:t>LEGAL</w:t>
      </w:r>
      <w:r>
        <w:rPr>
          <w:spacing w:val="-10"/>
          <w:sz w:val="22"/>
        </w:rPr>
        <w:t> </w:t>
      </w:r>
      <w:r>
        <w:rPr>
          <w:sz w:val="22"/>
        </w:rPr>
        <w:t>E</w:t>
      </w:r>
      <w:r>
        <w:rPr>
          <w:spacing w:val="-3"/>
          <w:sz w:val="22"/>
        </w:rPr>
        <w:t> </w:t>
      </w:r>
      <w:r>
        <w:rPr>
          <w:sz w:val="22"/>
        </w:rPr>
        <w:t>DADOS</w:t>
      </w:r>
      <w:r>
        <w:rPr>
          <w:spacing w:val="-3"/>
          <w:sz w:val="22"/>
        </w:rPr>
        <w:t> </w:t>
      </w:r>
      <w:r>
        <w:rPr>
          <w:spacing w:val="-2"/>
          <w:sz w:val="22"/>
        </w:rPr>
        <w:t>BANCÁRIOS</w:t>
      </w:r>
    </w:p>
    <w:p>
      <w:pPr>
        <w:spacing w:before="2"/>
        <w:ind w:left="14"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18"/>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193/2026:</w:t>
      </w:r>
    </w:p>
    <w:p>
      <w:pPr>
        <w:pStyle w:val="BodyText"/>
        <w:spacing w:before="232"/>
        <w:ind w:left="0"/>
        <w:rPr>
          <w:b/>
        </w:rPr>
      </w:pPr>
    </w:p>
    <w:p>
      <w:pPr>
        <w:pStyle w:val="BodyText"/>
        <w:spacing w:line="235" w:lineRule="auto" w:before="1"/>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169"/>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269021</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1.182774pt;width:720.75pt;height:2.25pt;mso-position-horizontal-relative:page;mso-position-vertical-relative:paragraph;z-index:-15720960;mso-wrap-distance-left:0;mso-wrap-distance-right:0" id="docshape23" coordorigin="720,424" coordsize="14415,45" path="m15135,454l720,454,720,469,15135,469,15135,454xm15135,424l720,424,720,439,15135,439,15135,42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260007/000493/2026</w:t>
      </w:r>
      <w:r>
        <w:rPr>
          <w:rFonts w:ascii="Calibri" w:hAnsi="Calibri"/>
          <w:sz w:val="18"/>
        </w:rPr>
        <w:tab/>
        <w:t>SEI nº </w:t>
      </w:r>
      <w:r>
        <w:rPr>
          <w:rFonts w:ascii="Calibri" w:hAnsi="Calibri"/>
          <w:spacing w:val="-2"/>
          <w:sz w:val="18"/>
        </w:rPr>
        <w:t>134175388</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68" w:hanging="28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58" w:hanging="283"/>
      </w:pPr>
      <w:rPr>
        <w:rFonts w:hint="default"/>
        <w:lang w:val="pt-PT" w:eastAsia="en-US" w:bidi="ar-SA"/>
      </w:rPr>
    </w:lvl>
    <w:lvl w:ilvl="2">
      <w:start w:val="0"/>
      <w:numFmt w:val="bullet"/>
      <w:lvlText w:val="•"/>
      <w:lvlJc w:val="left"/>
      <w:pPr>
        <w:ind w:left="1357" w:hanging="283"/>
      </w:pPr>
      <w:rPr>
        <w:rFonts w:hint="default"/>
        <w:lang w:val="pt-PT" w:eastAsia="en-US" w:bidi="ar-SA"/>
      </w:rPr>
    </w:lvl>
    <w:lvl w:ilvl="3">
      <w:start w:val="0"/>
      <w:numFmt w:val="bullet"/>
      <w:lvlText w:val="•"/>
      <w:lvlJc w:val="left"/>
      <w:pPr>
        <w:ind w:left="1755" w:hanging="283"/>
      </w:pPr>
      <w:rPr>
        <w:rFonts w:hint="default"/>
        <w:lang w:val="pt-PT" w:eastAsia="en-US" w:bidi="ar-SA"/>
      </w:rPr>
    </w:lvl>
    <w:lvl w:ilvl="4">
      <w:start w:val="0"/>
      <w:numFmt w:val="bullet"/>
      <w:lvlText w:val="•"/>
      <w:lvlJc w:val="left"/>
      <w:pPr>
        <w:ind w:left="2154" w:hanging="283"/>
      </w:pPr>
      <w:rPr>
        <w:rFonts w:hint="default"/>
        <w:lang w:val="pt-PT" w:eastAsia="en-US" w:bidi="ar-SA"/>
      </w:rPr>
    </w:lvl>
    <w:lvl w:ilvl="5">
      <w:start w:val="0"/>
      <w:numFmt w:val="bullet"/>
      <w:lvlText w:val="•"/>
      <w:lvlJc w:val="left"/>
      <w:pPr>
        <w:ind w:left="2552" w:hanging="283"/>
      </w:pPr>
      <w:rPr>
        <w:rFonts w:hint="default"/>
        <w:lang w:val="pt-PT" w:eastAsia="en-US" w:bidi="ar-SA"/>
      </w:rPr>
    </w:lvl>
    <w:lvl w:ilvl="6">
      <w:start w:val="0"/>
      <w:numFmt w:val="bullet"/>
      <w:lvlText w:val="•"/>
      <w:lvlJc w:val="left"/>
      <w:pPr>
        <w:ind w:left="2951" w:hanging="283"/>
      </w:pPr>
      <w:rPr>
        <w:rFonts w:hint="default"/>
        <w:lang w:val="pt-PT" w:eastAsia="en-US" w:bidi="ar-SA"/>
      </w:rPr>
    </w:lvl>
    <w:lvl w:ilvl="7">
      <w:start w:val="0"/>
      <w:numFmt w:val="bullet"/>
      <w:lvlText w:val="•"/>
      <w:lvlJc w:val="left"/>
      <w:pPr>
        <w:ind w:left="3349" w:hanging="283"/>
      </w:pPr>
      <w:rPr>
        <w:rFonts w:hint="default"/>
        <w:lang w:val="pt-PT" w:eastAsia="en-US" w:bidi="ar-SA"/>
      </w:rPr>
    </w:lvl>
    <w:lvl w:ilvl="8">
      <w:start w:val="0"/>
      <w:numFmt w:val="bullet"/>
      <w:lvlText w:val="•"/>
      <w:lvlJc w:val="left"/>
      <w:pPr>
        <w:ind w:left="3748" w:hanging="283"/>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1779" w:hanging="1330"/>
        <w:jc w:val="left"/>
      </w:pPr>
      <w:rPr>
        <w:rFonts w:hint="default"/>
        <w:lang w:val="pt-PT" w:eastAsia="en-US" w:bidi="ar-SA"/>
      </w:rPr>
    </w:lvl>
    <w:lvl w:ilvl="1">
      <w:start w:val="1"/>
      <w:numFmt w:val="decimal"/>
      <w:lvlText w:val="%1.%2"/>
      <w:lvlJc w:val="left"/>
      <w:pPr>
        <w:ind w:left="1779" w:hanging="13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44" w:hanging="840"/>
      </w:pPr>
      <w:rPr>
        <w:rFonts w:hint="default"/>
        <w:lang w:val="pt-PT" w:eastAsia="en-US" w:bidi="ar-SA"/>
      </w:rPr>
    </w:lvl>
    <w:lvl w:ilvl="4">
      <w:start w:val="0"/>
      <w:numFmt w:val="bullet"/>
      <w:lvlText w:val="•"/>
      <w:lvlJc w:val="left"/>
      <w:pPr>
        <w:ind w:left="6226" w:hanging="840"/>
      </w:pPr>
      <w:rPr>
        <w:rFonts w:hint="default"/>
        <w:lang w:val="pt-PT" w:eastAsia="en-US" w:bidi="ar-SA"/>
      </w:rPr>
    </w:lvl>
    <w:lvl w:ilvl="5">
      <w:start w:val="0"/>
      <w:numFmt w:val="bullet"/>
      <w:lvlText w:val="•"/>
      <w:lvlJc w:val="left"/>
      <w:pPr>
        <w:ind w:left="7708" w:hanging="840"/>
      </w:pPr>
      <w:rPr>
        <w:rFonts w:hint="default"/>
        <w:lang w:val="pt-PT" w:eastAsia="en-US" w:bidi="ar-SA"/>
      </w:rPr>
    </w:lvl>
    <w:lvl w:ilvl="6">
      <w:start w:val="0"/>
      <w:numFmt w:val="bullet"/>
      <w:lvlText w:val="•"/>
      <w:lvlJc w:val="left"/>
      <w:pPr>
        <w:ind w:left="9191" w:hanging="840"/>
      </w:pPr>
      <w:rPr>
        <w:rFonts w:hint="default"/>
        <w:lang w:val="pt-PT" w:eastAsia="en-US" w:bidi="ar-SA"/>
      </w:rPr>
    </w:lvl>
    <w:lvl w:ilvl="7">
      <w:start w:val="0"/>
      <w:numFmt w:val="bullet"/>
      <w:lvlText w:val="•"/>
      <w:lvlJc w:val="left"/>
      <w:pPr>
        <w:ind w:left="10673" w:hanging="840"/>
      </w:pPr>
      <w:rPr>
        <w:rFonts w:hint="default"/>
        <w:lang w:val="pt-PT" w:eastAsia="en-US" w:bidi="ar-SA"/>
      </w:rPr>
    </w:lvl>
    <w:lvl w:ilvl="8">
      <w:start w:val="0"/>
      <w:numFmt w:val="bullet"/>
      <w:lvlText w:val="•"/>
      <w:lvlJc w:val="left"/>
      <w:pPr>
        <w:ind w:left="12155"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13"/>
      </w:pPr>
      <w:rPr>
        <w:rFonts w:hint="default"/>
        <w:lang w:val="pt-PT" w:eastAsia="en-US" w:bidi="ar-SA"/>
      </w:rPr>
    </w:lvl>
    <w:lvl w:ilvl="3">
      <w:start w:val="0"/>
      <w:numFmt w:val="bullet"/>
      <w:lvlText w:val="•"/>
      <w:lvlJc w:val="left"/>
      <w:pPr>
        <w:ind w:left="3935" w:hanging="713"/>
      </w:pPr>
      <w:rPr>
        <w:rFonts w:hint="default"/>
        <w:lang w:val="pt-PT" w:eastAsia="en-US" w:bidi="ar-SA"/>
      </w:rPr>
    </w:lvl>
    <w:lvl w:ilvl="4">
      <w:start w:val="0"/>
      <w:numFmt w:val="bullet"/>
      <w:lvlText w:val="•"/>
      <w:lvlJc w:val="left"/>
      <w:pPr>
        <w:ind w:left="5533" w:hanging="713"/>
      </w:pPr>
      <w:rPr>
        <w:rFonts w:hint="default"/>
        <w:lang w:val="pt-PT" w:eastAsia="en-US" w:bidi="ar-SA"/>
      </w:rPr>
    </w:lvl>
    <w:lvl w:ilvl="5">
      <w:start w:val="0"/>
      <w:numFmt w:val="bullet"/>
      <w:lvlText w:val="•"/>
      <w:lvlJc w:val="left"/>
      <w:pPr>
        <w:ind w:left="7131" w:hanging="713"/>
      </w:pPr>
      <w:rPr>
        <w:rFonts w:hint="default"/>
        <w:lang w:val="pt-PT" w:eastAsia="en-US" w:bidi="ar-SA"/>
      </w:rPr>
    </w:lvl>
    <w:lvl w:ilvl="6">
      <w:start w:val="0"/>
      <w:numFmt w:val="bullet"/>
      <w:lvlText w:val="•"/>
      <w:lvlJc w:val="left"/>
      <w:pPr>
        <w:ind w:left="8728" w:hanging="713"/>
      </w:pPr>
      <w:rPr>
        <w:rFonts w:hint="default"/>
        <w:lang w:val="pt-PT" w:eastAsia="en-US" w:bidi="ar-SA"/>
      </w:rPr>
    </w:lvl>
    <w:lvl w:ilvl="7">
      <w:start w:val="0"/>
      <w:numFmt w:val="bullet"/>
      <w:lvlText w:val="•"/>
      <w:lvlJc w:val="left"/>
      <w:pPr>
        <w:ind w:left="10326" w:hanging="713"/>
      </w:pPr>
      <w:rPr>
        <w:rFonts w:hint="default"/>
        <w:lang w:val="pt-PT" w:eastAsia="en-US" w:bidi="ar-SA"/>
      </w:rPr>
    </w:lvl>
    <w:lvl w:ilvl="8">
      <w:start w:val="0"/>
      <w:numFmt w:val="bullet"/>
      <w:lvlText w:val="•"/>
      <w:lvlJc w:val="left"/>
      <w:pPr>
        <w:ind w:left="11924" w:hanging="713"/>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0775335&amp;id_procedimento_atual=127851748&amp;infra_sistema=100000100&amp;infra_unidade_atual=120007803&amp;infra_hash=c25372fbf908cedfb1e2237756a3b41e66ef8bafa38db3474f9f2f22e04e86ed7f7ef53e7384756805908a9aa59eb0596617b5e5fc6984fe631d1e48e5b02f8657df0df126f5a3cb0417b8e2ff40cd814cb18625022bc16bcd2831295d5215a5" TargetMode="External"/><Relationship Id="rId34" Type="http://schemas.openxmlformats.org/officeDocument/2006/relationships/hyperlink" Target="https://sei.rj.gov.br/sei/controlador.php?acao=protocolo_visualizar&amp;id_protocolo=131010956&amp;id_procedimento_atual=127851748&amp;infra_sistema=100000100&amp;infra_unidade_atual=120007803&amp;infra_hash=f39859301aeaf55d18215c023bd1c1ce62c0476dd698e3461f99973ec56ead7c7f7ef53e7384756805908a9aa59eb0596617b5e5fc6984fe631d1e48e5b02f8657df0df126f5a3cb0417b8e2ff40cd814cb18625022bc16bcd2831295d5215a5" TargetMode="External"/><Relationship Id="rId35" Type="http://schemas.openxmlformats.org/officeDocument/2006/relationships/hyperlink" Target="https://sei.rj.gov.br/sei/controlador.php?acao=protocolo_visualizar&amp;id_protocolo=131552417&amp;id_procedimento_atual=127851748&amp;infra_sistema=100000100&amp;infra_unidade_atual=120007803&amp;infra_hash=87c63708b34d41859659d3df88ab497942ae40e31f1afdc3f7839c767d7a4ddc7f7ef53e7384756805908a9aa59eb0596617b5e5fc6984fe631d1e48e5b02f8657df0df126f5a3cb0417b8e2ff40cd814cb18625022bc16bcd2831295d5215a5" TargetMode="External"/><Relationship Id="rId36" Type="http://schemas.openxmlformats.org/officeDocument/2006/relationships/hyperlink" Target="https://sei.rj.gov.br/sei/controlador.php?acao=protocolo_visualizar&amp;id_protocolo=95504857&amp;id_procedimento_atual=127851748&amp;infra_sistema=100000100&amp;infra_unidade_atual=120007803&amp;infra_hash=2b6c219a933b6481656e66a4614d512d462c06225bdbab16d7ddf0f3f0b076957f7ef53e7384756805908a9aa59eb0596617b5e5fc6984fe631d1e48e5b02f8657df0df126f5a3cb0417b8e2ff40cd814cb18625022bc16bcd2831295d5215a5" TargetMode="External"/><Relationship Id="rId37" Type="http://schemas.openxmlformats.org/officeDocument/2006/relationships/hyperlink" Target="https://pncp.gov.br/app/pca/42498600000171/2026/5" TargetMode="External"/><Relationship Id="rId38" Type="http://schemas.openxmlformats.org/officeDocument/2006/relationships/hyperlink" Target="https://sei.rj.gov.br/sei/controlador.php?acao=protocolo_visualizar&amp;id_protocolo=77579863&amp;id_procedimento_atual=127851748&amp;infra_sistema=100000100&amp;infra_unidade_atual=120007803&amp;infra_hash=071dbc0e04a3349bea31fba21272c313efa7b9ec8d5331d4612e648724d5841b7f7ef53e7384756805908a9aa59eb0596617b5e5fc6984fe631d1e48e5b02f8657df0df126f5a3cb0417b8e2ff40cd814cb18625022bc16bcd2831295d5215a5" TargetMode="External"/><Relationship Id="rId39" Type="http://schemas.openxmlformats.org/officeDocument/2006/relationships/hyperlink" Target="https://sei.rj.gov.br/sei/controlador.php?acao=protocolo_visualizar&amp;id_protocolo=33665672&amp;id_procedimento_atual=127851748&amp;infra_sistema=100000100&amp;infra_unidade_atual=120007803&amp;infra_hash=de8910476467eacfde988695f95f0834cf2a232dcd4fbe43f2d2e4d8b867c3167f7ef53e7384756805908a9aa59eb0596617b5e5fc6984fe631d1e48e5b02f8657df0df126f5a3cb0417b8e2ff40cd814cb18625022bc16bcd2831295d5215a5"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SEI-260007/000493/2026</dc:title>
  <dcterms:created xsi:type="dcterms:W3CDTF">2026-06-16T12:28:39Z</dcterms:created>
  <dcterms:modified xsi:type="dcterms:W3CDTF">2026-06-16T12:28:39Z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2026-06-16T00:00:00Z</vt:filetime>
  </property>
  <property fmtid="{D5CDD505-2E9C-101B-9397-08002B2CF9AE}" pid="6" name="Producer">
    <vt:lpwstr>Skia/PDF m149</vt:lpwstr>
  </property>
</Properties>
</file>