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288" w:after="288"/>
        <w:contextualSpacing/>
        <w:jc w:val="center"/>
        <w:rPr>
          <w:rFonts w:ascii="Arial" w:hAnsi="Arial" w:eastAsia="MS Mincho" w:cs="Arial"/>
          <w:b/>
          <w:color w:val="FF0000"/>
          <w:sz w:val="22"/>
          <w:szCs w:val="22"/>
        </w:rPr>
      </w:pPr>
      <w:r>
        <w:rPr>
          <w:rFonts w:eastAsia="MS Mincho" w:cs="Arial" w:ascii="Arial" w:hAnsi="Arial"/>
          <w:b/>
          <w:sz w:val="22"/>
          <w:szCs w:val="22"/>
        </w:rPr>
        <w:t>ANEXO</w:t>
      </w:r>
      <w:r>
        <w:rPr>
          <w:rFonts w:eastAsia="MS Mincho" w:cs="Arial" w:ascii="Arial" w:hAnsi="Arial"/>
          <w:b/>
          <w:color w:val="FF0000"/>
          <w:sz w:val="22"/>
          <w:szCs w:val="22"/>
        </w:rPr>
        <w:t xml:space="preserve"> IV </w:t>
      </w:r>
      <w:r>
        <w:rPr>
          <w:rFonts w:eastAsia="MS Mincho" w:cs="Arial" w:ascii="Arial" w:hAnsi="Arial"/>
          <w:b/>
          <w:sz w:val="22"/>
          <w:szCs w:val="22"/>
        </w:rPr>
        <w:t>– DOCUMENTAÇÃO EXIGIDA PARA HABILITAÇÃO</w:t>
      </w:r>
    </w:p>
    <w:p>
      <w:pPr>
        <w:pStyle w:val="Normal"/>
        <w:spacing w:lineRule="auto" w:line="240" w:before="288" w:after="288"/>
        <w:contextualSpacing/>
        <w:jc w:val="center"/>
        <w:rPr>
          <w:rFonts w:ascii="Arial" w:hAnsi="Arial" w:eastAsia="MS Mincho" w:cs="Arial"/>
          <w:b/>
          <w:color w:val="FF0000"/>
          <w:sz w:val="22"/>
          <w:szCs w:val="22"/>
        </w:rPr>
      </w:pPr>
      <w:r>
        <w:rPr>
          <w:rFonts w:eastAsia="MS Mincho" w:cs="Arial" w:ascii="Arial" w:hAnsi="Arial"/>
          <w:b/>
          <w:color w:val="FF0000"/>
          <w:sz w:val="22"/>
          <w:szCs w:val="22"/>
        </w:rPr>
      </w:r>
    </w:p>
    <w:p>
      <w:pPr>
        <w:pStyle w:val="Normal"/>
        <w:spacing w:lineRule="auto" w:line="240" w:before="0" w:after="160"/>
        <w:contextualSpacing/>
        <w:rPr>
          <w:rFonts w:ascii="Arial" w:hAnsi="Arial" w:cs="Arial"/>
          <w:color w:val="FF0000"/>
          <w:sz w:val="22"/>
          <w:szCs w:val="22"/>
        </w:rPr>
      </w:pPr>
      <w:r>
        <w:rPr>
          <w:rFonts w:cs="Arial" w:ascii="Arial" w:hAnsi="Arial"/>
          <w:color w:val="FF0000"/>
          <w:sz w:val="22"/>
          <w:szCs w:val="22"/>
        </w:rPr>
      </w:r>
    </w:p>
    <w:p>
      <w:pPr>
        <w:pStyle w:val="Normal"/>
        <w:spacing w:lineRule="auto" w:line="240" w:before="0" w:after="160"/>
        <w:contextualSpacing/>
        <w:rPr>
          <w:rFonts w:ascii="Arial" w:hAnsi="Arial" w:cs="Arial"/>
          <w:b/>
          <w:bCs/>
          <w:sz w:val="22"/>
          <w:szCs w:val="22"/>
        </w:rPr>
      </w:pPr>
      <w:r>
        <w:rPr>
          <w:rFonts w:cs="Arial" w:ascii="Arial" w:hAnsi="Arial"/>
          <w:b/>
          <w:bCs/>
          <w:sz w:val="22"/>
          <w:szCs w:val="22"/>
        </w:rPr>
        <w:t>1. HABILITAÇÃO JURÍDICA</w:t>
      </w:r>
    </w:p>
    <w:p>
      <w:pPr>
        <w:pStyle w:val="Normal"/>
        <w:spacing w:lineRule="auto" w:line="240" w:before="0" w:after="160"/>
        <w:contextualSpacing/>
        <w:rPr>
          <w:rFonts w:ascii="Arial" w:hAnsi="Arial" w:cs="Arial"/>
          <w:sz w:val="22"/>
          <w:szCs w:val="22"/>
        </w:rPr>
      </w:pPr>
      <w:r>
        <w:rPr>
          <w:rFonts w:cs="Arial" w:ascii="Arial" w:hAnsi="Arial"/>
          <w:sz w:val="22"/>
          <w:szCs w:val="22"/>
        </w:rPr>
      </w:r>
    </w:p>
    <w:p>
      <w:pPr>
        <w:pStyle w:val="Normal"/>
        <w:spacing w:lineRule="auto" w:line="240" w:before="240" w:after="240"/>
        <w:contextualSpacing/>
        <w:jc w:val="both"/>
        <w:rPr>
          <w:rFonts w:ascii="Arial" w:hAnsi="Arial" w:cs="Arial"/>
          <w:sz w:val="22"/>
          <w:szCs w:val="22"/>
        </w:rPr>
      </w:pPr>
      <w:r>
        <w:rPr>
          <w:rFonts w:cs="Arial" w:ascii="Arial" w:hAnsi="Arial"/>
          <w:bCs/>
          <w:sz w:val="22"/>
          <w:szCs w:val="22"/>
        </w:rPr>
        <w:t xml:space="preserve">1.1 </w:t>
      </w:r>
      <w:r>
        <w:rPr>
          <w:rFonts w:cs="Arial" w:ascii="Arial" w:hAnsi="Arial"/>
          <w:sz w:val="22"/>
          <w:szCs w:val="22"/>
        </w:rPr>
        <w:t>Pessoa física: cédula de identidade (RG) ou documento equivalente que, por força de lei, tenha validade para fins de identificação em todo o território nacional.</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1.2 Empresário individual: inscrição no Registro Público de Empresas Mercantis, a cargo da Junta Comercial da respectiva sede.</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t xml:space="preserve">1.3 Microempreendedor Individual - MEI: Certificado da Condição de Microempreendedor Individual - CCMEI, cuja aceitação ficará condicionada à verificação da autenticidade no sítio </w:t>
      </w:r>
      <w:hyperlink r:id="rId2">
        <w:r>
          <w:rPr>
            <w:rStyle w:val="Hyperlink"/>
            <w:rFonts w:cs="Arial" w:ascii="Arial" w:hAnsi="Arial"/>
            <w:sz w:val="22"/>
            <w:szCs w:val="22"/>
          </w:rPr>
          <w:t>www.portaldoempreendedor.gov.br</w:t>
        </w:r>
      </w:hyperlink>
      <w:r>
        <w:rPr>
          <w:rFonts w:cs="Arial" w:ascii="Arial" w:hAnsi="Arial"/>
          <w:color w:val="000000"/>
          <w:sz w:val="22"/>
          <w:szCs w:val="22"/>
        </w:rPr>
        <w:t>.</w:t>
      </w:r>
    </w:p>
    <w:p>
      <w:pPr>
        <w:pStyle w:val="Normal"/>
        <w:tabs>
          <w:tab w:val="clear" w:pos="708"/>
          <w:tab w:val="left" w:pos="1440" w:leader="none"/>
        </w:tabs>
        <w:snapToGrid w:val="false"/>
        <w:spacing w:lineRule="auto" w:line="240" w:before="0" w:after="160"/>
        <w:contextualSpacing/>
        <w:rPr>
          <w:rFonts w:ascii="Arial" w:hAnsi="Arial" w:cs="Arial"/>
          <w:color w:val="000000"/>
          <w:sz w:val="22"/>
          <w:szCs w:val="22"/>
        </w:rPr>
      </w:pPr>
      <w:r>
        <w:rPr>
          <w:rFonts w:cs="Arial" w:ascii="Arial" w:hAnsi="Arial"/>
          <w:color w:val="000000"/>
          <w:sz w:val="22"/>
          <w:szCs w:val="22"/>
        </w:rPr>
      </w:r>
    </w:p>
    <w:p>
      <w:pPr>
        <w:pStyle w:val="Normal"/>
        <w:spacing w:lineRule="auto" w:line="240" w:before="0" w:after="160"/>
        <w:contextualSpacing/>
        <w:jc w:val="both"/>
        <w:rPr>
          <w:rFonts w:ascii="Arial" w:hAnsi="Arial" w:eastAsia="Calibri" w:cs="Arial"/>
          <w:sz w:val="22"/>
          <w:szCs w:val="22"/>
        </w:rPr>
      </w:pPr>
      <w:bookmarkStart w:id="0" w:name="_Hlk223156700"/>
      <w:r>
        <w:rPr>
          <w:rFonts w:eastAsia="Calibri" w:cs="Arial" w:ascii="Arial" w:hAnsi="Arial"/>
          <w:sz w:val="22"/>
          <w:szCs w:val="22"/>
        </w:rPr>
        <w:t xml:space="preserve">1.4 Sociedade empresária, sociedade limitada unipessoal – SLU ou sociedade identificada como empresa individual de responsabilidade limitada - EIRELI: </w:t>
      </w:r>
      <w:r>
        <w:rPr>
          <w:rFonts w:cs="Arial" w:ascii="Arial" w:hAnsi="Arial"/>
          <w:color w:val="000000"/>
          <w:sz w:val="22"/>
          <w:szCs w:val="22"/>
        </w:rPr>
        <w:t xml:space="preserve">ato constitutivo, estatuto ou contrato social em vigor inscrito </w:t>
      </w:r>
      <w:r>
        <w:rPr>
          <w:rFonts w:cs="Arial" w:ascii="Arial" w:hAnsi="Arial"/>
          <w:sz w:val="22"/>
          <w:szCs w:val="22"/>
        </w:rPr>
        <w:t>no Registro Público de Empresas Mercantis, a cargo</w:t>
      </w:r>
      <w:r>
        <w:rPr>
          <w:rFonts w:cs="Arial" w:ascii="Arial" w:hAnsi="Arial"/>
          <w:color w:val="000000"/>
          <w:sz w:val="22"/>
          <w:szCs w:val="22"/>
        </w:rPr>
        <w:t xml:space="preserve"> da Junta Comercial da respectiva sede, acompanhado de documento comprobatório do administrador.</w:t>
      </w:r>
      <w:bookmarkEnd w:id="0"/>
    </w:p>
    <w:p>
      <w:pPr>
        <w:pStyle w:val="Normal"/>
        <w:spacing w:lineRule="auto" w:line="240" w:before="0" w:after="160"/>
        <w:contextualSpacing/>
        <w:jc w:val="both"/>
        <w:rPr>
          <w:rFonts w:ascii="Arial" w:hAnsi="Arial" w:cs="Arial"/>
          <w:color w:val="000000"/>
          <w:sz w:val="22"/>
          <w:szCs w:val="22"/>
        </w:rPr>
      </w:pPr>
      <w:r>
        <w:rPr>
          <w:rFonts w:cs="Arial" w:ascii="Arial" w:hAnsi="Arial"/>
          <w:color w:val="000000"/>
          <w:sz w:val="22"/>
          <w:szCs w:val="22"/>
        </w:rPr>
      </w:r>
    </w:p>
    <w:p>
      <w:pPr>
        <w:pStyle w:val="Normal"/>
        <w:spacing w:lineRule="auto" w:line="240" w:before="0" w:after="160"/>
        <w:contextualSpacing/>
        <w:jc w:val="both"/>
        <w:rPr>
          <w:rFonts w:ascii="Arial" w:hAnsi="Arial" w:cs="Arial"/>
          <w:color w:val="000000"/>
          <w:sz w:val="22"/>
          <w:szCs w:val="22"/>
        </w:rPr>
      </w:pPr>
      <w:r>
        <w:rPr>
          <w:rFonts w:cs="Arial" w:ascii="Arial" w:hAnsi="Arial"/>
          <w:color w:val="000000"/>
          <w:sz w:val="22"/>
          <w:szCs w:val="22"/>
        </w:rPr>
        <w:t xml:space="preserve">1.5 Sociedade Empresária Estrangeira em funcionamento no País: </w:t>
      </w:r>
      <w:r>
        <w:rPr>
          <w:rFonts w:cs="Arial" w:ascii="Arial" w:hAnsi="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t>1.6 Sociedade Simples: inscrição do ato constitutivo no Registro Civil das Pessoas Jurídicas do local de sua sede, acompanhada de prova da indicação dos seus administradores.</w:t>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t xml:space="preserve">1.7 </w:t>
      </w:r>
      <w:r>
        <w:rPr>
          <w:rFonts w:cs="Arial" w:ascii="Arial" w:hAnsi="Arial"/>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spacing w:lineRule="auto" w:line="240" w:before="0" w:after="160"/>
        <w:contextualSpacing/>
        <w:rPr>
          <w:rFonts w:ascii="Arial" w:hAnsi="Arial" w:cs="Arial"/>
          <w:sz w:val="22"/>
          <w:szCs w:val="22"/>
        </w:rPr>
      </w:pPr>
      <w:r>
        <w:rPr>
          <w:rFonts w:cs="Arial" w:ascii="Arial" w:hAnsi="Arial"/>
          <w:bCs/>
          <w:sz w:val="22"/>
          <w:szCs w:val="22"/>
        </w:rPr>
        <w:t xml:space="preserve">1.10 </w:t>
      </w:r>
      <w:r>
        <w:rPr>
          <w:rFonts w:cs="Arial" w:ascii="Arial" w:hAnsi="Arial"/>
          <w:bCs/>
          <w:color w:val="000000"/>
          <w:sz w:val="22"/>
          <w:szCs w:val="22"/>
        </w:rPr>
        <w:t>Quando cabível, os documentos apresentados devem estar acompanhados de todas as alterações ou da consolidação respectiva.</w:t>
      </w:r>
    </w:p>
    <w:p>
      <w:pPr>
        <w:pStyle w:val="Normal"/>
        <w:spacing w:lineRule="auto" w:line="240" w:before="0" w:after="160"/>
        <w:contextualSpacing/>
        <w:rPr>
          <w:rFonts w:ascii="Arial" w:hAnsi="Arial" w:cs="Arial"/>
          <w:sz w:val="22"/>
          <w:szCs w:val="22"/>
        </w:rPr>
      </w:pPr>
      <w:r>
        <w:rPr>
          <w:rFonts w:cs="Arial" w:ascii="Arial" w:hAnsi="Arial"/>
          <w:sz w:val="22"/>
          <w:szCs w:val="22"/>
        </w:rPr>
      </w:r>
    </w:p>
    <w:p>
      <w:pPr>
        <w:pStyle w:val="Normal"/>
        <w:spacing w:lineRule="auto" w:line="240" w:before="0" w:after="160"/>
        <w:contextualSpacing/>
        <w:rPr>
          <w:rFonts w:ascii="Arial" w:hAnsi="Arial" w:cs="Arial"/>
          <w:b/>
          <w:bCs/>
          <w:color w:val="000000"/>
          <w:sz w:val="22"/>
          <w:szCs w:val="22"/>
        </w:rPr>
      </w:pPr>
      <w:r>
        <w:rPr>
          <w:rFonts w:cs="Arial" w:ascii="Arial" w:hAnsi="Arial"/>
          <w:b/>
          <w:bCs/>
          <w:sz w:val="22"/>
          <w:szCs w:val="22"/>
        </w:rPr>
        <w:t xml:space="preserve">2. HABILITAÇÃO </w:t>
      </w:r>
      <w:r>
        <w:rPr>
          <w:rFonts w:cs="Arial" w:ascii="Arial" w:hAnsi="Arial"/>
          <w:b/>
          <w:bCs/>
          <w:color w:val="000000"/>
          <w:sz w:val="22"/>
          <w:szCs w:val="22"/>
        </w:rPr>
        <w:t>FISCAL, SOCIAL E TRABALHISTA:</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2.1 Inscrição no Cadastro Nacional de Pessoas Jurídicas ou no Cadastro de Pessoas Físicas, conforme o caso.</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color w:val="000000"/>
          <w:sz w:val="22"/>
          <w:szCs w:val="22"/>
        </w:rPr>
        <w:t>2.3 Regularidade com o Fundo de Garantia do Tempo de Serviço (FGTS).</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color w:val="000000"/>
          <w:sz w:val="22"/>
          <w:szCs w:val="22"/>
        </w:rPr>
        <w:t>2.4 Declaração de que não emprega menor de 18 anos em trabalho noturno, perigoso ou insalubre e não emprega menor de 16 anos, salvo menor, a partir de 14 anos, na condição de aprendiz, nos termos do art. 7°, XXXIII, da Constituição.</w:t>
      </w:r>
    </w:p>
    <w:p>
      <w:pPr>
        <w:pStyle w:val="Normal"/>
        <w:tabs>
          <w:tab w:val="clear" w:pos="708"/>
          <w:tab w:val="left" w:pos="1440" w:leader="none"/>
        </w:tabs>
        <w:snapToGrid w:val="false"/>
        <w:spacing w:lineRule="auto" w:line="240" w:before="0" w:after="160"/>
        <w:contextualSpacing/>
        <w:jc w:val="both"/>
        <w:rPr>
          <w:rFonts w:ascii="Arial" w:hAnsi="Arial" w:cs="Arial"/>
          <w:color w:val="000000"/>
          <w:sz w:val="22"/>
          <w:szCs w:val="22"/>
        </w:rPr>
      </w:pPr>
      <w:r>
        <w:rPr>
          <w:rFonts w:cs="Arial" w:ascii="Arial" w:hAnsi="Arial"/>
          <w:color w:val="000000"/>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bCs/>
          <w:sz w:val="22"/>
          <w:szCs w:val="22"/>
        </w:rPr>
      </w:pPr>
      <w:r>
        <w:rPr>
          <w:rFonts w:cs="Arial" w:ascii="Arial" w:hAnsi="Arial"/>
          <w:bCs/>
          <w:sz w:val="22"/>
          <w:szCs w:val="22"/>
        </w:rPr>
        <w:t xml:space="preserve">2.6 Prova de </w:t>
      </w:r>
      <w:r>
        <w:rPr>
          <w:rFonts w:cs="Arial" w:ascii="Arial" w:hAnsi="Arial"/>
          <w:color w:val="000000"/>
          <w:sz w:val="22"/>
          <w:szCs w:val="22"/>
        </w:rPr>
        <w:t xml:space="preserve">inscrição no cadastro de contribuintes </w:t>
      </w:r>
      <w:r>
        <w:rPr>
          <w:rFonts w:cs="Arial" w:ascii="Arial" w:hAnsi="Arial"/>
          <w:sz w:val="22"/>
          <w:szCs w:val="22"/>
        </w:rPr>
        <w:t>estadual/distrital</w:t>
      </w:r>
      <w:r>
        <w:rPr>
          <w:rFonts w:cs="Arial" w:ascii="Arial" w:hAnsi="Arial"/>
          <w:color w:val="000000"/>
          <w:sz w:val="22"/>
          <w:szCs w:val="22"/>
        </w:rPr>
        <w:t>, relativo ao domicílio ou sede do fornecedor, pertinente ao seu ramo de atividade e compatível com o objeto contratual</w:t>
      </w:r>
      <w:r>
        <w:rPr>
          <w:rFonts w:cs="Arial" w:ascii="Arial" w:hAnsi="Arial"/>
          <w:bCs/>
          <w:sz w:val="22"/>
          <w:szCs w:val="22"/>
        </w:rPr>
        <w:t>.</w:t>
      </w:r>
    </w:p>
    <w:p>
      <w:pPr>
        <w:pStyle w:val="Normal"/>
        <w:tabs>
          <w:tab w:val="clear" w:pos="708"/>
          <w:tab w:val="left" w:pos="1440" w:leader="none"/>
        </w:tabs>
        <w:snapToGrid w:val="false"/>
        <w:spacing w:lineRule="auto" w:line="240" w:before="0" w:after="160"/>
        <w:contextualSpacing/>
        <w:jc w:val="both"/>
        <w:rPr>
          <w:rFonts w:ascii="Arial" w:hAnsi="Arial" w:cs="Arial"/>
          <w:bCs/>
          <w:sz w:val="22"/>
          <w:szCs w:val="22"/>
        </w:rPr>
      </w:pPr>
      <w:r>
        <w:rPr>
          <w:rFonts w:cs="Arial" w:ascii="Arial" w:hAnsi="Arial"/>
          <w:bCs/>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bCs/>
          <w:sz w:val="22"/>
          <w:szCs w:val="22"/>
        </w:rPr>
        <w:t xml:space="preserve">2.6.1 O fornecedor enquadrado como microempreendedor individual que pretenda auferir os benefícios do tratamento diferenciado previstos na </w:t>
      </w:r>
      <w:hyperlink r:id="rId3">
        <w:r>
          <w:rPr>
            <w:rStyle w:val="Hyperlink"/>
            <w:rFonts w:cs="Arial" w:ascii="Arial" w:hAnsi="Arial"/>
            <w:bCs/>
            <w:color w:val="auto"/>
            <w:sz w:val="22"/>
            <w:szCs w:val="22"/>
            <w:u w:val="none"/>
          </w:rPr>
          <w:t>Lei Complementar nº 123/2006</w:t>
        </w:r>
      </w:hyperlink>
      <w:r>
        <w:rPr>
          <w:rFonts w:cs="Arial" w:ascii="Arial" w:hAnsi="Arial"/>
          <w:bCs/>
          <w:sz w:val="22"/>
          <w:szCs w:val="22"/>
        </w:rPr>
        <w:t xml:space="preserve">, estará dispensado da prova de inscrição nos cadastros de contribuintes estadual e municipal, eis que a </w:t>
      </w:r>
      <w:r>
        <w:rPr>
          <w:rFonts w:cs="Arial" w:ascii="Arial" w:hAnsi="Arial"/>
          <w:sz w:val="22"/>
          <w:szCs w:val="22"/>
        </w:rPr>
        <w:t>apresentação do Certificado de Condição de Microempreendedor Individual – CCMEI supre tais requisitos.</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2.7 Prova de regularidade com a Fazenda do Estado do Rio de Janeiro, mediante a apresentação de:</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 xml:space="preserve">2.7.1 Certidão Negativa de Débitos, ou Certidão Positiva com efeito de Negativa, expedida pela Secretaria de Estado de Fazenda; e </w:t>
      </w:r>
    </w:p>
    <w:p>
      <w:pPr>
        <w:pStyle w:val="BodyTextIndent3"/>
        <w:spacing w:lineRule="auto" w:line="240" w:before="0" w:after="0"/>
        <w:ind w:hanging="0"/>
        <w:contextualSpacing/>
        <w:rPr>
          <w:rFonts w:cs="Arial"/>
          <w:sz w:val="22"/>
          <w:szCs w:val="22"/>
        </w:rPr>
      </w:pPr>
      <w:r>
        <w:rPr>
          <w:rFonts w:cs="Arial"/>
          <w:sz w:val="22"/>
          <w:szCs w:val="22"/>
        </w:rPr>
      </w:r>
    </w:p>
    <w:p>
      <w:pPr>
        <w:pStyle w:val="BodyTextIndent3"/>
        <w:spacing w:lineRule="auto" w:line="240" w:before="0" w:after="0"/>
        <w:ind w:hanging="0"/>
        <w:contextualSpacing/>
        <w:rPr>
          <w:rFonts w:cs="Arial"/>
          <w:sz w:val="22"/>
          <w:szCs w:val="22"/>
        </w:rPr>
      </w:pPr>
      <w:r>
        <w:rPr>
          <w:rFonts w:cs="Arial"/>
          <w:sz w:val="22"/>
          <w:szCs w:val="22"/>
        </w:rPr>
        <w:t>2.7.2 Certidão Negativa de Débitos em Dívida Ativa, ou Certidão Positiva com efeito de Negativa, para fins de participação em licitação, expedida pela Procuradoria Geral do Estado.</w:t>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r>
    </w:p>
    <w:p>
      <w:pPr>
        <w:pStyle w:val="Normal"/>
        <w:tabs>
          <w:tab w:val="clear" w:pos="708"/>
          <w:tab w:val="left" w:pos="1440" w:leader="none"/>
        </w:tabs>
        <w:snapToGrid w:val="false"/>
        <w:spacing w:lineRule="auto" w:line="240" w:before="0" w:after="160"/>
        <w:contextualSpacing/>
        <w:jc w:val="both"/>
        <w:rPr>
          <w:rFonts w:ascii="Arial" w:hAnsi="Arial" w:cs="Arial"/>
          <w:sz w:val="22"/>
          <w:szCs w:val="22"/>
        </w:rPr>
      </w:pPr>
      <w:r>
        <w:rPr>
          <w:rFonts w:cs="Arial" w:ascii="Arial" w:hAnsi="Arial"/>
          <w:sz w:val="22"/>
          <w:szCs w:val="22"/>
        </w:rPr>
        <w:t>2.8 Regularidade com a Fazenda Estadual</w:t>
      </w:r>
      <w:r>
        <w:rPr>
          <w:rFonts w:cs="Arial" w:ascii="Arial" w:hAnsi="Arial"/>
          <w:color w:val="FF0000"/>
          <w:sz w:val="22"/>
          <w:szCs w:val="22"/>
        </w:rPr>
        <w:t xml:space="preserve"> </w:t>
      </w:r>
      <w:r>
        <w:rPr>
          <w:rFonts w:cs="Arial" w:ascii="Arial" w:hAnsi="Arial"/>
          <w:sz w:val="22"/>
          <w:szCs w:val="22"/>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pPr>
        <w:pStyle w:val="Normal"/>
        <w:spacing w:lineRule="auto" w:line="240" w:before="0" w:after="160"/>
        <w:contextualSpacing/>
        <w:jc w:val="both"/>
        <w:rPr>
          <w:rFonts w:ascii="Arial" w:hAnsi="Arial" w:cs="Arial"/>
          <w:sz w:val="22"/>
          <w:szCs w:val="22"/>
        </w:rPr>
      </w:pPr>
      <w:r>
        <w:rPr>
          <w:rFonts w:cs="Arial" w:ascii="Arial" w:hAnsi="Arial"/>
          <w:sz w:val="22"/>
          <w:szCs w:val="22"/>
        </w:rPr>
      </w:r>
    </w:p>
    <w:p>
      <w:pPr>
        <w:pStyle w:val="Normal"/>
        <w:spacing w:lineRule="auto" w:line="240" w:before="0" w:after="160"/>
        <w:contextualSpacing/>
        <w:jc w:val="both"/>
        <w:rPr>
          <w:rFonts w:ascii="Arial" w:hAnsi="Arial" w:cs="Arial"/>
          <w:sz w:val="22"/>
          <w:szCs w:val="22"/>
        </w:rPr>
      </w:pPr>
      <w:r>
        <w:rPr>
          <w:rFonts w:cs="Arial" w:ascii="Arial" w:hAnsi="Arial"/>
          <w:sz w:val="22"/>
          <w:szCs w:val="22"/>
        </w:rPr>
        <w:t xml:space="preserve">2.9 Caso o fornecedor seja considerado isento dos tributos </w:t>
      </w:r>
      <w:r>
        <w:rPr>
          <w:rFonts w:cs="Arial" w:ascii="Arial" w:hAnsi="Arial"/>
          <w:iCs/>
          <w:sz w:val="22"/>
          <w:szCs w:val="22"/>
        </w:rPr>
        <w:t>estaduais</w:t>
      </w:r>
      <w:r>
        <w:rPr>
          <w:rFonts w:cs="Arial" w:ascii="Arial" w:hAnsi="Arial"/>
          <w:iCs/>
          <w:color w:val="FF0000"/>
          <w:sz w:val="22"/>
          <w:szCs w:val="22"/>
        </w:rPr>
        <w:t xml:space="preserve"> </w:t>
      </w:r>
      <w:r>
        <w:rPr>
          <w:rFonts w:cs="Arial" w:ascii="Arial" w:hAnsi="Arial"/>
          <w:sz w:val="22"/>
          <w:szCs w:val="22"/>
        </w:rPr>
        <w:t>relacionados ao objeto contratual, deverá comprovar tal condição mediante a apresentação de declaração da Fazenda respectiva do seu domicílio ou sede, ou outra equivalente, na forma da lei.</w:t>
      </w:r>
    </w:p>
    <w:p>
      <w:pPr>
        <w:pStyle w:val="Normal"/>
        <w:spacing w:lineRule="auto" w:line="240" w:before="0" w:after="160"/>
        <w:contextualSpacing/>
        <w:rPr>
          <w:rFonts w:ascii="Arial" w:hAnsi="Arial" w:cs="Arial"/>
          <w:sz w:val="22"/>
          <w:szCs w:val="22"/>
        </w:rPr>
      </w:pPr>
      <w:r>
        <w:rPr>
          <w:rFonts w:cs="Arial" w:ascii="Arial" w:hAnsi="Arial"/>
          <w:sz w:val="22"/>
          <w:szCs w:val="22"/>
        </w:rPr>
      </w:r>
    </w:p>
    <w:p>
      <w:pPr>
        <w:pStyle w:val="BodyTextIndent"/>
        <w:spacing w:before="0" w:after="0"/>
        <w:ind w:start="0"/>
        <w:contextualSpacing/>
        <w:jc w:val="both"/>
        <w:rPr>
          <w:rFonts w:ascii="Arial" w:hAnsi="Arial" w:cs="Arial"/>
          <w:sz w:val="22"/>
          <w:szCs w:val="22"/>
        </w:rPr>
      </w:pPr>
      <w:bookmarkStart w:id="1" w:name="_Hlk178775808"/>
      <w:r>
        <w:rPr>
          <w:rFonts w:cs="Arial" w:ascii="Arial" w:hAnsi="Arial"/>
          <w:bCs/>
          <w:sz w:val="22"/>
          <w:szCs w:val="22"/>
        </w:rPr>
        <w:t>2.10</w:t>
      </w:r>
      <w:r>
        <w:rPr>
          <w:rFonts w:cs="Arial" w:ascii="Arial" w:hAnsi="Arial"/>
          <w:b/>
          <w:sz w:val="22"/>
          <w:szCs w:val="22"/>
        </w:rPr>
        <w:t xml:space="preserve"> </w:t>
      </w:r>
      <w:r>
        <w:rPr>
          <w:rFonts w:cs="Arial" w:ascii="Arial" w:hAnsi="Arial"/>
          <w:sz w:val="22"/>
          <w:szCs w:val="22"/>
        </w:rPr>
        <w:t>Na hipótese de cuidar-se de microempresa ou de empresa de pequeno porte, na forma do art. 42 da Lei Complementar nº 123/2006, a documentação somente será exigida para efeito de assinatura do contrato, caso se sagre vencedora no certame.</w:t>
      </w:r>
    </w:p>
    <w:p>
      <w:pPr>
        <w:pStyle w:val="Normal"/>
        <w:spacing w:lineRule="auto" w:line="240" w:before="0" w:after="160"/>
        <w:contextualSpacing/>
        <w:jc w:val="both"/>
        <w:rPr>
          <w:rFonts w:ascii="Arial" w:hAnsi="Arial" w:cs="Arial"/>
          <w:sz w:val="22"/>
          <w:szCs w:val="22"/>
        </w:rPr>
      </w:pPr>
      <w:r>
        <w:rPr>
          <w:rFonts w:cs="Arial" w:ascii="Arial" w:hAnsi="Arial"/>
          <w:sz w:val="22"/>
          <w:szCs w:val="22"/>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bookmarkEnd w:id="1"/>
    </w:p>
    <w:p>
      <w:pPr>
        <w:pStyle w:val="Normal"/>
        <w:spacing w:lineRule="auto" w:line="240" w:before="0" w:after="160"/>
        <w:contextualSpacing/>
        <w:jc w:val="both"/>
        <w:rPr>
          <w:rFonts w:ascii="Arial" w:hAnsi="Arial" w:cs="Arial"/>
          <w:sz w:val="22"/>
          <w:szCs w:val="22"/>
        </w:rPr>
      </w:pPr>
      <w:r>
        <w:rPr>
          <w:rFonts w:cs="Arial" w:ascii="Arial" w:hAnsi="Arial"/>
          <w:sz w:val="22"/>
          <w:szCs w:val="22"/>
        </w:rPr>
      </w:r>
    </w:p>
    <w:p>
      <w:pPr>
        <w:pStyle w:val="Normal"/>
        <w:spacing w:lineRule="auto" w:line="240" w:before="0" w:after="160"/>
        <w:contextualSpacing/>
        <w:jc w:val="both"/>
        <w:rPr>
          <w:rFonts w:ascii="Arial" w:hAnsi="Arial" w:cs="Arial"/>
          <w:sz w:val="22"/>
          <w:szCs w:val="22"/>
        </w:rPr>
      </w:pPr>
      <w:r>
        <w:rPr>
          <w:rFonts w:cs="Arial" w:ascii="Arial" w:hAnsi="Arial"/>
          <w:sz w:val="22"/>
          <w:szCs w:val="22"/>
        </w:rPr>
        <w:t>2.10.2 O prazo acima poderá ser prorrogado por igual período, a critério exclusivo da Administração Pública.</w:t>
      </w:r>
    </w:p>
    <w:p>
      <w:pPr>
        <w:pStyle w:val="Normal"/>
        <w:spacing w:lineRule="auto" w:line="240" w:before="0" w:after="160"/>
        <w:contextualSpacing/>
        <w:jc w:val="both"/>
        <w:rPr>
          <w:rFonts w:ascii="Arial" w:hAnsi="Arial" w:cs="Arial"/>
          <w:bCs/>
          <w:sz w:val="22"/>
          <w:szCs w:val="22"/>
        </w:rPr>
      </w:pPr>
      <w:r>
        <w:rPr>
          <w:rFonts w:cs="Arial" w:ascii="Arial" w:hAnsi="Arial"/>
          <w:bCs/>
          <w:sz w:val="22"/>
          <w:szCs w:val="22"/>
        </w:rPr>
      </w:r>
    </w:p>
    <w:p>
      <w:pPr>
        <w:pStyle w:val="Normal"/>
        <w:spacing w:lineRule="auto" w:line="240" w:before="0" w:after="160"/>
        <w:contextualSpacing/>
        <w:jc w:val="both"/>
        <w:rPr>
          <w:rFonts w:ascii="Arial" w:hAnsi="Arial" w:cs="Arial"/>
          <w:sz w:val="22"/>
          <w:szCs w:val="22"/>
        </w:rPr>
      </w:pPr>
      <w:bookmarkStart w:id="2" w:name="_Hlk178775828"/>
      <w:r>
        <w:rPr>
          <w:rFonts w:cs="Arial" w:ascii="Arial" w:hAnsi="Arial"/>
          <w:bCs/>
          <w:sz w:val="22"/>
          <w:szCs w:val="22"/>
        </w:rPr>
        <w:t xml:space="preserve">2.10.3 </w:t>
      </w:r>
      <w:r>
        <w:rPr>
          <w:rFonts w:cs="Arial" w:ascii="Arial" w:hAnsi="Arial"/>
          <w:sz w:val="22"/>
          <w:szCs w:val="22"/>
        </w:rPr>
        <w:t xml:space="preserve">A não regularização da documentação no prazo estipulado implicará a decadência do direito à contratação, na forma do § 2º do art. 43 da Lei Complementar nº 123/2006, sem prejuízo da aplicação das sanções previstas neste Edital. </w:t>
      </w:r>
      <w:bookmarkEnd w:id="2"/>
    </w:p>
    <w:p>
      <w:pPr>
        <w:pStyle w:val="Normal"/>
        <w:spacing w:lineRule="auto" w:line="240" w:before="288" w:after="288"/>
        <w:contextualSpacing/>
        <w:jc w:val="center"/>
        <w:rPr>
          <w:rFonts w:ascii="Arial" w:hAnsi="Arial" w:eastAsia="MS Mincho" w:cs="Arial"/>
          <w:b/>
          <w:color w:val="FF0000"/>
          <w:sz w:val="22"/>
          <w:szCs w:val="22"/>
        </w:rPr>
      </w:pPr>
      <w:r>
        <w:rPr>
          <w:rFonts w:eastAsia="MS Mincho" w:cs="Arial" w:ascii="Arial" w:hAnsi="Arial"/>
          <w:b/>
          <w:color w:val="FF0000"/>
          <w:sz w:val="22"/>
          <w:szCs w:val="22"/>
        </w:rPr>
      </w:r>
    </w:p>
    <w:p>
      <w:pPr>
        <w:pStyle w:val="Normal"/>
        <w:spacing w:lineRule="auto" w:line="240"/>
        <w:jc w:val="both"/>
        <w:rPr>
          <w:rFonts w:ascii="Arial" w:hAnsi="Arial" w:cs="Arial"/>
          <w:sz w:val="22"/>
          <w:szCs w:val="22"/>
        </w:rPr>
      </w:pPr>
      <w:r>
        <w:rPr>
          <w:rFonts w:cs="Arial" w:ascii="Arial" w:hAnsi="Arial"/>
          <w:b/>
          <w:bCs/>
          <w:sz w:val="22"/>
          <w:szCs w:val="22"/>
        </w:rPr>
        <w:t xml:space="preserve">3. HABILITAÇÃO </w:t>
      </w:r>
      <w:r>
        <w:rPr>
          <w:rFonts w:cs="Arial" w:ascii="Arial" w:hAnsi="Arial"/>
          <w:b/>
          <w:bCs/>
          <w:color w:val="000000"/>
          <w:sz w:val="22"/>
          <w:szCs w:val="22"/>
        </w:rPr>
        <w:t xml:space="preserve">ECONÔMICO-FINANCEIRA: </w:t>
      </w:r>
    </w:p>
    <w:p>
      <w:pPr>
        <w:pStyle w:val="Normal"/>
        <w:spacing w:lineRule="auto" w:line="240"/>
        <w:jc w:val="both"/>
        <w:rPr>
          <w:rFonts w:ascii="Arial" w:hAnsi="Arial" w:cs="Arial"/>
          <w:sz w:val="22"/>
          <w:szCs w:val="22"/>
        </w:rPr>
      </w:pPr>
      <w:r>
        <w:rPr>
          <w:rFonts w:cs="Arial" w:ascii="Arial" w:hAnsi="Arial"/>
          <w:sz w:val="22"/>
          <w:szCs w:val="22"/>
        </w:rPr>
        <w:t>3.1 Certidão negativa de falência expedida pelo distribuidor da sede do fornecedor, caso se trate de pessoa jurídica, ou certidão negativa de insolvência civil expedida pelo distribuidor do domicílio ou sede do fornecedor, caso se trate de pessoa física</w:t>
      </w:r>
      <w:r>
        <w:fldChar w:fldCharType="begin"/>
      </w:r>
      <w:r>
        <w:rPr>
          <w:rStyle w:val="Style"/>
          <w:rFonts w:cs="Arial" w:ascii="Arial" w:hAnsi="Arial"/>
          <w:sz w:val="22"/>
          <w:szCs w:val="22"/>
        </w:rPr>
        <w:instrText xml:space="preserve"> HYPERLINK "https://in.gov.br/en/web/dou/-/instrucao-normativa-seges/me-n-116-de-21-de-dezembro-de-2021-370926958" \l "art5"</w:instrText>
      </w:r>
      <w:r>
        <w:rPr>
          <w:rStyle w:val="Style"/>
          <w:rFonts w:cs="Arial" w:ascii="Arial" w:hAnsi="Arial"/>
          <w:sz w:val="22"/>
          <w:szCs w:val="22"/>
        </w:rPr>
        <w:fldChar w:fldCharType="separate"/>
      </w:r>
      <w:r>
        <w:rPr>
          <w:rStyle w:val="Style"/>
          <w:rFonts w:cs="Arial" w:ascii="Arial" w:hAnsi="Arial"/>
          <w:sz w:val="22"/>
          <w:szCs w:val="22"/>
        </w:rPr>
        <w:t xml:space="preserve"> </w:t>
      </w:r>
      <w:r>
        <w:rPr>
          <w:rStyle w:val="Style"/>
          <w:rFonts w:cs="Arial" w:ascii="Arial" w:hAnsi="Arial"/>
          <w:sz w:val="22"/>
          <w:szCs w:val="22"/>
        </w:rPr>
        <w:fldChar w:fldCharType="end"/>
      </w:r>
      <w:r>
        <w:rPr>
          <w:rFonts w:cs="Arial" w:ascii="Arial" w:hAnsi="Arial"/>
          <w:sz w:val="22"/>
          <w:szCs w:val="22"/>
        </w:rPr>
        <w:t xml:space="preserve"> ou de sociedade simples.</w:t>
      </w:r>
    </w:p>
    <w:p>
      <w:pPr>
        <w:pStyle w:val="Normal"/>
        <w:spacing w:lineRule="auto" w:line="240"/>
        <w:jc w:val="both"/>
        <w:rPr>
          <w:rFonts w:ascii="Arial" w:hAnsi="Arial" w:cs="Arial"/>
          <w:sz w:val="22"/>
          <w:szCs w:val="22"/>
        </w:rPr>
      </w:pPr>
      <w:bookmarkStart w:id="3" w:name="_Hlk154232471"/>
      <w:r>
        <w:rPr>
          <w:rFonts w:cs="Arial" w:ascii="Arial" w:hAnsi="Arial"/>
          <w:sz w:val="22"/>
          <w:szCs w:val="22"/>
        </w:rPr>
        <w:t>3.1.1 Não será causa de inabilitação do licitante a anotação de distribuição de processo de recuperação judicial ou de pedido de homologação de recuperação extrajudicial.</w:t>
      </w:r>
      <w:bookmarkEnd w:id="3"/>
    </w:p>
    <w:p>
      <w:pPr>
        <w:pStyle w:val="Normal"/>
        <w:tabs>
          <w:tab w:val="clear" w:pos="708"/>
          <w:tab w:val="left" w:pos="1440" w:leader="none"/>
        </w:tabs>
        <w:snapToGrid w:val="false"/>
        <w:spacing w:lineRule="auto" w:line="240"/>
        <w:ind w:end="565"/>
        <w:jc w:val="both"/>
        <w:rPr>
          <w:color w:val="000000"/>
        </w:rPr>
      </w:pPr>
      <w:r>
        <w:rPr>
          <w:rFonts w:cs="Arial" w:ascii="Arial" w:hAnsi="Arial"/>
          <w:color w:val="000000"/>
          <w:sz w:val="22"/>
          <w:szCs w:val="22"/>
        </w:rPr>
        <w:t>3.2 Balanço patrimonial, demonstração de resultado de exercício e demais demonstrações contábeis dos 2 (dois) últimos exercícios sociais, vedada a sua substituição por balancetes ou balanços provisórios.</w:t>
      </w:r>
    </w:p>
    <w:p>
      <w:pPr>
        <w:pStyle w:val="Normal"/>
        <w:tabs>
          <w:tab w:val="clear" w:pos="708"/>
          <w:tab w:val="left" w:pos="1440" w:leader="none"/>
        </w:tabs>
        <w:snapToGrid w:val="false"/>
        <w:spacing w:lineRule="auto" w:line="240"/>
        <w:ind w:end="565"/>
        <w:jc w:val="both"/>
        <w:rPr>
          <w:color w:val="000000"/>
        </w:rPr>
      </w:pPr>
      <w:r>
        <w:rPr>
          <w:rFonts w:cs="Arial" w:ascii="Arial" w:hAnsi="Arial"/>
          <w:color w:val="000000"/>
          <w:sz w:val="22"/>
          <w:szCs w:val="22"/>
        </w:rPr>
        <w:t>3.2.1 Os documentos referidos acima limitar-se-ão ao último exercício social no caso de a pessoa jurídica ter sido constituída há menos de 2 (dois) anos.</w:t>
      </w:r>
    </w:p>
    <w:p>
      <w:pPr>
        <w:pStyle w:val="Normal"/>
        <w:tabs>
          <w:tab w:val="clear" w:pos="708"/>
          <w:tab w:val="left" w:pos="1440" w:leader="none"/>
        </w:tabs>
        <w:snapToGrid w:val="false"/>
        <w:spacing w:lineRule="auto" w:line="240"/>
        <w:ind w:end="565"/>
        <w:jc w:val="both"/>
        <w:rPr>
          <w:color w:val="000000"/>
        </w:rPr>
      </w:pPr>
      <w:r>
        <w:rPr>
          <w:rFonts w:cs="Arial" w:ascii="Arial" w:hAnsi="Arial"/>
          <w:color w:val="000000"/>
          <w:sz w:val="22"/>
          <w:szCs w:val="22"/>
        </w:rPr>
        <w:t>3.2.2 Os fornecedores criados no exercício financeiro da contratação deverão atender a todas as exigências da habilitação e ficam autorizados a substituir os demonstrativos contábeis pelo balanço de abertura;</w:t>
      </w:r>
    </w:p>
    <w:p>
      <w:pPr>
        <w:pStyle w:val="Normal"/>
        <w:spacing w:lineRule="auto" w:line="240"/>
        <w:ind w:end="565"/>
        <w:jc w:val="both"/>
        <w:rPr>
          <w:color w:val="000000"/>
        </w:rPr>
      </w:pPr>
      <w:r>
        <w:rPr>
          <w:rFonts w:cs="Arial" w:ascii="Arial" w:hAnsi="Arial"/>
          <w:color w:val="000000"/>
          <w:sz w:val="22"/>
          <w:szCs w:val="22"/>
        </w:rPr>
        <w:t>3.2.2.1</w:t>
      </w:r>
      <w:r>
        <w:rPr>
          <w:rFonts w:eastAsia="Arial" w:cs="Arial" w:ascii="Arial" w:hAnsi="Arial"/>
          <w:color w:val="000000"/>
          <w:sz w:val="22"/>
          <w:szCs w:val="22"/>
        </w:rPr>
        <w:t xml:space="preserve"> Poderá ser apresentado o balanço intermediário, caso autorizado por lei ou pelo contrato/estatuto social.</w:t>
      </w:r>
    </w:p>
    <w:p>
      <w:pPr>
        <w:pStyle w:val="Normal"/>
        <w:spacing w:lineRule="auto" w:line="240"/>
        <w:ind w:end="565"/>
        <w:jc w:val="both"/>
        <w:rPr/>
      </w:pPr>
      <w:r>
        <w:rPr>
          <w:rFonts w:cs="Arial" w:ascii="Arial" w:hAnsi="Arial"/>
          <w:color w:val="000000"/>
          <w:sz w:val="22"/>
          <w:szCs w:val="22"/>
        </w:rPr>
        <w:t xml:space="preserve">3.2.3 Caso o fornecedor seja cooperativa, </w:t>
      </w:r>
      <w:r>
        <w:rPr>
          <w:rFonts w:eastAsia="Arial" w:cs="Arial" w:ascii="Arial" w:hAnsi="Arial"/>
          <w:color w:val="000000"/>
          <w:sz w:val="22"/>
          <w:szCs w:val="22"/>
        </w:rPr>
        <w:t>o balanço e as demais demonstrações contáveis deverão ser acompanhados de cópia do parecer da última auditoria contábil-financeira, conforme dispõe o</w:t>
      </w:r>
      <w:r>
        <w:fldChar w:fldCharType="begin"/>
      </w:r>
      <w:r>
        <w:rPr>
          <w:rStyle w:val="Style"/>
          <w:rFonts w:eastAsia="Arial" w:cs="Arial" w:ascii="Arial" w:hAnsi="Arial"/>
          <w:color w:val="000000"/>
          <w:sz w:val="22"/>
          <w:szCs w:val="22"/>
        </w:rPr>
        <w:instrText xml:space="preserve"> HYPERLINK "https://www.planalto.gov.br/ccivil_03/leis/l5764.htm" \l ":~:text=LEI%20N%C2%BA%205.764%2C%20DE%2016,cooperativas%2C%20e%20d%C3%A1%20outras%20provid%C3%AAncias"</w:instrText>
      </w:r>
      <w:r>
        <w:rPr>
          <w:rStyle w:val="Style"/>
          <w:rFonts w:eastAsia="Arial" w:cs="Arial" w:ascii="Arial" w:hAnsi="Arial"/>
          <w:color w:val="000000"/>
          <w:sz w:val="22"/>
          <w:szCs w:val="22"/>
        </w:rPr>
        <w:fldChar w:fldCharType="separate"/>
      </w:r>
      <w:r>
        <w:rPr>
          <w:rStyle w:val="Style"/>
          <w:rFonts w:eastAsia="Arial" w:cs="Arial" w:ascii="Arial" w:hAnsi="Arial"/>
          <w:color w:val="000000"/>
          <w:sz w:val="22"/>
          <w:szCs w:val="22"/>
        </w:rPr>
        <w:t xml:space="preserve"> </w:t>
      </w:r>
      <w:r>
        <w:rPr>
          <w:rStyle w:val="Style"/>
          <w:rFonts w:eastAsia="Arial" w:cs="Arial" w:ascii="Arial" w:hAnsi="Arial"/>
          <w:color w:val="000000"/>
          <w:sz w:val="22"/>
          <w:szCs w:val="22"/>
        </w:rPr>
        <w:fldChar w:fldCharType="end"/>
      </w:r>
      <w:r>
        <w:fldChar w:fldCharType="begin"/>
      </w:r>
      <w:r>
        <w:rPr>
          <w:rStyle w:val="Style"/>
          <w:rFonts w:eastAsia="Arial" w:cs="Arial" w:ascii="Arial" w:hAnsi="Arial"/>
          <w:color w:val="000000"/>
          <w:sz w:val="22"/>
          <w:szCs w:val="22"/>
        </w:rPr>
        <w:instrText xml:space="preserve"> HYPERLINK "https://www.planalto.gov.br/ccivil_03/leis/l5764.htm" \l ":~:text=LEI%20N%C2%BA%205.764%2C%20DE%2016,cooperativas%2C%20e%20d%C3%A1%20outras%20provid%C3%AAncias"</w:instrText>
      </w:r>
      <w:r>
        <w:rPr>
          <w:rStyle w:val="Style"/>
          <w:rFonts w:eastAsia="Arial" w:cs="Arial" w:ascii="Arial" w:hAnsi="Arial"/>
          <w:color w:val="000000"/>
          <w:sz w:val="22"/>
          <w:szCs w:val="22"/>
        </w:rPr>
        <w:fldChar w:fldCharType="separate"/>
      </w:r>
      <w:r>
        <w:rPr>
          <w:rStyle w:val="Style"/>
          <w:rFonts w:eastAsia="Arial" w:cs="Arial" w:ascii="Arial" w:hAnsi="Arial"/>
          <w:color w:val="000000"/>
          <w:sz w:val="22"/>
          <w:szCs w:val="22"/>
        </w:rPr>
        <w:t>art. 112 da Lei nº 5.764/1971</w:t>
      </w:r>
      <w:r>
        <w:rPr>
          <w:rStyle w:val="Style"/>
          <w:rFonts w:eastAsia="Arial" w:cs="Arial" w:ascii="Arial" w:hAnsi="Arial"/>
          <w:color w:val="000000"/>
          <w:sz w:val="22"/>
          <w:szCs w:val="22"/>
        </w:rPr>
        <w:fldChar w:fldCharType="end"/>
      </w:r>
      <w:r>
        <w:rPr>
          <w:rFonts w:eastAsia="Arial" w:cs="Arial" w:ascii="Arial" w:hAnsi="Arial"/>
          <w:color w:val="000000"/>
          <w:sz w:val="22"/>
          <w:szCs w:val="22"/>
        </w:rPr>
        <w:t>, ou de uma declaração, sob as penas da lei, de que tal auditoria não foi exigida pelo órgão fiscalizador.</w:t>
      </w:r>
    </w:p>
    <w:p>
      <w:pPr>
        <w:pStyle w:val="Normal"/>
        <w:tabs>
          <w:tab w:val="clear" w:pos="708"/>
          <w:tab w:val="left" w:pos="1440" w:leader="none"/>
        </w:tabs>
        <w:snapToGrid w:val="false"/>
        <w:spacing w:lineRule="auto" w:line="240"/>
        <w:ind w:end="565"/>
        <w:jc w:val="both"/>
        <w:rPr>
          <w:color w:val="000000"/>
        </w:rPr>
      </w:pPr>
      <w:r>
        <w:rPr>
          <w:rFonts w:cs="Arial" w:ascii="Arial" w:hAnsi="Arial"/>
          <w:color w:val="000000"/>
          <w:sz w:val="22"/>
          <w:szCs w:val="22"/>
        </w:rPr>
        <w:t>3.2.4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Normal"/>
        <w:tabs>
          <w:tab w:val="clear" w:pos="708"/>
          <w:tab w:val="left" w:pos="1440" w:leader="none"/>
        </w:tabs>
        <w:snapToGrid w:val="false"/>
        <w:spacing w:lineRule="auto" w:line="240"/>
        <w:ind w:end="565"/>
        <w:jc w:val="both"/>
        <w:rPr>
          <w:rFonts w:ascii="Arial" w:hAnsi="Arial" w:cs="Arial"/>
          <w:color w:val="000000"/>
          <w:sz w:val="22"/>
          <w:szCs w:val="22"/>
        </w:rPr>
      </w:pPr>
      <w:r>
        <w:rPr>
          <w:rFonts w:cs="Arial" w:ascii="Arial" w:hAnsi="Arial"/>
          <w:color w:val="000000"/>
          <w:sz w:val="22"/>
          <w:szCs w:val="22"/>
        </w:rPr>
      </w:r>
    </w:p>
    <w:p>
      <w:pPr>
        <w:pStyle w:val="Normal"/>
        <w:tabs>
          <w:tab w:val="clear" w:pos="708"/>
          <w:tab w:val="left" w:pos="1440" w:leader="none"/>
        </w:tabs>
        <w:snapToGrid w:val="false"/>
        <w:spacing w:lineRule="auto" w:line="240"/>
        <w:ind w:end="565"/>
        <w:jc w:val="both"/>
        <w:rPr>
          <w:color w:val="000000"/>
        </w:rPr>
      </w:pPr>
      <w:r>
        <w:rPr>
          <w:rFonts w:cs="Arial" w:ascii="Arial" w:hAnsi="Arial"/>
          <w:color w:val="000000"/>
          <w:sz w:val="22"/>
          <w:szCs w:val="22"/>
        </w:rPr>
        <w:t xml:space="preserve">3.3 Comprovação da boa situação financeira da empresa mediante obtenção de índices de Liquidez Geral (LG), Solvência Geral (SG) e Liquidez Corrente (LC), iguais ou superiores a 1 (um), obtidos pela aplicação das seguintes fórmulas: </w:t>
      </w:r>
    </w:p>
    <w:p>
      <w:pPr>
        <w:pStyle w:val="Normal"/>
        <w:tabs>
          <w:tab w:val="clear" w:pos="708"/>
          <w:tab w:val="left" w:pos="1440" w:leader="none"/>
        </w:tabs>
        <w:snapToGrid w:val="false"/>
        <w:spacing w:lineRule="auto" w:line="240"/>
        <w:ind w:end="565"/>
        <w:jc w:val="both"/>
        <w:rPr>
          <w:rFonts w:ascii="Arial" w:hAnsi="Arial" w:cs="Arial"/>
          <w:color w:val="000000"/>
          <w:sz w:val="22"/>
          <w:szCs w:val="22"/>
        </w:rPr>
      </w:pPr>
      <w:r>
        <w:rPr>
          <w:rFonts w:cs="Arial" w:ascii="Arial" w:hAnsi="Arial"/>
          <w:color w:val="000000"/>
          <w:sz w:val="22"/>
          <w:szCs w:val="22"/>
        </w:rPr>
      </w:r>
    </w:p>
    <w:tbl>
      <w:tblPr>
        <w:tblW w:w="6487" w:type="dxa"/>
        <w:jc w:val="start"/>
        <w:tblInd w:w="708" w:type="dxa"/>
        <w:tblLayout w:type="fixed"/>
        <w:tblCellMar>
          <w:top w:w="0" w:type="dxa"/>
          <w:start w:w="108" w:type="dxa"/>
          <w:bottom w:w="0" w:type="dxa"/>
          <w:end w:w="108" w:type="dxa"/>
        </w:tblCellMar>
        <w:tblLook w:val="04a0" w:firstRow="1" w:noVBand="1" w:lastRow="0" w:firstColumn="1" w:lastColumn="0" w:noHBand="0"/>
      </w:tblPr>
      <w:tblGrid>
        <w:gridCol w:w="2234"/>
        <w:gridCol w:w="4253"/>
      </w:tblGrid>
      <w:tr>
        <w:trPr/>
        <w:tc>
          <w:tcPr>
            <w:tcW w:w="2234" w:type="dxa"/>
            <w:vMerge w:val="restart"/>
            <w:tcBorders/>
            <w:vAlign w:val="center"/>
          </w:tcPr>
          <w:p>
            <w:pPr>
              <w:pStyle w:val="Normal"/>
              <w:tabs>
                <w:tab w:val="clear" w:pos="708"/>
                <w:tab w:val="left" w:pos="1440" w:leader="none"/>
              </w:tabs>
              <w:snapToGrid w:val="false"/>
              <w:spacing w:lineRule="auto" w:line="240" w:before="0" w:after="160"/>
              <w:ind w:start="567" w:end="565"/>
              <w:jc w:val="both"/>
              <w:rPr>
                <w:color w:val="000000"/>
              </w:rPr>
            </w:pPr>
            <w:r>
              <w:rPr>
                <w:rFonts w:eastAsia="Calibri" w:cs="Arial" w:ascii="Arial" w:hAnsi="Arial"/>
                <w:color w:val="000000"/>
                <w:sz w:val="22"/>
                <w:szCs w:val="22"/>
              </w:rPr>
              <w:t>LG =</w:t>
            </w:r>
          </w:p>
        </w:tc>
        <w:tc>
          <w:tcPr>
            <w:tcW w:w="4253" w:type="dxa"/>
            <w:tcBorders>
              <w:bottom w:val="single" w:sz="4" w:space="0" w:color="000000"/>
            </w:tcBorders>
            <w:vAlign w:val="bottom"/>
          </w:tcPr>
          <w:p>
            <w:pPr>
              <w:pStyle w:val="Normal"/>
              <w:tabs>
                <w:tab w:val="clear" w:pos="708"/>
                <w:tab w:val="left" w:pos="1440" w:leader="none"/>
              </w:tabs>
              <w:snapToGrid w:val="false"/>
              <w:spacing w:lineRule="auto" w:line="240" w:before="0" w:after="160"/>
              <w:ind w:start="567" w:end="565"/>
              <w:jc w:val="both"/>
              <w:rPr>
                <w:color w:val="000000"/>
              </w:rPr>
            </w:pPr>
            <w:r>
              <w:rPr>
                <w:rFonts w:eastAsia="Calibri" w:cs="Arial" w:ascii="Arial" w:hAnsi="Arial"/>
                <w:color w:val="000000"/>
                <w:sz w:val="22"/>
                <w:szCs w:val="22"/>
              </w:rPr>
              <w:t>Ativo Circulante + Realizável a Longo Prazo</w:t>
            </w:r>
          </w:p>
        </w:tc>
      </w:tr>
      <w:tr>
        <w:trPr/>
        <w:tc>
          <w:tcPr>
            <w:tcW w:w="2234" w:type="dxa"/>
            <w:vMerge w:val="continue"/>
            <w:tcBorders/>
          </w:tcPr>
          <w:p>
            <w:pPr>
              <w:pStyle w:val="Normal"/>
              <w:tabs>
                <w:tab w:val="clear" w:pos="708"/>
                <w:tab w:val="left" w:pos="1440" w:leader="none"/>
              </w:tabs>
              <w:snapToGrid w:val="false"/>
              <w:spacing w:lineRule="auto" w:line="240" w:before="0" w:after="160"/>
              <w:ind w:start="567" w:end="565"/>
              <w:jc w:val="both"/>
              <w:rPr>
                <w:rFonts w:ascii="Arial" w:hAnsi="Arial" w:eastAsia="Calibri" w:cs="Arial"/>
                <w:color w:val="000000"/>
                <w:sz w:val="22"/>
                <w:szCs w:val="22"/>
              </w:rPr>
            </w:pPr>
            <w:r>
              <w:rPr>
                <w:rFonts w:eastAsia="Calibri" w:cs="Arial" w:ascii="Arial" w:hAnsi="Arial"/>
                <w:color w:val="000000"/>
                <w:sz w:val="22"/>
                <w:szCs w:val="22"/>
              </w:rPr>
            </w:r>
          </w:p>
        </w:tc>
        <w:tc>
          <w:tcPr>
            <w:tcW w:w="4253" w:type="dxa"/>
            <w:tcBorders>
              <w:top w:val="single" w:sz="4" w:space="0" w:color="000000"/>
            </w:tcBorders>
          </w:tcPr>
          <w:p>
            <w:pPr>
              <w:pStyle w:val="Normal"/>
              <w:tabs>
                <w:tab w:val="clear" w:pos="708"/>
                <w:tab w:val="left" w:pos="1440" w:leader="none"/>
              </w:tabs>
              <w:snapToGrid w:val="false"/>
              <w:spacing w:lineRule="auto" w:line="240" w:beforeAutospacing="1" w:after="0"/>
              <w:ind w:start="567" w:end="565"/>
              <w:jc w:val="both"/>
              <w:rPr>
                <w:color w:val="000000"/>
              </w:rPr>
            </w:pPr>
            <w:r>
              <w:rPr>
                <w:rFonts w:eastAsia="Calibri" w:cs="Arial" w:ascii="Arial" w:hAnsi="Arial"/>
                <w:color w:val="000000"/>
                <w:sz w:val="22"/>
                <w:szCs w:val="22"/>
              </w:rPr>
              <w:t>Passivo Circulante + Passivo Não Circulante</w:t>
            </w:r>
          </w:p>
        </w:tc>
      </w:tr>
    </w:tbl>
    <w:p>
      <w:pPr>
        <w:pStyle w:val="Normal"/>
        <w:tabs>
          <w:tab w:val="clear" w:pos="708"/>
          <w:tab w:val="left" w:pos="1440" w:leader="none"/>
        </w:tabs>
        <w:snapToGrid w:val="false"/>
        <w:spacing w:lineRule="auto" w:line="240"/>
        <w:ind w:start="141" w:end="565"/>
        <w:jc w:val="both"/>
        <w:rPr>
          <w:rFonts w:ascii="Arial" w:hAnsi="Arial" w:cs="Arial"/>
          <w:color w:val="000000"/>
          <w:sz w:val="22"/>
          <w:szCs w:val="22"/>
        </w:rPr>
      </w:pPr>
      <w:r>
        <w:rPr>
          <w:rFonts w:cs="Arial" w:ascii="Arial" w:hAnsi="Arial"/>
          <w:color w:val="000000"/>
          <w:sz w:val="22"/>
          <w:szCs w:val="22"/>
        </w:rPr>
      </w:r>
    </w:p>
    <w:tbl>
      <w:tblPr>
        <w:tblW w:w="6629" w:type="dxa"/>
        <w:jc w:val="start"/>
        <w:tblInd w:w="708" w:type="dxa"/>
        <w:tblLayout w:type="fixed"/>
        <w:tblCellMar>
          <w:top w:w="0" w:type="dxa"/>
          <w:start w:w="108" w:type="dxa"/>
          <w:bottom w:w="0" w:type="dxa"/>
          <w:end w:w="108" w:type="dxa"/>
        </w:tblCellMar>
        <w:tblLook w:val="04a0" w:firstRow="1" w:noVBand="1" w:lastRow="0" w:firstColumn="1" w:lastColumn="0" w:noHBand="0"/>
      </w:tblPr>
      <w:tblGrid>
        <w:gridCol w:w="2235"/>
        <w:gridCol w:w="4394"/>
      </w:tblGrid>
      <w:tr>
        <w:trPr>
          <w:cantSplit/>
        </w:trPr>
        <w:tc>
          <w:tcPr>
            <w:tcW w:w="2235" w:type="dxa"/>
            <w:vMerge w:val="restart"/>
            <w:tcBorders/>
            <w:vAlign w:val="center"/>
          </w:tcPr>
          <w:p>
            <w:pPr>
              <w:pStyle w:val="Normal"/>
              <w:tabs>
                <w:tab w:val="clear" w:pos="708"/>
                <w:tab w:val="left" w:pos="1440" w:leader="none"/>
              </w:tabs>
              <w:snapToGrid w:val="false"/>
              <w:spacing w:lineRule="auto" w:line="240" w:before="0" w:after="160"/>
              <w:ind w:start="567" w:end="565"/>
              <w:jc w:val="both"/>
              <w:rPr>
                <w:color w:val="000000"/>
              </w:rPr>
            </w:pPr>
            <w:r>
              <w:rPr>
                <w:rFonts w:eastAsia="Calibri" w:cs="Arial" w:ascii="Arial" w:hAnsi="Arial"/>
                <w:color w:val="000000"/>
                <w:sz w:val="22"/>
                <w:szCs w:val="22"/>
              </w:rPr>
              <w:t>SG =</w:t>
            </w:r>
          </w:p>
        </w:tc>
        <w:tc>
          <w:tcPr>
            <w:tcW w:w="4394" w:type="dxa"/>
            <w:tcBorders>
              <w:bottom w:val="single" w:sz="4" w:space="0" w:color="000000"/>
            </w:tcBorders>
            <w:vAlign w:val="bottom"/>
          </w:tcPr>
          <w:p>
            <w:pPr>
              <w:pStyle w:val="Normal"/>
              <w:tabs>
                <w:tab w:val="clear" w:pos="708"/>
                <w:tab w:val="left" w:pos="1440" w:leader="none"/>
              </w:tabs>
              <w:snapToGrid w:val="false"/>
              <w:spacing w:lineRule="auto" w:line="240" w:before="0" w:after="160"/>
              <w:ind w:start="567" w:end="565"/>
              <w:jc w:val="both"/>
              <w:rPr>
                <w:color w:val="000000"/>
              </w:rPr>
            </w:pPr>
            <w:r>
              <w:rPr>
                <w:rFonts w:eastAsia="Calibri" w:cs="Arial" w:ascii="Arial" w:hAnsi="Arial"/>
                <w:color w:val="000000"/>
                <w:sz w:val="22"/>
                <w:szCs w:val="22"/>
              </w:rPr>
              <w:t>Ativo Total</w:t>
            </w:r>
          </w:p>
        </w:tc>
      </w:tr>
      <w:tr>
        <w:trPr>
          <w:cantSplit/>
        </w:trPr>
        <w:tc>
          <w:tcPr>
            <w:tcW w:w="2235" w:type="dxa"/>
            <w:vMerge w:val="continue"/>
            <w:tcBorders/>
          </w:tcPr>
          <w:p>
            <w:pPr>
              <w:pStyle w:val="Normal"/>
              <w:tabs>
                <w:tab w:val="clear" w:pos="708"/>
                <w:tab w:val="left" w:pos="1440" w:leader="none"/>
              </w:tabs>
              <w:snapToGrid w:val="false"/>
              <w:spacing w:lineRule="auto" w:line="240" w:before="0" w:after="160"/>
              <w:ind w:start="567" w:end="565"/>
              <w:jc w:val="both"/>
              <w:rPr>
                <w:rFonts w:ascii="Arial" w:hAnsi="Arial" w:eastAsia="Calibri" w:cs="Arial"/>
                <w:color w:val="000000"/>
                <w:sz w:val="22"/>
                <w:szCs w:val="22"/>
              </w:rPr>
            </w:pPr>
            <w:r>
              <w:rPr>
                <w:rFonts w:eastAsia="Calibri" w:cs="Arial" w:ascii="Arial" w:hAnsi="Arial"/>
                <w:color w:val="000000"/>
                <w:sz w:val="22"/>
                <w:szCs w:val="22"/>
              </w:rPr>
            </w:r>
          </w:p>
        </w:tc>
        <w:tc>
          <w:tcPr>
            <w:tcW w:w="4394" w:type="dxa"/>
            <w:tcBorders>
              <w:top w:val="single" w:sz="4" w:space="0" w:color="000000"/>
            </w:tcBorders>
          </w:tcPr>
          <w:p>
            <w:pPr>
              <w:pStyle w:val="Normal"/>
              <w:tabs>
                <w:tab w:val="clear" w:pos="708"/>
                <w:tab w:val="left" w:pos="1440" w:leader="none"/>
              </w:tabs>
              <w:snapToGrid w:val="false"/>
              <w:spacing w:lineRule="auto" w:line="240" w:beforeAutospacing="1" w:after="0"/>
              <w:ind w:start="567" w:end="565"/>
              <w:jc w:val="both"/>
              <w:rPr>
                <w:color w:val="000000"/>
              </w:rPr>
            </w:pPr>
            <w:r>
              <w:rPr>
                <w:rFonts w:eastAsia="Calibri" w:cs="Arial" w:ascii="Arial" w:hAnsi="Arial"/>
                <w:color w:val="000000"/>
                <w:sz w:val="22"/>
                <w:szCs w:val="22"/>
              </w:rPr>
              <w:t>Passivo Circulante + Passivo Não Circulante</w:t>
            </w:r>
          </w:p>
        </w:tc>
      </w:tr>
    </w:tbl>
    <w:p>
      <w:pPr>
        <w:pStyle w:val="Normal"/>
        <w:tabs>
          <w:tab w:val="clear" w:pos="708"/>
          <w:tab w:val="left" w:pos="1440" w:leader="none"/>
        </w:tabs>
        <w:snapToGrid w:val="false"/>
        <w:spacing w:lineRule="auto" w:line="240"/>
        <w:ind w:start="141" w:end="565"/>
        <w:jc w:val="both"/>
        <w:rPr>
          <w:rFonts w:ascii="Arial" w:hAnsi="Arial" w:cs="Arial"/>
          <w:color w:val="000000"/>
          <w:sz w:val="22"/>
          <w:szCs w:val="22"/>
        </w:rPr>
      </w:pPr>
      <w:r>
        <w:rPr>
          <w:rFonts w:cs="Arial" w:ascii="Arial" w:hAnsi="Arial"/>
          <w:color w:val="000000"/>
          <w:sz w:val="22"/>
          <w:szCs w:val="22"/>
        </w:rPr>
      </w:r>
    </w:p>
    <w:tbl>
      <w:tblPr>
        <w:tblW w:w="4786" w:type="dxa"/>
        <w:jc w:val="start"/>
        <w:tblInd w:w="708" w:type="dxa"/>
        <w:tblLayout w:type="fixed"/>
        <w:tblCellMar>
          <w:top w:w="0" w:type="dxa"/>
          <w:start w:w="108" w:type="dxa"/>
          <w:bottom w:w="0" w:type="dxa"/>
          <w:end w:w="108" w:type="dxa"/>
        </w:tblCellMar>
        <w:tblLook w:val="04a0" w:firstRow="1" w:noVBand="1" w:lastRow="0" w:firstColumn="1" w:lastColumn="0" w:noHBand="0"/>
      </w:tblPr>
      <w:tblGrid>
        <w:gridCol w:w="2235"/>
        <w:gridCol w:w="2551"/>
      </w:tblGrid>
      <w:tr>
        <w:trPr/>
        <w:tc>
          <w:tcPr>
            <w:tcW w:w="2235" w:type="dxa"/>
            <w:vMerge w:val="restart"/>
            <w:tcBorders/>
            <w:vAlign w:val="center"/>
          </w:tcPr>
          <w:p>
            <w:pPr>
              <w:pStyle w:val="Normal"/>
              <w:tabs>
                <w:tab w:val="clear" w:pos="708"/>
                <w:tab w:val="left" w:pos="1440" w:leader="none"/>
              </w:tabs>
              <w:snapToGrid w:val="false"/>
              <w:spacing w:lineRule="auto" w:line="240" w:before="0" w:after="160"/>
              <w:ind w:start="567" w:end="565"/>
              <w:jc w:val="both"/>
              <w:rPr>
                <w:color w:val="000000"/>
              </w:rPr>
            </w:pPr>
            <w:r>
              <w:rPr>
                <w:rFonts w:eastAsia="Calibri" w:cs="Arial" w:ascii="Arial" w:hAnsi="Arial"/>
                <w:color w:val="000000"/>
                <w:sz w:val="22"/>
                <w:szCs w:val="22"/>
              </w:rPr>
              <w:t>LC =</w:t>
            </w:r>
          </w:p>
        </w:tc>
        <w:tc>
          <w:tcPr>
            <w:tcW w:w="2551" w:type="dxa"/>
            <w:tcBorders>
              <w:bottom w:val="single" w:sz="4" w:space="0" w:color="000000"/>
            </w:tcBorders>
            <w:vAlign w:val="bottom"/>
          </w:tcPr>
          <w:p>
            <w:pPr>
              <w:pStyle w:val="Normal"/>
              <w:tabs>
                <w:tab w:val="clear" w:pos="708"/>
                <w:tab w:val="left" w:pos="1440" w:leader="none"/>
              </w:tabs>
              <w:snapToGrid w:val="false"/>
              <w:spacing w:lineRule="auto" w:line="240" w:before="0" w:after="160"/>
              <w:ind w:start="567" w:end="565"/>
              <w:jc w:val="both"/>
              <w:rPr>
                <w:color w:val="000000"/>
              </w:rPr>
            </w:pPr>
            <w:r>
              <w:rPr>
                <w:rFonts w:eastAsia="Calibri" w:cs="Arial" w:ascii="Arial" w:hAnsi="Arial"/>
                <w:color w:val="000000"/>
                <w:sz w:val="22"/>
                <w:szCs w:val="22"/>
              </w:rPr>
              <w:t>Ativo Circulante</w:t>
            </w:r>
          </w:p>
        </w:tc>
      </w:tr>
      <w:tr>
        <w:trPr/>
        <w:tc>
          <w:tcPr>
            <w:tcW w:w="2235" w:type="dxa"/>
            <w:vMerge w:val="continue"/>
            <w:tcBorders/>
          </w:tcPr>
          <w:p>
            <w:pPr>
              <w:pStyle w:val="Normal"/>
              <w:tabs>
                <w:tab w:val="clear" w:pos="708"/>
                <w:tab w:val="left" w:pos="1440" w:leader="none"/>
              </w:tabs>
              <w:snapToGrid w:val="false"/>
              <w:spacing w:lineRule="auto" w:line="240" w:before="0" w:after="160"/>
              <w:ind w:start="567" w:end="565"/>
              <w:jc w:val="both"/>
              <w:rPr>
                <w:rFonts w:ascii="Arial" w:hAnsi="Arial" w:eastAsia="Calibri" w:cs="Arial"/>
                <w:color w:val="000000"/>
                <w:sz w:val="22"/>
                <w:szCs w:val="22"/>
              </w:rPr>
            </w:pPr>
            <w:r>
              <w:rPr>
                <w:rFonts w:eastAsia="Calibri" w:cs="Arial" w:ascii="Arial" w:hAnsi="Arial"/>
                <w:color w:val="000000"/>
                <w:sz w:val="22"/>
                <w:szCs w:val="22"/>
              </w:rPr>
            </w:r>
          </w:p>
        </w:tc>
        <w:tc>
          <w:tcPr>
            <w:tcW w:w="2551" w:type="dxa"/>
            <w:tcBorders>
              <w:top w:val="single" w:sz="4" w:space="0" w:color="000000"/>
            </w:tcBorders>
          </w:tcPr>
          <w:p>
            <w:pPr>
              <w:pStyle w:val="Normal"/>
              <w:tabs>
                <w:tab w:val="clear" w:pos="708"/>
                <w:tab w:val="left" w:pos="1440" w:leader="none"/>
              </w:tabs>
              <w:snapToGrid w:val="false"/>
              <w:spacing w:lineRule="auto" w:line="240" w:beforeAutospacing="1" w:after="0"/>
              <w:ind w:start="567" w:end="565"/>
              <w:jc w:val="both"/>
              <w:rPr>
                <w:color w:val="000000"/>
              </w:rPr>
            </w:pPr>
            <w:r>
              <w:rPr>
                <w:rFonts w:eastAsia="Calibri" w:cs="Arial" w:ascii="Arial" w:hAnsi="Arial"/>
                <w:color w:val="000000"/>
                <w:sz w:val="22"/>
                <w:szCs w:val="22"/>
              </w:rPr>
              <w:t>Passivo Circulante</w:t>
            </w:r>
          </w:p>
        </w:tc>
      </w:tr>
    </w:tbl>
    <w:p>
      <w:pPr>
        <w:pStyle w:val="pf0"/>
        <w:spacing w:beforeAutospacing="0" w:before="0" w:afterAutospacing="0" w:after="0"/>
        <w:ind w:start="567" w:end="565"/>
        <w:jc w:val="both"/>
        <w:rPr>
          <w:rFonts w:ascii="Arial" w:hAnsi="Arial" w:cs="Arial"/>
          <w:color w:val="000000"/>
          <w:sz w:val="22"/>
          <w:szCs w:val="22"/>
        </w:rPr>
      </w:pPr>
      <w:r>
        <w:rPr>
          <w:rFonts w:cs="Arial" w:ascii="Arial" w:hAnsi="Arial"/>
          <w:color w:val="000000"/>
          <w:sz w:val="22"/>
          <w:szCs w:val="22"/>
        </w:rPr>
      </w:r>
    </w:p>
    <w:p>
      <w:pPr>
        <w:pStyle w:val="pf0"/>
        <w:spacing w:beforeAutospacing="0" w:before="0" w:afterAutospacing="0" w:after="0"/>
        <w:ind w:end="565"/>
        <w:jc w:val="both"/>
        <w:rPr>
          <w:color w:val="000000"/>
        </w:rPr>
      </w:pPr>
      <w:r>
        <w:rPr>
          <w:rFonts w:cs="Arial" w:ascii="Arial" w:hAnsi="Arial"/>
          <w:color w:val="000000"/>
          <w:sz w:val="22"/>
          <w:szCs w:val="22"/>
        </w:rPr>
        <w:t>3.3.1 Caso seja apresentado resultado inferior ou igual a 1(um) em qualquer dos índices de Liquidez Geral (LG), Solvência Geral (SG) e Liquidez Corrente (LC), deverá ser comprovado capital ou patrimônio líquido mínimo de 10(dez por cento) do valor total estimado da contratação ou do item pertinente.</w:t>
      </w:r>
    </w:p>
    <w:p>
      <w:pPr>
        <w:pStyle w:val="pf0"/>
        <w:spacing w:beforeAutospacing="0" w:before="0" w:afterAutospacing="0" w:after="0"/>
        <w:ind w:start="567" w:end="565"/>
        <w:jc w:val="both"/>
        <w:rPr>
          <w:rFonts w:ascii="Arial" w:hAnsi="Arial" w:cs="Arial"/>
          <w:i w:val="false"/>
          <w:iCs w:val="false"/>
          <w:color w:val="000000"/>
          <w:sz w:val="22"/>
          <w:szCs w:val="22"/>
        </w:rPr>
      </w:pPr>
      <w:r>
        <w:rPr>
          <w:rFonts w:cs="Arial" w:ascii="Arial" w:hAnsi="Arial"/>
          <w:i w:val="false"/>
          <w:iCs w:val="false"/>
          <w:color w:val="000000"/>
          <w:sz w:val="22"/>
          <w:szCs w:val="22"/>
        </w:rPr>
      </w:r>
    </w:p>
    <w:p>
      <w:pPr>
        <w:pStyle w:val="pf0"/>
        <w:spacing w:beforeAutospacing="0" w:before="0" w:afterAutospacing="0" w:after="0"/>
        <w:ind w:end="565"/>
        <w:contextualSpacing/>
        <w:jc w:val="both"/>
        <w:rPr>
          <w:color w:val="000000"/>
        </w:rPr>
      </w:pPr>
      <w:r>
        <w:rPr>
          <w:rFonts w:cs="Arial" w:ascii="Arial" w:hAnsi="Arial"/>
          <w:color w:val="000000"/>
          <w:sz w:val="22"/>
          <w:szCs w:val="22"/>
          <w:lang w:eastAsia="en-US"/>
        </w:rPr>
        <w:t>3.3.2 O atendimento dos índices econômicos previstos neste item deverá ser atestado mediante declaração assinada por profissional habilitado da área contábil, apresentada pelo fornecedor.</w:t>
      </w:r>
    </w:p>
    <w:p>
      <w:pPr>
        <w:pStyle w:val="pf0"/>
        <w:spacing w:beforeAutospacing="0" w:before="0" w:afterAutospacing="0" w:after="0"/>
        <w:ind w:end="565"/>
        <w:jc w:val="both"/>
        <w:rPr>
          <w:rFonts w:ascii="Arial" w:hAnsi="Arial" w:cs="Arial"/>
          <w:color w:val="000000"/>
          <w:sz w:val="22"/>
          <w:szCs w:val="22"/>
          <w:lang w:eastAsia="en-US"/>
        </w:rPr>
      </w:pPr>
      <w:r>
        <w:rPr>
          <w:rFonts w:cs="Arial" w:ascii="Arial" w:hAnsi="Arial"/>
          <w:color w:val="000000"/>
          <w:sz w:val="22"/>
          <w:szCs w:val="22"/>
          <w:lang w:eastAsia="en-US"/>
        </w:rPr>
      </w:r>
    </w:p>
    <w:p>
      <w:pPr>
        <w:pStyle w:val="pf0"/>
        <w:spacing w:beforeAutospacing="0" w:before="0" w:afterAutospacing="0" w:after="0"/>
        <w:ind w:start="567" w:end="565"/>
        <w:jc w:val="both"/>
        <w:rPr>
          <w:rFonts w:ascii="Arial" w:hAnsi="Arial" w:cs="Arial"/>
          <w:i/>
          <w:iCs/>
          <w:color w:val="000000"/>
          <w:sz w:val="22"/>
          <w:szCs w:val="22"/>
        </w:rPr>
      </w:pPr>
      <w:r>
        <w:rPr>
          <w:rFonts w:cs="Arial" w:ascii="Arial" w:hAnsi="Arial"/>
          <w:i/>
          <w:iCs/>
          <w:color w:val="000000"/>
          <w:sz w:val="22"/>
          <w:szCs w:val="22"/>
        </w:rPr>
      </w:r>
    </w:p>
    <w:p>
      <w:pPr>
        <w:pStyle w:val="pf0"/>
        <w:spacing w:beforeAutospacing="0" w:before="0" w:afterAutospacing="0" w:after="0"/>
        <w:contextualSpacing/>
        <w:jc w:val="both"/>
        <w:rPr>
          <w:color w:val="000000"/>
        </w:rPr>
      </w:pPr>
      <w:r>
        <w:rPr>
          <w:rFonts w:cs="Arial" w:ascii="Arial" w:hAnsi="Arial"/>
          <w:b/>
          <w:bCs/>
          <w:color w:val="000000"/>
          <w:sz w:val="22"/>
          <w:szCs w:val="22"/>
        </w:rPr>
        <w:t>4. HABILITAÇÃO TÉCNICA</w:t>
      </w:r>
    </w:p>
    <w:p>
      <w:pPr>
        <w:pStyle w:val="PADRO"/>
        <w:keepNext w:val="false"/>
        <w:widowControl/>
        <w:spacing w:lineRule="auto" w:line="240" w:before="0" w:after="0"/>
        <w:ind w:hanging="0"/>
        <w:contextualSpacing/>
        <w:rPr>
          <w:rFonts w:ascii="Arial" w:hAnsi="Arial" w:cs="Arial"/>
          <w:color w:val="000000"/>
          <w:sz w:val="22"/>
          <w:szCs w:val="22"/>
        </w:rPr>
      </w:pPr>
      <w:r>
        <w:rPr>
          <w:rFonts w:cs="Arial" w:ascii="Arial" w:hAnsi="Arial"/>
          <w:color w:val="000000"/>
          <w:sz w:val="22"/>
          <w:szCs w:val="22"/>
        </w:rPr>
      </w:r>
      <w:bookmarkStart w:id="4" w:name="_Hlk154233180"/>
    </w:p>
    <w:p>
      <w:pPr>
        <w:pStyle w:val="PADRO"/>
        <w:keepNext w:val="false"/>
        <w:widowControl/>
        <w:spacing w:lineRule="auto" w:line="240" w:before="0" w:after="0"/>
        <w:ind w:hanging="0"/>
        <w:contextualSpacing/>
        <w:rPr>
          <w:color w:val="000000"/>
        </w:rPr>
      </w:pPr>
      <w:r>
        <w:rPr>
          <w:rFonts w:cs="Arial" w:ascii="Arial" w:hAnsi="Arial"/>
          <w:color w:val="000000"/>
          <w:sz w:val="22"/>
          <w:szCs w:val="22"/>
        </w:rPr>
        <w:t>4.1</w:t>
      </w:r>
      <w:r>
        <w:rPr>
          <w:rFonts w:cs="Arial" w:ascii="Arial" w:hAnsi="Arial"/>
          <w:bCs/>
          <w:color w:val="000000"/>
          <w:sz w:val="22"/>
          <w:szCs w:val="22"/>
        </w:rPr>
        <w:t xml:space="preserve"> </w:t>
      </w:r>
      <w:r>
        <w:rPr>
          <w:rFonts w:cs="Arial" w:ascii="Arial" w:hAnsi="Arial"/>
          <w:color w:val="000000"/>
          <w:sz w:val="22"/>
          <w:szCs w:val="22"/>
        </w:rPr>
        <w:t>Para fins de comprovação de habilitação técnica, deverão ser apresentados os seguintes documentos:</w:t>
      </w:r>
    </w:p>
    <w:p>
      <w:pPr>
        <w:pStyle w:val="PADRO"/>
        <w:keepNext w:val="false"/>
        <w:widowControl/>
        <w:spacing w:lineRule="auto" w:line="240" w:before="0" w:after="0"/>
        <w:contextualSpacing/>
        <w:rPr>
          <w:color w:val="000000"/>
        </w:rPr>
      </w:pPr>
      <w:r>
        <w:rPr>
          <w:rFonts w:cs="Arial" w:ascii="Arial" w:hAnsi="Arial"/>
          <w:color w:val="000000"/>
          <w:sz w:val="22"/>
          <w:szCs w:val="22"/>
        </w:rPr>
        <w:t>a) Um ou mais atestados de capacidade técnica, emitidos por pessoa jurídica de direito público ou privado, que comprove (m) a aptidão pertinente e compatível em características, qualidades, quantidades e prazos com o objeto deste Termo de Referência, na forma do art. 67 da Lei nº 14.133/21.</w:t>
      </w:r>
    </w:p>
    <w:p>
      <w:pPr>
        <w:pStyle w:val="PADRO"/>
        <w:keepNext w:val="false"/>
        <w:widowControl/>
        <w:spacing w:lineRule="auto" w:line="240" w:before="0" w:after="0"/>
        <w:contextualSpacing/>
        <w:rPr>
          <w:color w:val="000000"/>
        </w:rPr>
      </w:pPr>
      <w:r>
        <w:rPr>
          <w:rFonts w:cs="Arial" w:ascii="Arial" w:hAnsi="Arial"/>
          <w:color w:val="000000"/>
          <w:sz w:val="22"/>
          <w:szCs w:val="22"/>
        </w:rPr>
        <w:t>b) A aptidão técnico-operacional deverá ser demonstrada pela execução pretérita de, no mínimo, 50% (cinquenta por cento) do escopo do fornecimento, devendo os atestados trazer a informação das quantidades, prazos e características dos fornecimentos de maneira clara e objetiva.</w:t>
      </w:r>
    </w:p>
    <w:p>
      <w:pPr>
        <w:pStyle w:val="PADRO"/>
        <w:keepNext w:val="false"/>
        <w:widowControl/>
        <w:spacing w:lineRule="auto" w:line="240" w:before="0" w:after="0"/>
        <w:contextualSpacing/>
        <w:rPr>
          <w:color w:val="000000"/>
        </w:rPr>
      </w:pPr>
      <w:r>
        <w:rPr>
          <w:rFonts w:cs="Arial" w:ascii="Arial" w:hAnsi="Arial"/>
          <w:color w:val="000000"/>
          <w:sz w:val="22"/>
          <w:szCs w:val="22"/>
        </w:rPr>
        <w:t>c) Os atestados tratados neste item deverão demonstrar a capacidade da execução do fornecimento da mesma natureza pertinente e compatível em características, qualidades, quantidades e prazos ao objeto, compreendendo a disponibilização e gestão.</w:t>
      </w:r>
    </w:p>
    <w:p>
      <w:pPr>
        <w:pStyle w:val="PADRO"/>
        <w:keepNext w:val="false"/>
        <w:widowControl/>
        <w:spacing w:lineRule="auto" w:line="240" w:before="0" w:after="0"/>
        <w:contextualSpacing/>
        <w:rPr>
          <w:color w:val="000000"/>
        </w:rPr>
      </w:pPr>
      <w:r>
        <w:rPr>
          <w:rFonts w:cs="Arial" w:ascii="Arial" w:hAnsi="Arial"/>
          <w:color w:val="000000"/>
          <w:sz w:val="22"/>
          <w:szCs w:val="22"/>
        </w:rPr>
        <w:t>d) Poderá ser apresentado mais de um atestado de capacidade técnica, sendo aceito o seu somatório, ficando dispensada a obrigatoriedade de comprovação de execução concomitante ou em período aproximado do objeto.</w:t>
      </w:r>
    </w:p>
    <w:p>
      <w:pPr>
        <w:pStyle w:val="PADRO"/>
        <w:keepNext w:val="false"/>
        <w:widowControl/>
        <w:spacing w:lineRule="auto" w:line="240" w:before="0" w:after="0"/>
        <w:contextualSpacing/>
        <w:rPr>
          <w:color w:val="000000"/>
        </w:rPr>
      </w:pPr>
      <w:r>
        <w:rPr>
          <w:rFonts w:cs="Arial" w:ascii="Arial" w:hAnsi="Arial"/>
          <w:color w:val="000000"/>
          <w:sz w:val="22"/>
          <w:szCs w:val="22"/>
        </w:rPr>
        <w:t xml:space="preserve">e) Os atestados apresentados pelo proponente deverão referir-se a fornecimentos executados no âmbito de sua atividade econômica principal ou secundária especificadas no contrato social vigente e deverão indicar nome, função, endereço, telefone ou e-mail de contato do (s) atestador (es), ou qualquer outro meio para eventual contato pela Administração. </w:t>
      </w:r>
    </w:p>
    <w:p>
      <w:pPr>
        <w:pStyle w:val="PADRO"/>
        <w:spacing w:lineRule="auto" w:line="240" w:before="119" w:after="119"/>
        <w:ind w:hanging="0"/>
        <w:contextualSpacing/>
        <w:rPr>
          <w:rFonts w:ascii="Arial" w:hAnsi="Arial" w:cs="Arial"/>
          <w:color w:val="000000"/>
          <w:sz w:val="22"/>
          <w:szCs w:val="22"/>
        </w:rPr>
      </w:pPr>
      <w:r>
        <w:rPr>
          <w:rFonts w:cs="Arial" w:ascii="Arial" w:hAnsi="Arial"/>
          <w:color w:val="000000"/>
          <w:sz w:val="22"/>
          <w:szCs w:val="22"/>
        </w:rPr>
      </w:r>
    </w:p>
    <w:p>
      <w:pPr>
        <w:pStyle w:val="PADRO"/>
        <w:spacing w:lineRule="auto" w:line="240" w:before="119" w:after="119"/>
        <w:ind w:hanging="0"/>
        <w:contextualSpacing/>
        <w:rPr>
          <w:color w:val="000000"/>
        </w:rPr>
      </w:pPr>
      <w:r>
        <w:rPr>
          <w:rFonts w:cs="Arial" w:ascii="Arial" w:hAnsi="Arial"/>
          <w:b/>
          <w:bCs/>
          <w:color w:val="000000"/>
          <w:sz w:val="22"/>
          <w:szCs w:val="22"/>
        </w:rPr>
        <w:t>4.2 APRESENTAÇÃO DE CATÁLOGOS TÉCNICOS.</w:t>
      </w:r>
    </w:p>
    <w:p>
      <w:pPr>
        <w:pStyle w:val="PADRO"/>
        <w:spacing w:lineRule="auto" w:line="240" w:before="119" w:after="119"/>
        <w:ind w:hanging="0"/>
        <w:contextualSpacing/>
        <w:rPr>
          <w:rFonts w:ascii="Arial" w:hAnsi="Arial" w:cs="Arial"/>
          <w:color w:val="000000"/>
          <w:sz w:val="22"/>
          <w:szCs w:val="22"/>
        </w:rPr>
      </w:pPr>
      <w:r>
        <w:rPr>
          <w:rFonts w:cs="Arial" w:ascii="Arial" w:hAnsi="Arial"/>
          <w:color w:val="000000"/>
          <w:sz w:val="22"/>
          <w:szCs w:val="22"/>
        </w:rPr>
      </w:r>
    </w:p>
    <w:p>
      <w:pPr>
        <w:pStyle w:val="PADRO"/>
        <w:spacing w:lineRule="auto" w:line="240" w:before="119" w:after="119"/>
        <w:ind w:hanging="0"/>
        <w:contextualSpacing/>
        <w:rPr>
          <w:color w:val="000000"/>
        </w:rPr>
      </w:pPr>
      <w:r>
        <w:rPr>
          <w:rFonts w:cs="Arial" w:ascii="Arial" w:hAnsi="Arial"/>
          <w:b/>
          <w:bCs/>
          <w:color w:val="000000"/>
          <w:sz w:val="22"/>
          <w:szCs w:val="22"/>
        </w:rPr>
        <w:t>4.2.1.</w:t>
      </w:r>
      <w:r>
        <w:rPr>
          <w:rFonts w:cs="Arial" w:ascii="Arial" w:hAnsi="Arial"/>
          <w:color w:val="000000"/>
          <w:sz w:val="22"/>
          <w:szCs w:val="22"/>
        </w:rPr>
        <w:t xml:space="preserve"> O licitante deverá apresentar, quando solicitado pelo Pregoeiro, catálogo(s), prospecto(s), ficha(s)técnica(s) ou documentação equivalente emitida pelo fabricante, referentes aos pianos ofertados, contendo informações suficientes para comprovar o atendimento integral das especificações técnicas estabelecidas no Termo de Referência.</w:t>
      </w:r>
    </w:p>
    <w:p>
      <w:pPr>
        <w:pStyle w:val="PADRO"/>
        <w:spacing w:lineRule="auto" w:line="240" w:before="119" w:after="119"/>
        <w:ind w:hanging="0"/>
        <w:contextualSpacing/>
        <w:rPr>
          <w:color w:val="000000"/>
        </w:rPr>
      </w:pPr>
      <w:r>
        <w:rPr>
          <w:rFonts w:cs="Arial" w:ascii="Arial" w:hAnsi="Arial"/>
          <w:b/>
          <w:bCs/>
          <w:color w:val="000000"/>
          <w:sz w:val="22"/>
          <w:szCs w:val="22"/>
        </w:rPr>
        <w:t>4.2.2</w:t>
      </w:r>
      <w:r>
        <w:rPr>
          <w:rFonts w:cs="Arial" w:ascii="Arial" w:hAnsi="Arial"/>
          <w:color w:val="000000"/>
          <w:sz w:val="22"/>
          <w:szCs w:val="22"/>
        </w:rPr>
        <w:t xml:space="preserve"> Os documentos deverão identificar claramente a marca e o modelo ofertados, permitindo a verificação das características técnicas, dimensões, materiais, desempenho, acessórios, funcionalidades e demais requisitos exigidos no edital.</w:t>
      </w:r>
    </w:p>
    <w:p>
      <w:pPr>
        <w:pStyle w:val="PADRO"/>
        <w:spacing w:lineRule="auto" w:line="240" w:before="119" w:after="119"/>
        <w:ind w:hanging="0"/>
        <w:contextualSpacing/>
        <w:rPr>
          <w:color w:val="000000"/>
        </w:rPr>
      </w:pPr>
      <w:r>
        <w:rPr>
          <w:rFonts w:cs="Arial" w:ascii="Arial" w:hAnsi="Arial"/>
          <w:b/>
          <w:bCs/>
          <w:color w:val="000000"/>
          <w:sz w:val="22"/>
          <w:szCs w:val="22"/>
        </w:rPr>
        <w:t>4.2.3</w:t>
      </w:r>
      <w:r>
        <w:rPr>
          <w:rFonts w:cs="Arial" w:ascii="Arial" w:hAnsi="Arial"/>
          <w:color w:val="000000"/>
          <w:sz w:val="22"/>
          <w:szCs w:val="22"/>
        </w:rPr>
        <w:t xml:space="preserve"> Serão aceitos catálogos em meio digital, extraídos do fabricante ou por ele disponibilizados, bem como fichas técnicas, manuais ou documentos oficiais que permitam a adequada avaliação da conformidade do produto ofertado.</w:t>
      </w:r>
    </w:p>
    <w:p>
      <w:pPr>
        <w:pStyle w:val="PADRO"/>
        <w:spacing w:lineRule="auto" w:line="240" w:before="119" w:after="119"/>
        <w:ind w:hanging="0"/>
        <w:contextualSpacing/>
        <w:rPr>
          <w:color w:val="000000"/>
        </w:rPr>
      </w:pPr>
      <w:r>
        <w:rPr>
          <w:rFonts w:cs="Arial" w:ascii="Arial" w:hAnsi="Arial"/>
          <w:b/>
          <w:bCs/>
          <w:color w:val="000000"/>
          <w:sz w:val="22"/>
          <w:szCs w:val="22"/>
        </w:rPr>
        <w:t>4.2.4</w:t>
      </w:r>
      <w:r>
        <w:rPr>
          <w:rFonts w:cs="Arial" w:ascii="Arial" w:hAnsi="Arial"/>
          <w:color w:val="000000"/>
          <w:sz w:val="22"/>
          <w:szCs w:val="22"/>
        </w:rPr>
        <w:t xml:space="preserve"> Caso as informações constantes dos catálogos não sejam suficientes para comprovar o atendimento das especificações técnicas, o Pregoeiro poderá promover diligência, nos termos da Lei nº 14.133/2021, para esclarecimento ou complementação das informações, vedada a alteração da proposta.</w:t>
      </w:r>
    </w:p>
    <w:p>
      <w:pPr>
        <w:pStyle w:val="PADRO"/>
        <w:spacing w:lineRule="auto" w:line="240" w:before="119" w:after="119"/>
        <w:ind w:hanging="0"/>
        <w:contextualSpacing/>
        <w:rPr>
          <w:color w:val="000000"/>
        </w:rPr>
      </w:pPr>
      <w:r>
        <w:rPr>
          <w:rFonts w:cs="Arial" w:ascii="Arial" w:hAnsi="Arial"/>
          <w:b/>
          <w:bCs/>
          <w:color w:val="000000"/>
          <w:sz w:val="22"/>
          <w:szCs w:val="22"/>
        </w:rPr>
        <w:t>4.2.5</w:t>
      </w:r>
      <w:r>
        <w:rPr>
          <w:rFonts w:cs="Arial" w:ascii="Arial" w:hAnsi="Arial"/>
          <w:color w:val="000000"/>
          <w:sz w:val="22"/>
          <w:szCs w:val="22"/>
        </w:rPr>
        <w:t xml:space="preserve"> A não apresentação dos documentos solicitados ou a constatação de que o produto ofertado não atende às especificações técnicas previstas no Termo de Referência implicará a inabilitação do licitante. </w:t>
      </w:r>
    </w:p>
    <w:p>
      <w:pPr>
        <w:pStyle w:val="PADRO"/>
        <w:spacing w:lineRule="auto" w:line="240" w:before="119" w:after="119"/>
        <w:ind w:hanging="0"/>
        <w:contextualSpacing/>
        <w:rPr>
          <w:rFonts w:ascii="Arial" w:hAnsi="Arial" w:cs="Arial"/>
          <w:color w:val="000000"/>
          <w:sz w:val="22"/>
          <w:szCs w:val="22"/>
        </w:rPr>
      </w:pPr>
      <w:r>
        <w:rPr>
          <w:rFonts w:cs="Arial" w:ascii="Arial" w:hAnsi="Arial"/>
          <w:color w:val="000000"/>
          <w:sz w:val="22"/>
          <w:szCs w:val="22"/>
        </w:rPr>
      </w:r>
    </w:p>
    <w:p>
      <w:pPr>
        <w:pStyle w:val="PADRO"/>
        <w:spacing w:lineRule="auto" w:line="240" w:before="119" w:after="119"/>
        <w:ind w:hanging="0"/>
        <w:contextualSpacing/>
        <w:rPr>
          <w:color w:val="000000"/>
        </w:rPr>
      </w:pPr>
      <w:r>
        <w:rPr>
          <w:rFonts w:cs="Arial" w:ascii="Arial" w:hAnsi="Arial"/>
          <w:b/>
          <w:bCs/>
          <w:color w:val="000000"/>
          <w:sz w:val="22"/>
          <w:szCs w:val="22"/>
        </w:rPr>
        <w:t>4.3 DECLARAÇÃO DE CONFORMIDADE TÉCNICA</w:t>
      </w:r>
    </w:p>
    <w:p>
      <w:pPr>
        <w:pStyle w:val="PADRO"/>
        <w:spacing w:lineRule="auto" w:line="240" w:before="119" w:after="119"/>
        <w:ind w:hanging="0"/>
        <w:contextualSpacing/>
        <w:rPr>
          <w:rFonts w:ascii="Arial" w:hAnsi="Arial" w:cs="Arial"/>
          <w:color w:val="000000"/>
          <w:sz w:val="22"/>
          <w:szCs w:val="22"/>
        </w:rPr>
      </w:pPr>
      <w:r>
        <w:rPr>
          <w:rFonts w:cs="Arial" w:ascii="Arial" w:hAnsi="Arial"/>
          <w:color w:val="000000"/>
          <w:sz w:val="22"/>
          <w:szCs w:val="22"/>
        </w:rPr>
      </w:r>
    </w:p>
    <w:p>
      <w:pPr>
        <w:pStyle w:val="PADRO"/>
        <w:spacing w:lineRule="auto" w:line="240" w:before="119" w:after="119"/>
        <w:ind w:hanging="0"/>
        <w:contextualSpacing/>
        <w:rPr>
          <w:color w:val="000000"/>
        </w:rPr>
      </w:pPr>
      <w:r>
        <w:rPr>
          <w:rFonts w:cs="Arial" w:ascii="Arial" w:hAnsi="Arial"/>
          <w:b/>
          <w:bCs/>
          <w:color w:val="000000"/>
          <w:sz w:val="22"/>
          <w:szCs w:val="22"/>
        </w:rPr>
        <w:t>4.3.1</w:t>
      </w:r>
      <w:r>
        <w:rPr>
          <w:rFonts w:cs="Arial" w:ascii="Arial" w:hAnsi="Arial"/>
          <w:color w:val="000000"/>
          <w:sz w:val="22"/>
          <w:szCs w:val="22"/>
        </w:rPr>
        <w:t xml:space="preserve"> O licitante deverá apresentar declaração, assinada por seu representante legal, de que os pianos ofertados atendem integralmente às especificações técnicas constantes do Termo de Referência e que, em caso de contratação, fornecerá exatamente os modelos apresentados na proposta e na documentação técnica correspondente.</w:t>
      </w:r>
    </w:p>
    <w:p>
      <w:pPr>
        <w:pStyle w:val="PADRO"/>
        <w:spacing w:lineRule="auto" w:line="240" w:before="119" w:after="119"/>
        <w:ind w:hanging="0"/>
        <w:contextualSpacing/>
        <w:rPr>
          <w:rFonts w:ascii="Arial" w:hAnsi="Arial" w:cs="Arial"/>
          <w:color w:val="000000"/>
          <w:sz w:val="22"/>
          <w:szCs w:val="22"/>
        </w:rPr>
      </w:pPr>
      <w:r>
        <w:rPr>
          <w:rFonts w:cs="Arial" w:ascii="Arial" w:hAnsi="Arial"/>
          <w:color w:val="000000"/>
          <w:sz w:val="22"/>
          <w:szCs w:val="22"/>
        </w:rPr>
      </w:r>
    </w:p>
    <w:p>
      <w:pPr>
        <w:pStyle w:val="PADRO"/>
        <w:spacing w:lineRule="auto" w:line="240" w:before="119" w:after="119"/>
        <w:ind w:hanging="0"/>
        <w:contextualSpacing/>
        <w:rPr>
          <w:color w:val="000000"/>
        </w:rPr>
      </w:pPr>
      <w:r>
        <w:rPr>
          <w:rFonts w:cs="Arial" w:ascii="Arial" w:hAnsi="Arial"/>
          <w:b/>
          <w:bCs/>
          <w:color w:val="000000"/>
          <w:sz w:val="22"/>
          <w:szCs w:val="22"/>
        </w:rPr>
        <w:t>4.3.2</w:t>
      </w:r>
      <w:r>
        <w:rPr>
          <w:rFonts w:cs="Arial" w:ascii="Arial" w:hAnsi="Arial"/>
          <w:color w:val="000000"/>
          <w:sz w:val="22"/>
          <w:szCs w:val="22"/>
        </w:rPr>
        <w:t xml:space="preserve"> A declaração deverá consignar que a contratada se responsabiliza pela entrega dos bens em estrita conformidade com as especificações técnicas exigidas, reconhecendo</w:t>
      </w:r>
      <w:r>
        <w:rPr>
          <w:rFonts w:cs="Arial" w:ascii="Arial" w:hAnsi="Arial"/>
          <w:color w:val="000000"/>
          <w:sz w:val="22"/>
          <w:szCs w:val="22"/>
        </w:rPr>
        <w:t xml:space="preserve"> </w:t>
      </w:r>
      <w:r>
        <w:rPr>
          <w:rFonts w:cs="Arial" w:ascii="Arial" w:hAnsi="Arial"/>
          <w:color w:val="000000"/>
          <w:sz w:val="22"/>
          <w:szCs w:val="22"/>
        </w:rPr>
        <w:t>que a entrega de produto em desacordo com o Termo de Referência ensejará a recusa do objeto, a obrigação de substituição dos bens, sem ônus para a Administração, e a aplicação das sanções previstas no edital, no contrato e na legislação vigente</w:t>
      </w:r>
      <w:bookmarkEnd w:id="4"/>
    </w:p>
    <w:p>
      <w:pPr>
        <w:pStyle w:val="pf0"/>
        <w:spacing w:beforeAutospacing="0" w:before="0" w:afterAutospacing="0" w:after="0"/>
        <w:ind w:start="567" w:end="565"/>
        <w:contextualSpacing/>
        <w:jc w:val="both"/>
        <w:rPr>
          <w:rFonts w:ascii="Arial" w:hAnsi="Arial" w:cs="Arial"/>
          <w:color w:val="000000"/>
          <w:sz w:val="22"/>
          <w:szCs w:val="22"/>
        </w:rPr>
      </w:pPr>
      <w:r>
        <w:rPr>
          <w:rFonts w:cs="Arial" w:ascii="Arial" w:hAnsi="Arial"/>
          <w:color w:val="000000"/>
          <w:sz w:val="22"/>
          <w:szCs w:val="22"/>
        </w:rPr>
      </w:r>
    </w:p>
    <w:p>
      <w:pPr>
        <w:pStyle w:val="PADRO"/>
        <w:keepNext w:val="false"/>
        <w:widowControl/>
        <w:spacing w:lineRule="auto" w:line="240" w:before="0" w:after="0"/>
        <w:ind w:hanging="0"/>
        <w:contextualSpacing/>
        <w:jc w:val="start"/>
        <w:rPr>
          <w:rFonts w:ascii="Arial" w:hAnsi="Arial" w:cs="Arial"/>
          <w:b/>
          <w:bCs/>
          <w:sz w:val="22"/>
          <w:szCs w:val="22"/>
        </w:rPr>
      </w:pPr>
      <w:r>
        <w:rPr>
          <w:rFonts w:cs="Arial" w:ascii="Arial" w:hAnsi="Arial"/>
          <w:b/>
          <w:bCs/>
          <w:sz w:val="22"/>
          <w:szCs w:val="22"/>
        </w:rPr>
        <w:t>5. COOPERATIVAS</w:t>
      </w:r>
    </w:p>
    <w:p>
      <w:pPr>
        <w:pStyle w:val="pf0"/>
        <w:spacing w:beforeAutospacing="0" w:before="0" w:afterAutospacing="0" w:after="0"/>
        <w:contextualSpacing/>
        <w:jc w:val="both"/>
        <w:rPr>
          <w:rStyle w:val="cf01"/>
          <w:rFonts w:ascii="Arial" w:hAnsi="Arial" w:cs="Arial"/>
          <w:i/>
          <w:iCs/>
          <w:sz w:val="22"/>
          <w:szCs w:val="22"/>
        </w:rPr>
      </w:pPr>
      <w:r>
        <w:rPr>
          <w:rFonts w:cs="Arial" w:ascii="Arial" w:hAnsi="Arial"/>
          <w:i/>
          <w:iCs/>
          <w:sz w:val="22"/>
          <w:szCs w:val="22"/>
        </w:rPr>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t>5. Em relação às cooperativas será, ainda, exigida a seguinte documentação complementar:</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color w:val="000000"/>
          <w:sz w:val="22"/>
          <w:szCs w:val="22"/>
        </w:rPr>
      </w:pPr>
      <w:r>
        <w:rPr>
          <w:rFonts w:cs="Arial" w:ascii="Arial" w:hAnsi="Arial"/>
          <w:sz w:val="22"/>
          <w:szCs w:val="22"/>
        </w:rPr>
        <w:t>5.1.1 D</w:t>
      </w:r>
      <w:r>
        <w:rPr>
          <w:rFonts w:cs="Arial" w:ascii="Arial" w:hAnsi="Arial"/>
          <w:color w:val="000000"/>
          <w:sz w:val="22"/>
          <w:szCs w:val="22"/>
        </w:rPr>
        <w:t>emonstrativo de atuação em regime cooperado, com repartição de receitas e despesas entre os cooperados;</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t>5.1.2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nº 5.764/1971;</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color w:val="000000"/>
          <w:sz w:val="22"/>
          <w:szCs w:val="22"/>
        </w:rPr>
      </w:pPr>
      <w:r>
        <w:rPr>
          <w:rFonts w:cs="Arial" w:ascii="Arial" w:hAnsi="Arial"/>
          <w:sz w:val="22"/>
          <w:szCs w:val="22"/>
        </w:rPr>
        <w:t xml:space="preserve">5.1.3 Demonstrativo de que </w:t>
      </w:r>
      <w:r>
        <w:rPr>
          <w:rFonts w:cs="Arial" w:ascii="Arial" w:hAnsi="Arial"/>
          <w:color w:val="000000"/>
          <w:sz w:val="22"/>
          <w:szCs w:val="22"/>
        </w:rPr>
        <w:t>qualquer cooperado, com igual qualificação, é capaz de executar o objeto contratado;</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t>5.1.4 A declaração de regularidade de situação do contribuinte individual – DRSCI, para cada um dos cooperados indicados;</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t xml:space="preserve">5.1.5 A comprovação do capital social proporcional ao número de cooperados necessários à execução do objeto; </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t xml:space="preserve">5.1.6 O registro previsto na Lei nº 5.764/1971, art. 107; </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t>5.1.7 A comprovação de integralização das respectivas quotas-partes por parte dos cooperados que executarão o contrato; e</w:t>
      </w:r>
    </w:p>
    <w:p>
      <w:pPr>
        <w:pStyle w:val="PADRO"/>
        <w:keepNext w:val="false"/>
        <w:widowControl/>
        <w:spacing w:lineRule="auto" w:line="240" w:before="0" w:after="0"/>
        <w:ind w:hanging="0"/>
        <w:rPr>
          <w:rFonts w:ascii="Arial" w:hAnsi="Arial" w:cs="Arial"/>
          <w:sz w:val="22"/>
          <w:szCs w:val="22"/>
        </w:rPr>
      </w:pPr>
      <w:r>
        <w:rPr>
          <w:rFonts w:cs="Arial" w:ascii="Arial" w:hAnsi="Arial"/>
          <w:sz w:val="22"/>
          <w:szCs w:val="22"/>
        </w:rPr>
      </w:r>
    </w:p>
    <w:p>
      <w:pPr>
        <w:pStyle w:val="pf0"/>
        <w:spacing w:beforeAutospacing="0" w:before="0" w:afterAutospacing="0" w:after="0"/>
        <w:jc w:val="both"/>
        <w:rPr>
          <w:rFonts w:ascii="Arial" w:hAnsi="Arial" w:cs="Arial"/>
          <w:sz w:val="22"/>
          <w:szCs w:val="22"/>
        </w:rPr>
      </w:pPr>
      <w:r>
        <w:rPr>
          <w:rFonts w:cs="Arial" w:ascii="Arial" w:hAnsi="Arial"/>
          <w:sz w:val="22"/>
          <w:szCs w:val="22"/>
        </w:rPr>
        <w:t>5.1.8 A última auditoria contábil-financeira da cooperativa, conforme dispõe o art. 112 da Lei nº 5.764/1971 ou uma declaração, sob as penas da lei, de que tal auditoria não foi exigida pelo órgão fiscalizador.</w:t>
      </w:r>
    </w:p>
    <w:p>
      <w:pPr>
        <w:pStyle w:val="pf0"/>
        <w:spacing w:beforeAutospacing="0" w:before="0" w:afterAutospacing="0" w:after="0"/>
        <w:jc w:val="both"/>
        <w:rPr>
          <w:rFonts w:ascii="Arial" w:hAnsi="Arial" w:cs="Arial"/>
          <w:sz w:val="22"/>
          <w:szCs w:val="22"/>
        </w:rPr>
      </w:pPr>
      <w:r>
        <w:rPr>
          <w:rFonts w:cs="Arial" w:ascii="Arial" w:hAnsi="Arial"/>
          <w:sz w:val="22"/>
          <w:szCs w:val="22"/>
        </w:rPr>
      </w:r>
    </w:p>
    <w:p>
      <w:pPr>
        <w:pStyle w:val="Normal"/>
        <w:spacing w:lineRule="auto" w:line="240"/>
        <w:jc w:val="both"/>
        <w:rPr>
          <w:rFonts w:ascii="Arial" w:hAnsi="Arial" w:cs="Arial"/>
          <w:sz w:val="22"/>
          <w:szCs w:val="22"/>
        </w:rPr>
      </w:pPr>
      <w:r>
        <w:rPr>
          <w:rFonts w:cs="Arial" w:ascii="Arial" w:hAnsi="Arial"/>
          <w:sz w:val="22"/>
          <w:szCs w:val="22"/>
        </w:rPr>
        <w:t xml:space="preserve">5.2   Não será admitida participação de cooperativas de trabalho: </w:t>
      </w:r>
    </w:p>
    <w:p>
      <w:pPr>
        <w:pStyle w:val="Normal"/>
        <w:spacing w:lineRule="auto" w:line="240"/>
        <w:jc w:val="both"/>
        <w:rPr>
          <w:rFonts w:ascii="Arial" w:hAnsi="Arial" w:cs="Arial"/>
          <w:sz w:val="22"/>
          <w:szCs w:val="22"/>
        </w:rPr>
      </w:pPr>
      <w:r>
        <w:rPr>
          <w:rFonts w:cs="Arial" w:ascii="Arial" w:hAnsi="Arial"/>
          <w:sz w:val="22"/>
          <w:szCs w:val="22"/>
        </w:rPr>
        <w:t>a) de serviços; ou</w:t>
      </w:r>
    </w:p>
    <w:p>
      <w:pPr>
        <w:pStyle w:val="Normal"/>
        <w:spacing w:lineRule="auto" w:line="240"/>
        <w:jc w:val="both"/>
        <w:rPr>
          <w:rFonts w:ascii="Arial" w:hAnsi="Arial" w:cs="Arial"/>
          <w:sz w:val="22"/>
          <w:szCs w:val="22"/>
        </w:rPr>
      </w:pPr>
      <w:r>
        <w:rPr>
          <w:rFonts w:cs="Arial" w:ascii="Arial" w:hAnsi="Arial"/>
          <w:sz w:val="22"/>
          <w:szCs w:val="22"/>
        </w:rPr>
        <w:t xml:space="preserve">b) cujos atos constitutivos não definam com precisão a natureza dos objetos que se propõem a executar. </w:t>
      </w:r>
    </w:p>
    <w:p>
      <w:pPr>
        <w:pStyle w:val="Normal"/>
        <w:spacing w:lineRule="auto" w:line="240"/>
        <w:jc w:val="both"/>
        <w:rPr>
          <w:rFonts w:ascii="Arial" w:hAnsi="Arial" w:cs="Arial"/>
          <w:sz w:val="22"/>
          <w:szCs w:val="22"/>
        </w:rPr>
      </w:pPr>
      <w:r>
        <w:rPr>
          <w:rFonts w:cs="Arial" w:ascii="Arial" w:hAnsi="Arial"/>
          <w:sz w:val="22"/>
          <w:szCs w:val="22"/>
        </w:rPr>
        <w:t xml:space="preserve">5.2.1 Presumir-se-á intermediação de mão de obra subordinada a relação contratual estabelecida entre a empresa contratante e as Cooperativas de Trabalho que não observar o disposto nos dispositivos acima e na legislação em vigor. </w:t>
      </w:r>
    </w:p>
    <w:p>
      <w:pPr>
        <w:pStyle w:val="Normal"/>
        <w:spacing w:lineRule="auto" w:line="240" w:before="0" w:after="160"/>
        <w:jc w:val="both"/>
        <w:rPr>
          <w:rFonts w:ascii="Arial" w:hAnsi="Arial" w:cs="Arial"/>
          <w:b/>
          <w:bCs/>
          <w:sz w:val="22"/>
          <w:szCs w:val="22"/>
        </w:rPr>
      </w:pPr>
      <w:r>
        <w:rPr>
          <w:rFonts w:cs="Arial" w:ascii="Arial" w:hAnsi="Arial"/>
          <w:sz w:val="22"/>
          <w:szCs w:val="22"/>
        </w:rPr>
        <w:t>5.3 A constituição ou utilização de Cooperativa de Trabalho para fraudar deliberadamente a legislação trabalhista, previdenciária e o disposto nesta Lei acarretará aos responsáveis</w:t>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ptos">
    <w:charset w:val="00" w:characterSet="windows-1252"/>
    <w:family w:val="roman"/>
    <w:pitch w:val="variable"/>
  </w:font>
  <w:font w:name="Aptos Display">
    <w:charset w:val="00" w:characterSet="windows-1252"/>
    <w:family w:val="roman"/>
    <w:pitch w:val="variable"/>
  </w:font>
  <w:font w:name="Segoe UI">
    <w:charset w:val="00" w:characterSet="windows-1252"/>
    <w:family w:val="swiss"/>
    <w:pitch w:val="variable"/>
  </w:font>
  <w:font w:name="Liberation Sans">
    <w:altName w:val="Arial"/>
    <w:charset w:val="00" w:characterSet="windows-1252"/>
    <w:family w:val="swiss"/>
    <w:pitch w:val="variable"/>
  </w:font>
  <w:font w:name="Ecofont_Spranq_eco_Sans">
    <w:charset w:val="00" w:characterSet="windows-1252"/>
    <w:family w:val="swiss"/>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start"/>
    </w:pPr>
    <w:rPr>
      <w:rFonts w:ascii="Aptos" w:hAnsi="Aptos" w:eastAsia="Aptos" w:cs="" w:asciiTheme="minorHAnsi" w:cstheme="minorBidi" w:eastAsiaTheme="minorHAnsi" w:hAnsiTheme="minorHAnsi"/>
      <w:color w:val="auto"/>
      <w:kern w:val="2"/>
      <w:sz w:val="24"/>
      <w:szCs w:val="24"/>
      <w:lang w:val="pt-BR" w:eastAsia="en-US" w:bidi="ar-SA"/>
      <w14:ligatures w14:val="standardContextual"/>
    </w:rPr>
  </w:style>
  <w:style w:type="paragraph" w:styleId="Heading1">
    <w:name w:val="heading 1"/>
    <w:basedOn w:val="Normal"/>
    <w:next w:val="Normal"/>
    <w:link w:val="Ttulo1Char"/>
    <w:uiPriority w:val="9"/>
    <w:qFormat/>
    <w:rsid w:val="008123a9"/>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har"/>
    <w:uiPriority w:val="9"/>
    <w:semiHidden/>
    <w:unhideWhenUsed/>
    <w:qFormat/>
    <w:rsid w:val="008123a9"/>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har"/>
    <w:uiPriority w:val="9"/>
    <w:semiHidden/>
    <w:unhideWhenUsed/>
    <w:qFormat/>
    <w:rsid w:val="008123a9"/>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har"/>
    <w:uiPriority w:val="9"/>
    <w:semiHidden/>
    <w:unhideWhenUsed/>
    <w:qFormat/>
    <w:rsid w:val="008123a9"/>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har"/>
    <w:uiPriority w:val="9"/>
    <w:semiHidden/>
    <w:unhideWhenUsed/>
    <w:qFormat/>
    <w:rsid w:val="008123a9"/>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har"/>
    <w:uiPriority w:val="9"/>
    <w:semiHidden/>
    <w:unhideWhenUsed/>
    <w:qFormat/>
    <w:rsid w:val="008123a9"/>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har"/>
    <w:uiPriority w:val="9"/>
    <w:semiHidden/>
    <w:unhideWhenUsed/>
    <w:qFormat/>
    <w:rsid w:val="008123a9"/>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har"/>
    <w:uiPriority w:val="9"/>
    <w:semiHidden/>
    <w:unhideWhenUsed/>
    <w:qFormat/>
    <w:rsid w:val="008123a9"/>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har"/>
    <w:uiPriority w:val="9"/>
    <w:semiHidden/>
    <w:unhideWhenUsed/>
    <w:qFormat/>
    <w:rsid w:val="008123a9"/>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8123a9"/>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har" w:customStyle="1">
    <w:name w:val="Título 2 Char"/>
    <w:basedOn w:val="DefaultParagraphFont"/>
    <w:uiPriority w:val="9"/>
    <w:semiHidden/>
    <w:qFormat/>
    <w:rsid w:val="008123a9"/>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har" w:customStyle="1">
    <w:name w:val="Título 3 Char"/>
    <w:basedOn w:val="DefaultParagraphFont"/>
    <w:uiPriority w:val="9"/>
    <w:semiHidden/>
    <w:qFormat/>
    <w:rsid w:val="008123a9"/>
    <w:rPr>
      <w:rFonts w:eastAsia="" w:cs="" w:cstheme="majorBidi" w:eastAsiaTheme="majorEastAsia"/>
      <w:color w:themeColor="accent1" w:themeShade="bf" w:val="0F4761"/>
      <w:sz w:val="28"/>
      <w:szCs w:val="28"/>
    </w:rPr>
  </w:style>
  <w:style w:type="character" w:styleId="Ttulo4Char" w:customStyle="1">
    <w:name w:val="Título 4 Char"/>
    <w:basedOn w:val="DefaultParagraphFont"/>
    <w:uiPriority w:val="9"/>
    <w:semiHidden/>
    <w:qFormat/>
    <w:rsid w:val="008123a9"/>
    <w:rPr>
      <w:rFonts w:eastAsia="" w:cs="" w:cstheme="majorBidi" w:eastAsiaTheme="majorEastAsia"/>
      <w:i/>
      <w:iCs/>
      <w:color w:themeColor="accent1" w:themeShade="bf" w:val="0F4761"/>
    </w:rPr>
  </w:style>
  <w:style w:type="character" w:styleId="Ttulo5Char" w:customStyle="1">
    <w:name w:val="Título 5 Char"/>
    <w:basedOn w:val="DefaultParagraphFont"/>
    <w:uiPriority w:val="9"/>
    <w:semiHidden/>
    <w:qFormat/>
    <w:rsid w:val="008123a9"/>
    <w:rPr>
      <w:rFonts w:eastAsia="" w:cs="" w:cstheme="majorBidi" w:eastAsiaTheme="majorEastAsia"/>
      <w:color w:themeColor="accent1" w:themeShade="bf" w:val="0F4761"/>
    </w:rPr>
  </w:style>
  <w:style w:type="character" w:styleId="Ttulo6Char" w:customStyle="1">
    <w:name w:val="Título 6 Char"/>
    <w:basedOn w:val="DefaultParagraphFont"/>
    <w:uiPriority w:val="9"/>
    <w:semiHidden/>
    <w:qFormat/>
    <w:rsid w:val="008123a9"/>
    <w:rPr>
      <w:rFonts w:eastAsia="" w:cs="" w:cstheme="majorBidi" w:eastAsiaTheme="majorEastAsia"/>
      <w:i/>
      <w:iCs/>
      <w:color w:themeColor="text1" w:themeTint="a6" w:val="595959"/>
    </w:rPr>
  </w:style>
  <w:style w:type="character" w:styleId="Ttulo7Char" w:customStyle="1">
    <w:name w:val="Título 7 Char"/>
    <w:basedOn w:val="DefaultParagraphFont"/>
    <w:uiPriority w:val="9"/>
    <w:semiHidden/>
    <w:qFormat/>
    <w:rsid w:val="008123a9"/>
    <w:rPr>
      <w:rFonts w:eastAsia="" w:cs="" w:cstheme="majorBidi" w:eastAsiaTheme="majorEastAsia"/>
      <w:color w:themeColor="text1" w:themeTint="a6" w:val="595959"/>
    </w:rPr>
  </w:style>
  <w:style w:type="character" w:styleId="Ttulo8Char" w:customStyle="1">
    <w:name w:val="Título 8 Char"/>
    <w:basedOn w:val="DefaultParagraphFont"/>
    <w:uiPriority w:val="9"/>
    <w:semiHidden/>
    <w:qFormat/>
    <w:rsid w:val="008123a9"/>
    <w:rPr>
      <w:rFonts w:eastAsia="" w:cs="" w:cstheme="majorBidi" w:eastAsiaTheme="majorEastAsia"/>
      <w:i/>
      <w:iCs/>
      <w:color w:themeColor="text1" w:themeTint="d8" w:val="272727"/>
    </w:rPr>
  </w:style>
  <w:style w:type="character" w:styleId="Ttulo9Char" w:customStyle="1">
    <w:name w:val="Título 9 Char"/>
    <w:basedOn w:val="DefaultParagraphFont"/>
    <w:uiPriority w:val="9"/>
    <w:semiHidden/>
    <w:qFormat/>
    <w:rsid w:val="008123a9"/>
    <w:rPr>
      <w:rFonts w:eastAsia="" w:cs="" w:cstheme="majorBidi" w:eastAsiaTheme="majorEastAsia"/>
      <w:color w:themeColor="text1" w:themeTint="d8" w:val="272727"/>
    </w:rPr>
  </w:style>
  <w:style w:type="character" w:styleId="TtuloChar" w:customStyle="1">
    <w:name w:val="Título Char"/>
    <w:basedOn w:val="DefaultParagraphFont"/>
    <w:uiPriority w:val="10"/>
    <w:qFormat/>
    <w:rsid w:val="008123a9"/>
    <w:rPr>
      <w:rFonts w:ascii="Aptos Display" w:hAnsi="Aptos Display" w:eastAsia="" w:cs="" w:asciiTheme="majorHAnsi" w:cstheme="majorBidi" w:eastAsiaTheme="majorEastAsia" w:hAnsiTheme="majorHAnsi"/>
      <w:spacing w:val="-10"/>
      <w:kern w:val="2"/>
      <w:sz w:val="56"/>
      <w:szCs w:val="56"/>
    </w:rPr>
  </w:style>
  <w:style w:type="character" w:styleId="SubttuloChar" w:customStyle="1">
    <w:name w:val="Subtítulo Char"/>
    <w:basedOn w:val="DefaultParagraphFont"/>
    <w:uiPriority w:val="11"/>
    <w:qFormat/>
    <w:rsid w:val="008123a9"/>
    <w:rPr>
      <w:rFonts w:eastAsia="" w:cs="" w:cstheme="majorBidi" w:eastAsiaTheme="majorEastAsia"/>
      <w:color w:themeColor="text1" w:themeTint="a6" w:val="595959"/>
      <w:spacing w:val="15"/>
      <w:sz w:val="28"/>
      <w:szCs w:val="28"/>
    </w:rPr>
  </w:style>
  <w:style w:type="character" w:styleId="CitaoChar" w:customStyle="1">
    <w:name w:val="Citação Char"/>
    <w:basedOn w:val="DefaultParagraphFont"/>
    <w:link w:val="Quote"/>
    <w:uiPriority w:val="29"/>
    <w:qFormat/>
    <w:rsid w:val="008123a9"/>
    <w:rPr>
      <w:i/>
      <w:iCs/>
      <w:color w:themeColor="text1" w:themeTint="bf" w:val="404040"/>
    </w:rPr>
  </w:style>
  <w:style w:type="character" w:styleId="IntenseEmphasis">
    <w:name w:val="Intense Emphasis"/>
    <w:basedOn w:val="DefaultParagraphFont"/>
    <w:uiPriority w:val="21"/>
    <w:qFormat/>
    <w:rsid w:val="008123a9"/>
    <w:rPr>
      <w:i/>
      <w:iCs/>
      <w:color w:themeColor="accent1" w:themeShade="bf" w:val="0F4761"/>
    </w:rPr>
  </w:style>
  <w:style w:type="character" w:styleId="CitaoIntensaChar" w:customStyle="1">
    <w:name w:val="Citação Intensa Char"/>
    <w:basedOn w:val="DefaultParagraphFont"/>
    <w:link w:val="IntenseQuote"/>
    <w:uiPriority w:val="30"/>
    <w:qFormat/>
    <w:rsid w:val="008123a9"/>
    <w:rPr>
      <w:i/>
      <w:iCs/>
      <w:color w:themeColor="accent1" w:themeShade="bf" w:val="0F4761"/>
    </w:rPr>
  </w:style>
  <w:style w:type="character" w:styleId="IntenseReference">
    <w:name w:val="Intense Reference"/>
    <w:basedOn w:val="DefaultParagraphFont"/>
    <w:uiPriority w:val="32"/>
    <w:qFormat/>
    <w:rsid w:val="008123a9"/>
    <w:rPr>
      <w:b/>
      <w:bCs/>
      <w:smallCaps/>
      <w:color w:themeColor="accent1" w:themeShade="bf" w:val="0F4761"/>
      <w:spacing w:val="5"/>
    </w:rPr>
  </w:style>
  <w:style w:type="character" w:styleId="Recuodecorpodetexto3Char" w:customStyle="1">
    <w:name w:val="Recuo de corpo de texto 3 Char"/>
    <w:basedOn w:val="DefaultParagraphFont"/>
    <w:link w:val="BodyTextIndent3"/>
    <w:qFormat/>
    <w:rsid w:val="008123a9"/>
    <w:rPr>
      <w:rFonts w:ascii="Arial" w:hAnsi="Arial" w:eastAsia="Times New Roman" w:cs="Times New Roman"/>
      <w:kern w:val="0"/>
      <w:szCs w:val="20"/>
      <w:lang w:eastAsia="pt-BR"/>
      <w14:ligatures w14:val="none"/>
    </w:rPr>
  </w:style>
  <w:style w:type="character" w:styleId="Hyperlink">
    <w:name w:val="Hyperlink"/>
    <w:uiPriority w:val="99"/>
    <w:unhideWhenUsed/>
    <w:rsid w:val="008123a9"/>
    <w:rPr>
      <w:color w:val="0000FF"/>
      <w:u w:val="single"/>
    </w:rPr>
  </w:style>
  <w:style w:type="character" w:styleId="cf01" w:customStyle="1">
    <w:name w:val="cf01"/>
    <w:qFormat/>
    <w:rsid w:val="008123a9"/>
    <w:rPr>
      <w:rFonts w:ascii="Segoe UI" w:hAnsi="Segoe UI" w:cs="Segoe UI"/>
      <w:sz w:val="18"/>
      <w:szCs w:val="18"/>
    </w:rPr>
  </w:style>
  <w:style w:type="character" w:styleId="RecuodecorpodetextoChar" w:customStyle="1">
    <w:name w:val="Recuo de corpo de texto Char"/>
    <w:basedOn w:val="DefaultParagraphFont"/>
    <w:qFormat/>
    <w:rsid w:val="008123a9"/>
    <w:rPr>
      <w:rFonts w:ascii="Times New Roman" w:hAnsi="Times New Roman" w:eastAsia="Times New Roman" w:cs="Times New Roman"/>
      <w:kern w:val="0"/>
      <w:lang w:eastAsia="pt-BR"/>
      <w14:ligatures w14:val="none"/>
    </w:rPr>
  </w:style>
  <w:style w:type="character" w:styleId="cf11" w:customStyle="1">
    <w:name w:val="cf11"/>
    <w:qFormat/>
    <w:rsid w:val="008123a9"/>
    <w:rPr>
      <w:rFonts w:ascii="Segoe UI" w:hAnsi="Segoe UI" w:cs="Segoe UI"/>
      <w:i/>
      <w:iCs/>
      <w:sz w:val="18"/>
      <w:szCs w:val="18"/>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Normal"/>
    <w:link w:val="TtuloChar"/>
    <w:uiPriority w:val="10"/>
    <w:qFormat/>
    <w:rsid w:val="008123a9"/>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har"/>
    <w:uiPriority w:val="11"/>
    <w:qFormat/>
    <w:rsid w:val="008123a9"/>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oChar"/>
    <w:uiPriority w:val="29"/>
    <w:qFormat/>
    <w:rsid w:val="008123a9"/>
    <w:pPr>
      <w:spacing w:before="160" w:after="160"/>
      <w:jc w:val="center"/>
    </w:pPr>
    <w:rPr>
      <w:i/>
      <w:iCs/>
      <w:color w:themeColor="text1" w:themeTint="bf" w:val="404040"/>
    </w:rPr>
  </w:style>
  <w:style w:type="paragraph" w:styleId="ListParagraph">
    <w:name w:val="List Paragraph"/>
    <w:basedOn w:val="Normal"/>
    <w:uiPriority w:val="34"/>
    <w:qFormat/>
    <w:rsid w:val="008123a9"/>
    <w:pPr>
      <w:spacing w:before="0" w:after="160"/>
      <w:ind w:start="720"/>
      <w:contextualSpacing/>
    </w:pPr>
    <w:rPr/>
  </w:style>
  <w:style w:type="paragraph" w:styleId="IntenseQuote">
    <w:name w:val="Intense Quote"/>
    <w:basedOn w:val="Normal"/>
    <w:next w:val="Normal"/>
    <w:link w:val="CitaoIntensaChar"/>
    <w:uiPriority w:val="30"/>
    <w:qFormat/>
    <w:rsid w:val="008123a9"/>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paragraph" w:styleId="BodyTextIndent3">
    <w:name w:val="Body Text Indent 3"/>
    <w:basedOn w:val="Normal"/>
    <w:link w:val="Recuodecorpodetexto3Char"/>
    <w:qFormat/>
    <w:rsid w:val="008123a9"/>
    <w:pPr>
      <w:spacing w:lineRule="auto" w:line="360" w:before="0" w:after="0"/>
      <w:ind w:firstLine="2552"/>
      <w:jc w:val="both"/>
    </w:pPr>
    <w:rPr>
      <w:rFonts w:ascii="Arial" w:hAnsi="Arial" w:eastAsia="Times New Roman" w:cs="Times New Roman"/>
      <w:kern w:val="0"/>
      <w:szCs w:val="20"/>
      <w:lang w:eastAsia="pt-BR"/>
      <w14:ligatures w14:val="none"/>
    </w:rPr>
  </w:style>
  <w:style w:type="paragraph" w:styleId="pf0" w:customStyle="1">
    <w:name w:val="pf0"/>
    <w:basedOn w:val="Normal"/>
    <w:qFormat/>
    <w:rsid w:val="008123a9"/>
    <w:pPr>
      <w:spacing w:lineRule="auto" w:line="240" w:beforeAutospacing="1" w:afterAutospacing="1"/>
    </w:pPr>
    <w:rPr>
      <w:rFonts w:ascii="Times New Roman" w:hAnsi="Times New Roman" w:eastAsia="Times New Roman" w:cs="Times New Roman"/>
      <w:kern w:val="0"/>
      <w:lang w:eastAsia="pt-BR"/>
      <w14:ligatures w14:val="none"/>
    </w:rPr>
  </w:style>
  <w:style w:type="paragraph" w:styleId="BodyTextIndent">
    <w:name w:val="Body Text Indent"/>
    <w:basedOn w:val="Normal"/>
    <w:link w:val="RecuodecorpodetextoChar"/>
    <w:rsid w:val="008123a9"/>
    <w:pPr>
      <w:spacing w:lineRule="auto" w:line="240" w:before="0" w:after="120"/>
      <w:ind w:start="283"/>
    </w:pPr>
    <w:rPr>
      <w:rFonts w:ascii="Times New Roman" w:hAnsi="Times New Roman" w:eastAsia="Times New Roman" w:cs="Times New Roman"/>
      <w:kern w:val="0"/>
      <w:lang w:eastAsia="pt-BR"/>
      <w14:ligatures w14:val="none"/>
    </w:rPr>
  </w:style>
  <w:style w:type="paragraph" w:styleId="PADRO" w:customStyle="1">
    <w:name w:val="PADRÃO"/>
    <w:qFormat/>
    <w:rsid w:val="008123a9"/>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14:ligatures w14:val="none"/>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oempreendedor.gov.br/" TargetMode="External"/><Relationship Id="rId3" Type="http://schemas.openxmlformats.org/officeDocument/2006/relationships/hyperlink" Target="https://www.planalto.gov.br/ccivil_03/leis/lcp/lcp123.htm"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LibreOffice/26.2.6.3$Windows_X86_64 LibreOffice_project/8221e31b3ac356a1623c672912a3d2b492f7e3d1</Application>
  <AppVersion>15.0000</AppVersion>
  <Pages>6</Pages>
  <Words>2156</Words>
  <Characters>12513</Characters>
  <CharactersWithSpaces>14611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2026-07-20T18:13:00Z</dcterms:created>
  <dc:creator>Sônia Maria Trindade</dc:creator>
  <dc:description/>
  <dc:language>pt-BR</dc:language>
  <cp:lastModifiedBy/>
  <dcterms:modified xsi:type="dcterms:W3CDTF">2026-10-15T12:43:34Z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