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587" w:rsidRDefault="00623E71">
      <w:pPr>
        <w:ind w:left="4896"/>
        <w:rPr>
          <w:rFonts w:ascii="Times New Roman"/>
          <w:sz w:val="20"/>
        </w:rPr>
      </w:pPr>
      <w:bookmarkStart w:id="0" w:name="Termo_de_Referência_30_(7865673)"/>
      <w:bookmarkEnd w:id="0"/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677227" cy="677227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" cy="677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0587" w:rsidRDefault="00623E71">
      <w:pPr>
        <w:spacing w:before="48"/>
        <w:ind w:left="106" w:right="20"/>
        <w:jc w:val="center"/>
        <w:rPr>
          <w:rFonts w:ascii="Times New Roman"/>
          <w:sz w:val="19"/>
        </w:rPr>
      </w:pPr>
      <w:r>
        <w:rPr>
          <w:rFonts w:ascii="Times New Roman"/>
          <w:sz w:val="19"/>
        </w:rPr>
        <w:t>PREFEITURA</w:t>
      </w:r>
      <w:r>
        <w:rPr>
          <w:rFonts w:ascii="Times New Roman"/>
          <w:spacing w:val="-7"/>
          <w:sz w:val="19"/>
        </w:rPr>
        <w:t xml:space="preserve"> </w:t>
      </w:r>
      <w:r>
        <w:rPr>
          <w:rFonts w:ascii="Times New Roman"/>
          <w:sz w:val="19"/>
        </w:rPr>
        <w:t>DA</w:t>
      </w:r>
      <w:r>
        <w:rPr>
          <w:rFonts w:ascii="Times New Roman"/>
          <w:spacing w:val="-4"/>
          <w:sz w:val="19"/>
        </w:rPr>
        <w:t xml:space="preserve"> </w:t>
      </w:r>
      <w:r>
        <w:rPr>
          <w:rFonts w:ascii="Times New Roman"/>
          <w:sz w:val="19"/>
        </w:rPr>
        <w:t>CIDADE</w:t>
      </w:r>
      <w:r>
        <w:rPr>
          <w:rFonts w:ascii="Times New Roman"/>
          <w:spacing w:val="-4"/>
          <w:sz w:val="19"/>
        </w:rPr>
        <w:t xml:space="preserve"> </w:t>
      </w:r>
      <w:r>
        <w:rPr>
          <w:rFonts w:ascii="Times New Roman"/>
          <w:sz w:val="19"/>
        </w:rPr>
        <w:t>DO</w:t>
      </w:r>
      <w:r>
        <w:rPr>
          <w:rFonts w:ascii="Times New Roman"/>
          <w:spacing w:val="-4"/>
          <w:sz w:val="19"/>
        </w:rPr>
        <w:t xml:space="preserve"> </w:t>
      </w:r>
      <w:r>
        <w:rPr>
          <w:rFonts w:ascii="Times New Roman"/>
          <w:sz w:val="19"/>
        </w:rPr>
        <w:t>RIO</w:t>
      </w:r>
      <w:r>
        <w:rPr>
          <w:rFonts w:ascii="Times New Roman"/>
          <w:spacing w:val="-4"/>
          <w:sz w:val="19"/>
        </w:rPr>
        <w:t xml:space="preserve"> </w:t>
      </w:r>
      <w:r>
        <w:rPr>
          <w:rFonts w:ascii="Times New Roman"/>
          <w:sz w:val="19"/>
        </w:rPr>
        <w:t>DE</w:t>
      </w:r>
      <w:r>
        <w:rPr>
          <w:rFonts w:ascii="Times New Roman"/>
          <w:spacing w:val="-4"/>
          <w:sz w:val="19"/>
        </w:rPr>
        <w:t xml:space="preserve"> </w:t>
      </w:r>
      <w:r>
        <w:rPr>
          <w:rFonts w:ascii="Times New Roman"/>
          <w:spacing w:val="-2"/>
          <w:sz w:val="19"/>
        </w:rPr>
        <w:t>JANEIRO</w:t>
      </w:r>
    </w:p>
    <w:p w:rsidR="00EE0587" w:rsidRDefault="00623E71">
      <w:pPr>
        <w:ind w:left="114" w:right="20"/>
        <w:jc w:val="center"/>
        <w:rPr>
          <w:rFonts w:ascii="Times New Roman"/>
          <w:sz w:val="19"/>
        </w:rPr>
      </w:pPr>
      <w:r>
        <w:rPr>
          <w:rFonts w:ascii="Times New Roman"/>
          <w:sz w:val="19"/>
        </w:rPr>
        <w:t>Instituto</w:t>
      </w:r>
      <w:r>
        <w:rPr>
          <w:rFonts w:ascii="Times New Roman"/>
          <w:spacing w:val="-5"/>
          <w:sz w:val="19"/>
        </w:rPr>
        <w:t xml:space="preserve"> </w:t>
      </w:r>
      <w:r>
        <w:rPr>
          <w:rFonts w:ascii="Times New Roman"/>
          <w:sz w:val="19"/>
        </w:rPr>
        <w:t>Municipal</w:t>
      </w:r>
      <w:r>
        <w:rPr>
          <w:rFonts w:ascii="Times New Roman"/>
          <w:spacing w:val="-6"/>
          <w:sz w:val="19"/>
        </w:rPr>
        <w:t xml:space="preserve"> </w:t>
      </w:r>
      <w:r>
        <w:rPr>
          <w:rFonts w:ascii="Times New Roman"/>
          <w:sz w:val="19"/>
        </w:rPr>
        <w:t>de</w:t>
      </w:r>
      <w:r>
        <w:rPr>
          <w:rFonts w:ascii="Times New Roman"/>
          <w:spacing w:val="-5"/>
          <w:sz w:val="19"/>
        </w:rPr>
        <w:t xml:space="preserve"> </w:t>
      </w:r>
      <w:r>
        <w:rPr>
          <w:rFonts w:ascii="Times New Roman"/>
          <w:sz w:val="19"/>
        </w:rPr>
        <w:t>Urbanismo</w:t>
      </w:r>
      <w:r>
        <w:rPr>
          <w:rFonts w:ascii="Times New Roman"/>
          <w:spacing w:val="-5"/>
          <w:sz w:val="19"/>
        </w:rPr>
        <w:t xml:space="preserve"> </w:t>
      </w:r>
      <w:r>
        <w:rPr>
          <w:rFonts w:ascii="Times New Roman"/>
          <w:sz w:val="19"/>
        </w:rPr>
        <w:t>Pereira</w:t>
      </w:r>
      <w:r>
        <w:rPr>
          <w:rFonts w:ascii="Times New Roman"/>
          <w:spacing w:val="-5"/>
          <w:sz w:val="19"/>
        </w:rPr>
        <w:t xml:space="preserve"> </w:t>
      </w:r>
      <w:r>
        <w:rPr>
          <w:rFonts w:ascii="Times New Roman"/>
          <w:spacing w:val="-2"/>
          <w:sz w:val="19"/>
        </w:rPr>
        <w:t>Passos</w:t>
      </w:r>
    </w:p>
    <w:p w:rsidR="00EE0587" w:rsidRDefault="00EE0587">
      <w:pPr>
        <w:pStyle w:val="Corpodetexto"/>
        <w:spacing w:before="0"/>
        <w:ind w:left="0"/>
        <w:rPr>
          <w:rFonts w:ascii="Times New Roman"/>
          <w:sz w:val="21"/>
        </w:rPr>
      </w:pPr>
    </w:p>
    <w:p w:rsidR="00EE0587" w:rsidRDefault="00EE0587">
      <w:pPr>
        <w:pStyle w:val="Corpodetexto"/>
        <w:spacing w:before="0"/>
        <w:ind w:left="0"/>
        <w:rPr>
          <w:rFonts w:ascii="Times New Roman"/>
          <w:sz w:val="21"/>
        </w:rPr>
      </w:pPr>
    </w:p>
    <w:p w:rsidR="00EE0587" w:rsidRDefault="00EE0587">
      <w:pPr>
        <w:pStyle w:val="Corpodetexto"/>
        <w:spacing w:before="102"/>
        <w:ind w:left="0"/>
        <w:rPr>
          <w:rFonts w:ascii="Times New Roman"/>
          <w:sz w:val="21"/>
        </w:rPr>
      </w:pPr>
    </w:p>
    <w:p w:rsidR="00EE0587" w:rsidRDefault="00623E71">
      <w:pPr>
        <w:pStyle w:val="Ttulo1"/>
      </w:pPr>
      <w:r>
        <w:t>TERMO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REFERÊNCIA</w:t>
      </w:r>
    </w:p>
    <w:p w:rsidR="00EE0587" w:rsidRDefault="00623E71">
      <w:pPr>
        <w:pStyle w:val="Ttulo2"/>
        <w:numPr>
          <w:ilvl w:val="0"/>
          <w:numId w:val="15"/>
        </w:numPr>
        <w:tabs>
          <w:tab w:val="left" w:pos="289"/>
        </w:tabs>
        <w:spacing w:before="196"/>
        <w:ind w:hanging="190"/>
      </w:pPr>
      <w:r>
        <w:t>Definição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Objeto</w:t>
      </w:r>
    </w:p>
    <w:p w:rsidR="00EE0587" w:rsidRDefault="00EE0587">
      <w:pPr>
        <w:pStyle w:val="Corpodetexto"/>
        <w:spacing w:before="12"/>
        <w:ind w:left="0"/>
        <w:rPr>
          <w:rFonts w:ascii="Times New Roman"/>
          <w:b/>
        </w:rPr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1.1. Contratação de pessoa jurídica especializada para prestação de serviços de hospedagem em nuvem e suporte técnico da revista científica Coleção Estudos Cariocas, ISSN 1984-7203, do Instituto Municipal de Urbanismo Pereira Passos – IPP, por meio da plataforma Open Journal Systems (OJS), incluindo configuração, manutenção, atualizações, backups, personalização de layout e gestão e registro de DOI.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C45B0A" w:rsidRPr="00792BF5" w:rsidRDefault="00792BF5" w:rsidP="00792BF5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792BF5">
        <w:rPr>
          <w:sz w:val="17"/>
        </w:rPr>
        <w:t>1.2. A contratação terá vigência de 24 (vinte e quatro) meses, contados na forma estabelecida no instrumento contratual, podendo ser prorrogada, desde que atendidos os requisitos legais aplicáveis, demonstradas a vantajosidade para a Administração e a disponibilidade orçamentária.</w:t>
      </w:r>
      <w:bookmarkStart w:id="1" w:name="_GoBack"/>
      <w:bookmarkEnd w:id="1"/>
    </w:p>
    <w:p w:rsidR="00792BF5" w:rsidRDefault="00792BF5">
      <w:pPr>
        <w:pStyle w:val="Corpodetexto"/>
        <w:spacing w:before="188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289"/>
        </w:tabs>
        <w:spacing w:before="1"/>
        <w:ind w:hanging="190"/>
      </w:pPr>
      <w:r>
        <w:t>Fundamentação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Descrição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Necessidade</w:t>
      </w:r>
      <w:r>
        <w:rPr>
          <w:spacing w:val="-5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Contratação</w:t>
      </w:r>
    </w:p>
    <w:p w:rsidR="00EE0587" w:rsidRDefault="00EE0587">
      <w:pPr>
        <w:pStyle w:val="Corpodetexto"/>
        <w:spacing w:before="0"/>
        <w:ind w:left="0"/>
        <w:rPr>
          <w:rFonts w:ascii="Times New Roman"/>
          <w:b/>
          <w:sz w:val="19"/>
        </w:rPr>
      </w:pPr>
    </w:p>
    <w:p w:rsidR="009A5CBB" w:rsidRPr="00026564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 xml:space="preserve">2.1. </w:t>
      </w:r>
      <w:r w:rsidR="00026564" w:rsidRPr="00026564">
        <w:rPr>
          <w:sz w:val="17"/>
        </w:rPr>
        <w:t>A contratação fundamenta-se no art. 75, inciso II, da Lei Federal nº 14.133/2021 e no art. 9º, inciso II, do Decreto Rio nº 50.797/2022, observados os demais requisitos legais e regulamentares aplicáveis à contratação direta. A execução deverá observar, quando pertinente, a Lei Federal nº 13.709/2018 (LGPD) e as normas de segurança da informação aplicáveis.</w:t>
      </w:r>
    </w:p>
    <w:p w:rsidR="00026564" w:rsidRPr="009A5CBB" w:rsidRDefault="00026564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2.2. A contratação visa assegurar a continuidade da publicação científica do IPP em ambiente eletrônico estável, seguro e acessível ao público, garantindo a preservação dos conteúdos, a interoperabilidade e a identificação persistente dos artigos por meio dos DOI.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2.3. A hospedagem especializada reduz a necessidade de infraestrutura local, enquanto o suporte técnico, as atualizações e os backups contribuem para a continuidade e a segurança da publicação.</w:t>
      </w:r>
    </w:p>
    <w:p w:rsidR="00C45B0A" w:rsidRPr="00C45B0A" w:rsidRDefault="00C45B0A" w:rsidP="00C45B0A">
      <w:pPr>
        <w:tabs>
          <w:tab w:val="left" w:pos="429"/>
        </w:tabs>
        <w:spacing w:before="75" w:line="268" w:lineRule="auto"/>
        <w:ind w:right="513"/>
        <w:rPr>
          <w:sz w:val="17"/>
        </w:rPr>
      </w:pPr>
    </w:p>
    <w:p w:rsidR="00EE0587" w:rsidRDefault="00EE0587">
      <w:pPr>
        <w:pStyle w:val="Corpodetexto"/>
        <w:spacing w:before="75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289"/>
        </w:tabs>
        <w:ind w:hanging="190"/>
      </w:pPr>
      <w:r>
        <w:t>Descrição</w:t>
      </w:r>
      <w:r>
        <w:rPr>
          <w:spacing w:val="-4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Solução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um</w:t>
      </w:r>
      <w:r>
        <w:rPr>
          <w:spacing w:val="-3"/>
        </w:rPr>
        <w:t xml:space="preserve"> </w:t>
      </w:r>
      <w:r>
        <w:rPr>
          <w:spacing w:val="-4"/>
        </w:rPr>
        <w:t>Todo</w:t>
      </w:r>
    </w:p>
    <w:p w:rsidR="00EE0587" w:rsidRDefault="00EE0587">
      <w:pPr>
        <w:pStyle w:val="Corpodetexto"/>
        <w:spacing w:before="0"/>
        <w:ind w:left="0"/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3.1. A solução compreende hospedagem OJS em nuvem, suporte técnico, manutenção preventiva e corretiva, atualizações, backups, personalização de layout, gestão dos DOI existentes e registro de novos DOI.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3.2. Ao término da contratação, a CONTRATADA deverá disponibilizar os dados, arquivos e metadados do IPP em formato tecnicamente utilizável, permitindo a continuidade ou migração da publicação.</w:t>
      </w:r>
    </w:p>
    <w:p w:rsidR="009A5CBB" w:rsidRDefault="009A5CBB">
      <w:pPr>
        <w:pStyle w:val="Corpodetexto"/>
        <w:spacing w:before="0"/>
        <w:ind w:left="0"/>
      </w:pPr>
    </w:p>
    <w:p w:rsidR="00EE0587" w:rsidRDefault="00EE0587">
      <w:pPr>
        <w:pStyle w:val="Corpodetexto"/>
        <w:spacing w:before="74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289"/>
        </w:tabs>
        <w:ind w:hanging="190"/>
      </w:pPr>
      <w:r>
        <w:t>Requisitos</w:t>
      </w:r>
      <w:r>
        <w:rPr>
          <w:spacing w:val="-6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rPr>
          <w:spacing w:val="-2"/>
        </w:rPr>
        <w:t>Contratação</w:t>
      </w:r>
    </w:p>
    <w:p w:rsidR="00C45B0A" w:rsidRDefault="00C45B0A" w:rsidP="00C45B0A">
      <w:pPr>
        <w:tabs>
          <w:tab w:val="left" w:pos="523"/>
        </w:tabs>
        <w:spacing w:before="75" w:line="268" w:lineRule="auto"/>
        <w:ind w:right="466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4.1. Utilização de versão estável e suportada do OJS, hospedada em nuvem, com capacidade adequada ao acervo e acesso administrativo para o IPP.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4.2. Acesso público gratuito à publicação, interoperabilidade por meio do protocolo OAI-PMH e preservação dos dados e metadados.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887835" w:rsidRPr="00026564" w:rsidRDefault="00026564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4.3. A CONTRATADA deverá assegurar disponibilidade mensal mínima de 99% (noventa e nove por cento) da plataforma. As manutenções programadas e demais hipóteses de exclusão do cálculo deverão estar expressamente definidas no instrumento de contratação, com indicação das condições de comunicação ao IPP e dos critérios de apuração. A CONTRATADA deverá fornecer, quando solicitada, evidências das ocorrências de indisponibilidade e das providências adotadas.</w:t>
      </w:r>
    </w:p>
    <w:p w:rsidR="00026564" w:rsidRPr="00E77B80" w:rsidRDefault="00026564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Pr="00026564" w:rsidRDefault="00026564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4.4. A CONTRATADA deverá realizar backups diários dos arquivos, banco de dados, conteúdos e configurações da publicação, mantendo as cópias protegidas por período mínimo de 90 (noventa) dias. Deverá possibilitar a restauração dos dados mediante solicitação do IPP, sem custo adicional, informando o prazo estimado para sua conclusão.</w:t>
      </w:r>
    </w:p>
    <w:p w:rsidR="00026564" w:rsidRPr="00E77B80" w:rsidRDefault="00026564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Pr="00026564" w:rsidRDefault="00026564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4.5. A CONTRATADA deverá iniciar o atendimento técnico em até 24 (vinte e quatro) horas para ocorrências críticas e em até 5 (cinco) dias úteis para ocorrências não críticas, contados da comunicação pelo IPP. Deverá manter registro das solicitações, informar as providências adotadas e comunicar a previsão de solução, considerando a gravidade e os impactos da ocorrência.</w:t>
      </w:r>
    </w:p>
    <w:p w:rsidR="00026564" w:rsidRPr="00E77B80" w:rsidRDefault="00026564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4.6. Manutenção corretiva e atualização dos componentes, incluindo correções de segurança aplicáveis.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4.7. Personalização do layout conforme a identidade visual da publicação, sem desenvolvimento de funcionalidades não previstas.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4.8. Gestão de até 240 DOI durante a vigência contratual, sendo 160 preexistentes e até 80 novos registros.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lastRenderedPageBreak/>
        <w:t>4.8.1. Continuidade da gestão do prefixo DOI 10.71256, observados os procedimentos e as autorizações aplicáveis.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4.8.2. Preservação dos DOI existentes e respectivos links, realização das regularizações necessárias e registro de novos identificadores, sem duplicação.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4.8.3. Inclusão no preço de todos os custos relativos aos serviços de DOI previstos no objeto, inclusive taxas e encargos aplicáveis.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887835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887835">
        <w:rPr>
          <w:sz w:val="17"/>
        </w:rPr>
        <w:t>4.9. A CONTRATADA deverá disponibilizar e manter o domínio necessário ao funcionamento da publicação durante toda a vigência contratual, com os respectivos custos incluídos no preço global, garantindo ao IPP acesso administrativo e condições para manutenção ou transferência do domínio ao término da contratação.</w:t>
      </w:r>
    </w:p>
    <w:p w:rsidR="00887835" w:rsidRPr="00E77B80" w:rsidRDefault="00887835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4.10. Possibilidade de exportação dos dados, arquivos e metadados em formato utilizável para eventual migração.</w:t>
      </w: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E77B80" w:rsidRPr="00E77B80" w:rsidRDefault="00E77B80" w:rsidP="00E77B80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E77B80">
        <w:rPr>
          <w:sz w:val="17"/>
        </w:rPr>
        <w:t>4.11. Observância das obrigações aplicáveis de segurança da informação, confidencialidade e proteção de dados pessoais, inclusive da LGPD.</w:t>
      </w:r>
    </w:p>
    <w:p w:rsidR="00EE0587" w:rsidRDefault="00EE0587">
      <w:pPr>
        <w:pStyle w:val="Corpodetexto"/>
        <w:spacing w:before="0"/>
        <w:ind w:left="0"/>
      </w:pPr>
    </w:p>
    <w:p w:rsidR="00026564" w:rsidRDefault="00026564" w:rsidP="00026564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4.12. A CONTRATADA deverá comprovar capacidade operacional para realizar a gestão, a manutenção e o registro dos DOI junto à Crossref, mediante documentação que demonstre sua condição de patrocinadora (Sponsor) constante da relação oficial da entidade ou vínculo formal com patrocinador nela relacionado, com autorização e condições operacionais suficientes para executar os serviços previstos neste Termo de Referência.</w:t>
      </w:r>
    </w:p>
    <w:p w:rsidR="00026564" w:rsidRPr="00026564" w:rsidRDefault="00026564" w:rsidP="00026564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026564" w:rsidRDefault="00026564" w:rsidP="00026564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4.12.1. A capacidade comprovada deverá abranger a manutenção dos DOI existentes, a regularização dos registros necessários, o depósito e a atualização dos metadados e o registro de até 80 (oitenta) novos DOI durante a vigência contratual, observadas as autorizações aplicáveis ao prefixo utilizado pelo IPP.</w:t>
      </w:r>
    </w:p>
    <w:p w:rsidR="00026564" w:rsidRPr="00026564" w:rsidRDefault="00026564" w:rsidP="00026564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026564" w:rsidRDefault="00026564" w:rsidP="00026564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4.12.2. A comprovação poderá ser realizada por documentação oficial da Crossref, declaração do patrocinador ou instrumento equivalente que demonstre o vínculo, a autorização e o escopo dos serviços disponibilizados, sujeito à verificação pelo IPP.</w:t>
      </w:r>
    </w:p>
    <w:p w:rsidR="00026564" w:rsidRPr="00026564" w:rsidRDefault="00026564" w:rsidP="00026564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026564" w:rsidRPr="00026564" w:rsidRDefault="00026564" w:rsidP="00026564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 xml:space="preserve">4.12.3. A relação oficial de patrocinadores está disponível em: </w:t>
      </w:r>
      <w:hyperlink r:id="rId8" w:history="1">
        <w:r w:rsidRPr="00026564">
          <w:rPr>
            <w:sz w:val="17"/>
          </w:rPr>
          <w:t>https://www.crossref.org/membership/about-sponsors/</w:t>
        </w:r>
      </w:hyperlink>
      <w:r w:rsidRPr="00026564">
        <w:rPr>
          <w:sz w:val="17"/>
        </w:rPr>
        <w:t>.</w:t>
      </w:r>
    </w:p>
    <w:p w:rsidR="004228D7" w:rsidRDefault="004228D7">
      <w:pPr>
        <w:pStyle w:val="Corpodetexto"/>
        <w:spacing w:before="0"/>
        <w:ind w:left="0"/>
      </w:pPr>
    </w:p>
    <w:p w:rsidR="00EE0587" w:rsidRDefault="00EE0587">
      <w:pPr>
        <w:pStyle w:val="Corpodetexto"/>
        <w:spacing w:before="75"/>
        <w:ind w:left="0"/>
      </w:pPr>
    </w:p>
    <w:p w:rsidR="00EE0587" w:rsidRPr="009A5CBB" w:rsidRDefault="00623E71">
      <w:pPr>
        <w:pStyle w:val="Ttulo2"/>
        <w:numPr>
          <w:ilvl w:val="0"/>
          <w:numId w:val="15"/>
        </w:numPr>
        <w:tabs>
          <w:tab w:val="left" w:pos="289"/>
        </w:tabs>
        <w:ind w:hanging="190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Execução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Objeto</w:t>
      </w:r>
    </w:p>
    <w:p w:rsidR="009A5CBB" w:rsidRDefault="009A5CBB" w:rsidP="009A5CBB">
      <w:pPr>
        <w:pStyle w:val="Ttulo2"/>
        <w:tabs>
          <w:tab w:val="left" w:pos="289"/>
        </w:tabs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5.1. A execução terá início após a formalização da contratação e a autorização de início, mediante disponibilização dos acessos e informações necessários pelo IPP.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5.2. A configuração inicial, eventual migração, liberação de acessos e ajustes de layout deverão ser concluídos em até 15 dias corridos, contados da disponibilização dos elementos necessários.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5.3. A regularização dos DOI existentes deverá ocorrer em até 30 dias corridos, contados da disponibilização das informações e dos acessos necessários, ressalvadas pendências de responsabilidade do IPP ou de terceiros, devidamente comunicadas e justificadas.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Pr="00026564" w:rsidRDefault="00026564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5.4. A implantação inicial estará compreendida no prazo contratual de 24 (vinte e quatro) meses, durante o qual serão prestados os serviços de hospedagem, suporte técnico, manutenção, atualização, backup, personalização de layout e gestão dos DOI.</w:t>
      </w:r>
    </w:p>
    <w:p w:rsidR="00026564" w:rsidRPr="009A5CBB" w:rsidRDefault="00026564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5.5. Ao término da contratação, a CONTRATADA deverá fornecer os dados, arquivos e metadados necessários à continuidade ou migração da publicação.</w:t>
      </w:r>
    </w:p>
    <w:p w:rsidR="00EE0587" w:rsidRDefault="00EE0587">
      <w:pPr>
        <w:pStyle w:val="Corpodetexto"/>
        <w:spacing w:before="0"/>
        <w:ind w:left="0"/>
      </w:pPr>
    </w:p>
    <w:p w:rsidR="00EE0587" w:rsidRDefault="00EE0587">
      <w:pPr>
        <w:pStyle w:val="Corpodetexto"/>
        <w:spacing w:before="75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289"/>
        </w:tabs>
        <w:ind w:hanging="190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Gestão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:rsidR="00623E71" w:rsidRDefault="00623E71">
      <w:pPr>
        <w:pStyle w:val="Corpodetexto"/>
        <w:spacing w:before="0"/>
        <w:ind w:left="0"/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6.1. A execução será acompanhada por gestor e fiscais formalmente designados pelo IPP, conforme a Lei nº 14.133/2021 e a regulamentação municipal.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6.2. A fiscalização verificará a disponibilidade, o suporte, os backups, as atualizações, a segurança, o layout e a gestão dos DOI, registrando as ocorrências e solicitando as correções necessárias.</w:t>
      </w: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9A5CBB" w:rsidRPr="009A5CBB" w:rsidRDefault="009A5CBB" w:rsidP="009A5CBB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9A5CBB">
        <w:rPr>
          <w:sz w:val="17"/>
        </w:rPr>
        <w:t>6.3. A CONTRATADA deverá indicar preposto e fornecer as evidências necessárias à fiscalização. O acompanhamento pelo IPP não exclui a responsabilidade da CONTRATADA.</w:t>
      </w:r>
    </w:p>
    <w:p w:rsidR="009A5CBB" w:rsidRDefault="009A5CBB">
      <w:pPr>
        <w:pStyle w:val="Corpodetexto"/>
        <w:spacing w:before="0"/>
        <w:ind w:left="0"/>
      </w:pPr>
    </w:p>
    <w:p w:rsidR="00EE0587" w:rsidRDefault="00EE0587">
      <w:pPr>
        <w:pStyle w:val="Corpodetexto"/>
        <w:spacing w:before="74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289"/>
        </w:tabs>
        <w:ind w:hanging="190"/>
      </w:pPr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Medição</w:t>
      </w:r>
      <w:r>
        <w:rPr>
          <w:spacing w:val="-3"/>
        </w:rPr>
        <w:t xml:space="preserve"> </w:t>
      </w:r>
      <w:r>
        <w:t>e</w:t>
      </w:r>
      <w:r>
        <w:rPr>
          <w:spacing w:val="-4"/>
        </w:rPr>
        <w:t xml:space="preserve"> </w:t>
      </w:r>
      <w:r>
        <w:rPr>
          <w:spacing w:val="-2"/>
        </w:rPr>
        <w:t>Pagamento</w:t>
      </w:r>
    </w:p>
    <w:p w:rsidR="00EE0587" w:rsidRDefault="00EE0587">
      <w:pPr>
        <w:pStyle w:val="Corpodetexto"/>
        <w:spacing w:before="0"/>
        <w:ind w:left="0"/>
        <w:rPr>
          <w:rFonts w:ascii="Times New Roman"/>
          <w:b/>
          <w:sz w:val="19"/>
        </w:rPr>
      </w:pPr>
    </w:p>
    <w:p w:rsidR="00623E71" w:rsidRDefault="00623E71" w:rsidP="00623E71">
      <w:pPr>
        <w:tabs>
          <w:tab w:val="left" w:pos="429"/>
        </w:tabs>
        <w:spacing w:line="268" w:lineRule="auto"/>
        <w:ind w:right="333"/>
        <w:rPr>
          <w:sz w:val="17"/>
        </w:rPr>
      </w:pPr>
    </w:p>
    <w:p w:rsid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4228D7">
        <w:rPr>
          <w:sz w:val="17"/>
        </w:rPr>
        <w:t>7.1. A fiscalização verificará a conformidade da implantação inicial e acompanhará, durante toda a vigência, a prestação dos serviços, considerando a disponibilidade da plataforma, os backups, as atualizações, o suporte técnico e a gestão dos DOI.</w:t>
      </w:r>
    </w:p>
    <w:p w:rsidR="004228D7" w:rsidRP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4228D7">
        <w:rPr>
          <w:sz w:val="17"/>
        </w:rPr>
        <w:t>7.2. As falhas e não conformidades serão registradas e deverão ser corrigidas pela CONTRATADA nos prazos acordados, podendo ensejar glosas e sanções, conforme a legislação e o instrumento contratual.</w:t>
      </w:r>
    </w:p>
    <w:p w:rsidR="004228D7" w:rsidRP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4228D7">
        <w:rPr>
          <w:sz w:val="17"/>
        </w:rPr>
        <w:t>7.3. A liquidação da despesa ocorrerá após a apresentação da Nota Fiscal ou documento equivalente e a conferência da documentação, do valor devido e do atesto correspondente, observadas as normas aplicáveis.</w:t>
      </w:r>
    </w:p>
    <w:p w:rsidR="004228D7" w:rsidRP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4228D7">
        <w:rPr>
          <w:sz w:val="17"/>
        </w:rPr>
        <w:lastRenderedPageBreak/>
        <w:t>7.4. Havendo pendências que impeçam a liquidação, o procedimento ficará suspenso até a respectiva regularização, conforme as normas aplicáveis.</w:t>
      </w:r>
    </w:p>
    <w:p w:rsidR="004228D7" w:rsidRP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026564" w:rsidRPr="00026564" w:rsidRDefault="00026564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026564">
        <w:rPr>
          <w:sz w:val="17"/>
        </w:rPr>
        <w:t>7.5. O pagamento será efetuado em parcela única após a comprovação da execução dos serviços contratados, a apresentação da documentação fiscal pertinente, o atesto do responsável pela fiscalização e a regular liquidação da despesa, observados o empenho e os procedimentos de execução orçamentária e financeira do Município.</w:t>
      </w:r>
    </w:p>
    <w:p w:rsidR="00026564" w:rsidRPr="004228D7" w:rsidRDefault="00026564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4228D7">
        <w:rPr>
          <w:sz w:val="17"/>
        </w:rPr>
        <w:t>7.6. O pagamento observará o calendário e as demais disposições financeiras aplicáveis ao Município, inclusive as normas pertinentes da Secretaria Municipal de Fazenda.</w:t>
      </w:r>
    </w:p>
    <w:p w:rsidR="004228D7" w:rsidRP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</w:p>
    <w:p w:rsidR="004228D7" w:rsidRPr="004228D7" w:rsidRDefault="004228D7" w:rsidP="004228D7">
      <w:pPr>
        <w:pStyle w:val="PargrafodaLista"/>
        <w:tabs>
          <w:tab w:val="left" w:pos="384"/>
        </w:tabs>
        <w:spacing w:before="0" w:line="264" w:lineRule="auto"/>
        <w:ind w:right="592"/>
        <w:rPr>
          <w:sz w:val="17"/>
        </w:rPr>
      </w:pPr>
      <w:r w:rsidRPr="004228D7">
        <w:rPr>
          <w:sz w:val="17"/>
        </w:rPr>
        <w:t>7.7. Quando cabível, serão observadas as regras de retenção tributária aplicáveis às empresas optantes pelo Simples Nacional, mediante apresentação da documentação comprobatória exigível.</w:t>
      </w:r>
    </w:p>
    <w:p w:rsidR="00EE0587" w:rsidRDefault="00EE0587">
      <w:pPr>
        <w:pStyle w:val="Corpodetexto"/>
        <w:spacing w:before="19"/>
        <w:ind w:left="0"/>
      </w:pPr>
    </w:p>
    <w:p w:rsidR="00EE0587" w:rsidRPr="009A5CBB" w:rsidRDefault="00623E71">
      <w:pPr>
        <w:pStyle w:val="Ttulo2"/>
        <w:numPr>
          <w:ilvl w:val="0"/>
          <w:numId w:val="15"/>
        </w:numPr>
        <w:tabs>
          <w:tab w:val="left" w:pos="289"/>
        </w:tabs>
        <w:spacing w:before="169"/>
        <w:ind w:hanging="190"/>
      </w:pPr>
      <w:r>
        <w:t>Critérios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Seleção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Fornecedor</w:t>
      </w:r>
    </w:p>
    <w:p w:rsidR="009A5CBB" w:rsidRDefault="009A5CBB" w:rsidP="009A5CBB">
      <w:pPr>
        <w:pStyle w:val="Ttulo2"/>
        <w:tabs>
          <w:tab w:val="left" w:pos="289"/>
        </w:tabs>
        <w:spacing w:before="169"/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8.1. A seleção ocorrerá por dispensa eletrônica por valor, com fundamento no art. 75, inciso II, da Lei nº 14.133/2021 e no art. 9º, inciso II, do Decreto Rio nº 50.797/2022, observados os requisitos legais.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8.2. O critério de julgamento será o de menor preço global, abrangendo integralmente o objeto e todos os custos necessários à execução.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8.3. Não será exigida garantia contratual, considerando o valor, a natureza dos serviços e os riscos envolvidos, sem prejuízo das responsabilidades e sanções aplicáveis.</w:t>
      </w:r>
    </w:p>
    <w:p w:rsidR="004228D7" w:rsidRDefault="004228D7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4228D7" w:rsidRPr="004228D7" w:rsidRDefault="004228D7" w:rsidP="004228D7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b/>
          <w:sz w:val="17"/>
        </w:rPr>
      </w:pPr>
      <w:r w:rsidRPr="004228D7">
        <w:rPr>
          <w:b/>
          <w:sz w:val="17"/>
        </w:rPr>
        <w:t>8.4. Qualificação técnica</w:t>
      </w:r>
    </w:p>
    <w:p w:rsidR="004228D7" w:rsidRPr="004228D7" w:rsidRDefault="004228D7" w:rsidP="004228D7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4228D7" w:rsidRDefault="004228D7" w:rsidP="004228D7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4228D7">
        <w:rPr>
          <w:sz w:val="17"/>
        </w:rPr>
        <w:t>8.4.1. A licitante deverá apresentar atestado(s) de capacidade técnica, emitido(s) por pessoa jurídica de direito público ou privado, que comprove(m) experiência na prestação de serviços de hospedagem e manutenção da plataforma Open Journal Systems (OJS), em características compatíveis com o objeto desta contratação.</w:t>
      </w:r>
    </w:p>
    <w:p w:rsidR="004228D7" w:rsidRPr="004228D7" w:rsidRDefault="004228D7" w:rsidP="004228D7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4228D7" w:rsidRDefault="004228D7" w:rsidP="004228D7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4228D7">
        <w:rPr>
          <w:sz w:val="17"/>
        </w:rPr>
        <w:t>8.4.2. A capacidade para execução dos serviços relativos à Crossref e aos DOI deverá ser comprovada conforme os requisitos estabelecidos no item 4.12 deste Termo de Referência.</w:t>
      </w:r>
    </w:p>
    <w:p w:rsidR="004228D7" w:rsidRPr="004228D7" w:rsidRDefault="004228D7" w:rsidP="004228D7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4228D7" w:rsidRPr="004228D7" w:rsidRDefault="004228D7" w:rsidP="004228D7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4228D7">
        <w:rPr>
          <w:sz w:val="17"/>
        </w:rPr>
        <w:t>8.4.3. Os documentos apresentados serão analisados quanto à pertinência e à compatibilidade com os serviços contratados, observados os requisitos legais de qualificação técnica e os princípios da proporcionalidade e da competitividade.</w:t>
      </w:r>
    </w:p>
    <w:p w:rsidR="004228D7" w:rsidRPr="009347B4" w:rsidRDefault="004228D7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EE0587" w:rsidRPr="00D96C04" w:rsidRDefault="00623E71">
      <w:pPr>
        <w:pStyle w:val="Ttulo2"/>
        <w:numPr>
          <w:ilvl w:val="0"/>
          <w:numId w:val="15"/>
        </w:numPr>
        <w:tabs>
          <w:tab w:val="left" w:pos="289"/>
        </w:tabs>
        <w:spacing w:before="171"/>
        <w:ind w:hanging="190"/>
      </w:pPr>
      <w:r>
        <w:t>Estimativa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Contratação</w:t>
      </w:r>
    </w:p>
    <w:p w:rsidR="00D96C04" w:rsidRDefault="00D96C04" w:rsidP="00D96C04">
      <w:pPr>
        <w:pStyle w:val="Ttulo2"/>
        <w:tabs>
          <w:tab w:val="left" w:pos="289"/>
        </w:tabs>
        <w:spacing w:before="171"/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9.1. A estimativa será baseada em pesquisa de preços realizada conforme a legislação e a regulamentação aplicáveis.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9.2. O valor anual estimado é de R$ 4.839,65 (quatro mil, oitocentos e trinta e nove reais e sessenta e cinco centavos).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 xml:space="preserve">9.3. O valor global estimado </w:t>
      </w:r>
      <w:r>
        <w:rPr>
          <w:sz w:val="17"/>
        </w:rPr>
        <w:t xml:space="preserve">que será utilizado pela Dispensa Eletrônica </w:t>
      </w:r>
      <w:r w:rsidRPr="009347B4">
        <w:rPr>
          <w:sz w:val="17"/>
        </w:rPr>
        <w:t>para 24 meses é de R$ 9.679,30 (nove mil, seiscentos e setenta e nove reais e trinta centavos), incluindo todos os custos necessários à execução do objeto.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9.4. O valor anual constitui referência de estimativa, não implicando pagamento mensal ou anual.</w:t>
      </w:r>
    </w:p>
    <w:p w:rsidR="009347B4" w:rsidRDefault="009347B4">
      <w:pPr>
        <w:pStyle w:val="Corpodetexto"/>
        <w:spacing w:before="0"/>
        <w:ind w:left="0"/>
      </w:pPr>
    </w:p>
    <w:p w:rsidR="00EE0587" w:rsidRDefault="00EE0587">
      <w:pPr>
        <w:pStyle w:val="Corpodetexto"/>
        <w:spacing w:before="74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384"/>
        </w:tabs>
        <w:ind w:left="384" w:hanging="285"/>
      </w:pPr>
      <w:r>
        <w:t>Adequação</w:t>
      </w:r>
      <w:r>
        <w:rPr>
          <w:spacing w:val="-6"/>
        </w:rPr>
        <w:t xml:space="preserve"> </w:t>
      </w:r>
      <w:r>
        <w:rPr>
          <w:spacing w:val="-2"/>
        </w:rPr>
        <w:t>Orçamentária</w:t>
      </w:r>
    </w:p>
    <w:p w:rsidR="00EE0587" w:rsidRDefault="00EE0587">
      <w:pPr>
        <w:pStyle w:val="Corpodetexto"/>
        <w:spacing w:before="0"/>
        <w:ind w:left="0"/>
      </w:pPr>
    </w:p>
    <w:p w:rsidR="009347B4" w:rsidRDefault="009347B4">
      <w:pPr>
        <w:pStyle w:val="Corpodetexto"/>
        <w:spacing w:before="0"/>
        <w:ind w:left="0"/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10.1. As despesas correrão por conta das dotações do IPP, observadas a disponibilidade orçamentária e as regras aplicáveis aos exercícios abrangidos.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10.2. Classificação orçamentária indicada, sujeita à confirmação pelo setor competente: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Programa de Trabalho: 11.35.122.0381.4761;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Natureza da Despesa: 33.90.40.06;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Item: 310;</w:t>
      </w: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Fonte: 1.500.100.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10.3. O empenhamento e a execução financeira deverão observar as normas orçamentárias e financeiras aplicáveis.</w:t>
      </w:r>
    </w:p>
    <w:p w:rsidR="009347B4" w:rsidRDefault="009347B4">
      <w:pPr>
        <w:pStyle w:val="Corpodetexto"/>
        <w:spacing w:before="0"/>
        <w:ind w:left="0"/>
      </w:pPr>
    </w:p>
    <w:p w:rsidR="00EE0587" w:rsidRDefault="00EE0587">
      <w:pPr>
        <w:pStyle w:val="Corpodetexto"/>
        <w:spacing w:before="74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384"/>
        </w:tabs>
        <w:spacing w:before="1"/>
        <w:ind w:left="384" w:hanging="285"/>
      </w:pPr>
      <w:r>
        <w:t>Obrigações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rPr>
          <w:spacing w:val="-2"/>
        </w:rPr>
        <w:t>Contratada</w:t>
      </w:r>
    </w:p>
    <w:p w:rsidR="00EE0587" w:rsidRDefault="00EE0587">
      <w:pPr>
        <w:pStyle w:val="Corpodetexto"/>
        <w:spacing w:before="0"/>
        <w:ind w:left="0"/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11.1. Executar integralmente o objeto, mantendo o ambiente OJS hospedado e disponível durante a vigência.</w:t>
      </w: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11.2. Realizar configuração, migração prevista, ajustes de layout, manutenção, atualizações, backups e suporte técnico nos prazos estabelecidos.</w:t>
      </w:r>
    </w:p>
    <w:p w:rsidR="00D01E79" w:rsidRPr="009347B4" w:rsidRDefault="00D01E79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lastRenderedPageBreak/>
        <w:t>11.3. Gerenciar, regularizar e registrar os DOI abrangidos pela contratação.</w:t>
      </w:r>
    </w:p>
    <w:p w:rsidR="00D01E79" w:rsidRPr="009347B4" w:rsidRDefault="00D01E79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11.4. Comunicar incidentes relevantes, informar providências adotadas e fornecer evidências à fiscalização.</w:t>
      </w:r>
    </w:p>
    <w:p w:rsidR="00D01E79" w:rsidRPr="009347B4" w:rsidRDefault="00D01E79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11.5. Manter o sigilo, proteger os dados, observar a LGPD e não utilizar informações do IPP para finalidade diversa da execução contratual.</w:t>
      </w:r>
    </w:p>
    <w:p w:rsidR="00D01E79" w:rsidRPr="009347B4" w:rsidRDefault="00D01E79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11.6. Responsabilizar-se pelos tributos, encargos e serviços de terceiros utilizados na execução.</w:t>
      </w:r>
    </w:p>
    <w:p w:rsidR="00D01E79" w:rsidRPr="009347B4" w:rsidRDefault="00D01E79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11.7. Incluir no preço global todos os custos necessários ao objeto, sem cobrança adicional por serviços e recursos contratados.</w:t>
      </w:r>
    </w:p>
    <w:p w:rsidR="00D01E79" w:rsidRPr="009347B4" w:rsidRDefault="00D01E79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9347B4" w:rsidRPr="009347B4" w:rsidRDefault="009347B4" w:rsidP="009347B4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9347B4">
        <w:rPr>
          <w:sz w:val="17"/>
        </w:rPr>
        <w:t>11.8. Disponibilizar os dados e arquivos necessários à continuidade ou migração da publicação e corrigir, sem custo adicional, falhas de sua responsabilidade.</w:t>
      </w:r>
    </w:p>
    <w:p w:rsidR="009347B4" w:rsidRDefault="009347B4">
      <w:pPr>
        <w:pStyle w:val="Corpodetexto"/>
        <w:spacing w:before="0"/>
        <w:ind w:left="0"/>
      </w:pPr>
    </w:p>
    <w:p w:rsidR="00EE0587" w:rsidRDefault="00EE0587">
      <w:pPr>
        <w:pStyle w:val="Corpodetexto"/>
        <w:spacing w:before="98"/>
        <w:ind w:left="0"/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384"/>
        </w:tabs>
        <w:ind w:left="384" w:hanging="285"/>
      </w:pP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5"/>
        </w:rPr>
        <w:t>IPP</w:t>
      </w:r>
    </w:p>
    <w:p w:rsidR="00EE0587" w:rsidRDefault="00EE0587">
      <w:pPr>
        <w:pStyle w:val="Corpodetexto"/>
        <w:spacing w:before="180"/>
        <w:ind w:left="0"/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12.1. Fornecer as informações, os conteúdos, os arquivos, os acessos e os elementos de identidade visual necessários à execução.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12.2. Disponibilizar os dados e acessos sob sua responsabilidade para a gestão dos DOI.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12.3. Acompanhar e fiscalizar os serviços, registrar ocorrências e comunicar falhas à CONTRATADA.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12.4. Designar gestor e fiscais, verificar a conformidade dos serviços e realizar o atesto quando cabível.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12.5. Efetuar o pagamento após o cumprimento das condições contratuais, orçamentárias, financeiras e legais aplicáveis.</w:t>
      </w:r>
    </w:p>
    <w:p w:rsidR="00D01E79" w:rsidRDefault="00D01E79">
      <w:pPr>
        <w:pStyle w:val="Corpodetexto"/>
        <w:spacing w:before="180"/>
        <w:ind w:left="0"/>
      </w:pPr>
    </w:p>
    <w:p w:rsidR="00EE0587" w:rsidRPr="00D01E79" w:rsidRDefault="00623E71">
      <w:pPr>
        <w:pStyle w:val="Ttulo2"/>
        <w:numPr>
          <w:ilvl w:val="0"/>
          <w:numId w:val="15"/>
        </w:numPr>
        <w:tabs>
          <w:tab w:val="left" w:pos="384"/>
        </w:tabs>
        <w:ind w:left="384" w:hanging="285"/>
      </w:pPr>
      <w:r>
        <w:t>Regime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Prestação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Serviços</w:t>
      </w:r>
    </w:p>
    <w:p w:rsidR="00D01E79" w:rsidRPr="00D01E79" w:rsidRDefault="00D01E79" w:rsidP="00D01E79">
      <w:pPr>
        <w:pStyle w:val="Ttulo2"/>
        <w:tabs>
          <w:tab w:val="left" w:pos="384"/>
        </w:tabs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13.1. Os serviços serão prestados continuamente por 24 meses, abrangendo hospedagem em nuvem, suporte técnico, manutenção, atualizações, backups, layout e gestão dos DOI.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13.2. A execução compreenderá implantação inicial e manutenção continuada do ambiente durante toda a vigência, com observância dos níveis de serviço e das obrigações de segurança e portabilidade.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EE0587" w:rsidRPr="00D36B82" w:rsidRDefault="00D01E79" w:rsidP="00D36B82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 xml:space="preserve">13.3. </w:t>
      </w:r>
      <w:r w:rsidR="00D36B82" w:rsidRPr="00D36B82">
        <w:rPr>
          <w:sz w:val="17"/>
        </w:rPr>
        <w:t>O pagamento em parcela única observará as condições estabelecidas no item 7.5 e os requisitos legais aplicáveis à forma de pagamento adotada.</w:t>
      </w:r>
    </w:p>
    <w:p w:rsidR="00D01E79" w:rsidRDefault="00D01E79">
      <w:pPr>
        <w:pStyle w:val="Corpodetexto"/>
        <w:spacing w:before="155"/>
        <w:ind w:left="0"/>
        <w:rPr>
          <w:b/>
        </w:rPr>
      </w:pPr>
    </w:p>
    <w:p w:rsidR="00EE0587" w:rsidRDefault="00623E71">
      <w:pPr>
        <w:pStyle w:val="Ttulo2"/>
        <w:numPr>
          <w:ilvl w:val="0"/>
          <w:numId w:val="15"/>
        </w:numPr>
        <w:tabs>
          <w:tab w:val="left" w:pos="384"/>
        </w:tabs>
        <w:ind w:left="384" w:hanging="285"/>
      </w:pPr>
      <w:r>
        <w:t>Sanções</w:t>
      </w:r>
      <w:r>
        <w:rPr>
          <w:spacing w:val="-5"/>
        </w:rPr>
        <w:t xml:space="preserve"> </w:t>
      </w:r>
      <w:r>
        <w:rPr>
          <w:spacing w:val="-2"/>
        </w:rPr>
        <w:t>Administrativas</w:t>
      </w:r>
    </w:p>
    <w:p w:rsidR="00EE0587" w:rsidRDefault="00EE0587">
      <w:pPr>
        <w:pStyle w:val="Corpodetexto"/>
        <w:spacing w:before="152"/>
        <w:ind w:left="0"/>
        <w:rPr>
          <w:rFonts w:ascii="Times New Roman"/>
          <w:b/>
          <w:sz w:val="19"/>
        </w:rPr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14.1. A CONTRATADA estará sujeita às sanções dos arts. 155 e 156 da Lei Federal nº 14.133/2021, em caso de infração, assegurados o contraditório e a ampla defesa.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14.2. Poderão ser aplicadas, conforme a gravidade da infração e a legislação aplicável, advertência, multa, impedimento de licitar e contratar ou declaração de inidoneidade.</w:t>
      </w: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D01E79" w:rsidRPr="00D01E79" w:rsidRDefault="00D01E79" w:rsidP="00D01E79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 w:rsidRPr="00D01E79">
        <w:rPr>
          <w:sz w:val="17"/>
        </w:rPr>
        <w:t>14.3. A aplicação das sanções considerará a natureza da infração, os danos causados, as circunstâncias do caso e os critérios legais, sem prejuízo da reparação dos danos quando cabível.</w:t>
      </w:r>
    </w:p>
    <w:p w:rsidR="00EE0587" w:rsidRDefault="00EE0587">
      <w:pPr>
        <w:pStyle w:val="Corpodetexto"/>
        <w:spacing w:before="0"/>
        <w:ind w:left="0"/>
        <w:rPr>
          <w:rFonts w:ascii="Times New Roman"/>
          <w:sz w:val="19"/>
        </w:rPr>
      </w:pPr>
    </w:p>
    <w:p w:rsidR="00EE0587" w:rsidRDefault="00EE0587">
      <w:pPr>
        <w:pStyle w:val="Corpodetexto"/>
        <w:spacing w:before="47"/>
        <w:ind w:left="0"/>
        <w:rPr>
          <w:rFonts w:ascii="Times New Roman"/>
          <w:sz w:val="19"/>
        </w:rPr>
      </w:pPr>
    </w:p>
    <w:p w:rsidR="00EE0587" w:rsidRDefault="00623E71" w:rsidP="0087270E">
      <w:pPr>
        <w:pStyle w:val="Ttulo2"/>
        <w:numPr>
          <w:ilvl w:val="0"/>
          <w:numId w:val="15"/>
        </w:numPr>
        <w:tabs>
          <w:tab w:val="left" w:pos="384"/>
        </w:tabs>
        <w:spacing w:before="1"/>
      </w:pPr>
      <w:r>
        <w:rPr>
          <w:spacing w:val="-4"/>
        </w:rPr>
        <w:t>Anexo</w:t>
      </w:r>
    </w:p>
    <w:p w:rsidR="00EE0587" w:rsidRDefault="00EE0587">
      <w:pPr>
        <w:pStyle w:val="Corpodetexto"/>
        <w:spacing w:before="0"/>
        <w:ind w:left="0"/>
        <w:rPr>
          <w:rFonts w:ascii="Times New Roman"/>
          <w:b/>
          <w:sz w:val="20"/>
        </w:rPr>
      </w:pPr>
    </w:p>
    <w:p w:rsidR="00EE0587" w:rsidRDefault="00EE0587">
      <w:pPr>
        <w:pStyle w:val="Corpodetexto"/>
        <w:spacing w:before="182" w:after="1"/>
        <w:ind w:left="0"/>
        <w:rPr>
          <w:rFonts w:ascii="Times New Roman"/>
          <w:b/>
          <w:sz w:val="20"/>
        </w:rPr>
      </w:pPr>
    </w:p>
    <w:tbl>
      <w:tblPr>
        <w:tblStyle w:val="TableNormal"/>
        <w:tblW w:w="0" w:type="auto"/>
        <w:tblInd w:w="1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2"/>
        <w:gridCol w:w="2879"/>
        <w:gridCol w:w="1131"/>
        <w:gridCol w:w="1445"/>
        <w:gridCol w:w="1854"/>
        <w:gridCol w:w="1949"/>
      </w:tblGrid>
      <w:tr w:rsidR="00EE0587">
        <w:trPr>
          <w:trHeight w:val="455"/>
        </w:trPr>
        <w:tc>
          <w:tcPr>
            <w:tcW w:w="1302" w:type="dxa"/>
          </w:tcPr>
          <w:p w:rsidR="00EE0587" w:rsidRDefault="00623E71">
            <w:pPr>
              <w:pStyle w:val="TableParagraph"/>
              <w:rPr>
                <w:b/>
                <w:sz w:val="19"/>
              </w:rPr>
            </w:pPr>
            <w:r>
              <w:rPr>
                <w:b/>
                <w:spacing w:val="-4"/>
                <w:sz w:val="19"/>
              </w:rPr>
              <w:t>Item</w:t>
            </w:r>
          </w:p>
        </w:tc>
        <w:tc>
          <w:tcPr>
            <w:tcW w:w="2879" w:type="dxa"/>
          </w:tcPr>
          <w:p w:rsidR="00EE0587" w:rsidRDefault="00623E71">
            <w:pPr>
              <w:pStyle w:val="TableParagraph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Descrição</w:t>
            </w:r>
          </w:p>
        </w:tc>
        <w:tc>
          <w:tcPr>
            <w:tcW w:w="1131" w:type="dxa"/>
          </w:tcPr>
          <w:p w:rsidR="00EE0587" w:rsidRDefault="00623E71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Unidade</w:t>
            </w:r>
          </w:p>
        </w:tc>
        <w:tc>
          <w:tcPr>
            <w:tcW w:w="1445" w:type="dxa"/>
          </w:tcPr>
          <w:p w:rsidR="00EE0587" w:rsidRDefault="00623E71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Quantidade</w:t>
            </w:r>
          </w:p>
        </w:tc>
        <w:tc>
          <w:tcPr>
            <w:tcW w:w="1854" w:type="dxa"/>
          </w:tcPr>
          <w:p w:rsidR="00EE0587" w:rsidRDefault="00623E71">
            <w:pPr>
              <w:pStyle w:val="TableParagraph"/>
              <w:tabs>
                <w:tab w:val="left" w:pos="910"/>
              </w:tabs>
              <w:ind w:left="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Valor</w:t>
            </w:r>
            <w:r>
              <w:rPr>
                <w:b/>
                <w:sz w:val="19"/>
              </w:rPr>
              <w:tab/>
            </w:r>
            <w:r>
              <w:rPr>
                <w:b/>
                <w:spacing w:val="-2"/>
                <w:sz w:val="19"/>
              </w:rPr>
              <w:t>Estimado</w:t>
            </w:r>
          </w:p>
          <w:p w:rsidR="00EE0587" w:rsidRDefault="00623E71">
            <w:pPr>
              <w:pStyle w:val="TableParagraph"/>
              <w:spacing w:before="9" w:line="205" w:lineRule="exact"/>
              <w:ind w:left="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Unitário</w:t>
            </w:r>
          </w:p>
        </w:tc>
        <w:tc>
          <w:tcPr>
            <w:tcW w:w="1949" w:type="dxa"/>
          </w:tcPr>
          <w:p w:rsidR="00EE0587" w:rsidRDefault="00623E71">
            <w:pPr>
              <w:pStyle w:val="TableParagraph"/>
              <w:tabs>
                <w:tab w:val="left" w:pos="1003"/>
              </w:tabs>
              <w:ind w:left="7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Valor</w:t>
            </w:r>
            <w:r>
              <w:rPr>
                <w:b/>
                <w:sz w:val="19"/>
              </w:rPr>
              <w:tab/>
            </w:r>
            <w:r>
              <w:rPr>
                <w:b/>
                <w:spacing w:val="-2"/>
                <w:sz w:val="19"/>
              </w:rPr>
              <w:t>Estimado</w:t>
            </w:r>
          </w:p>
          <w:p w:rsidR="00EE0587" w:rsidRDefault="00623E71">
            <w:pPr>
              <w:pStyle w:val="TableParagraph"/>
              <w:spacing w:before="9" w:line="205" w:lineRule="exact"/>
              <w:ind w:left="7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Total</w:t>
            </w:r>
          </w:p>
        </w:tc>
      </w:tr>
      <w:tr w:rsidR="00EE0587">
        <w:trPr>
          <w:trHeight w:val="1823"/>
        </w:trPr>
        <w:tc>
          <w:tcPr>
            <w:tcW w:w="1302" w:type="dxa"/>
          </w:tcPr>
          <w:p w:rsidR="00EE0587" w:rsidRDefault="00623E71">
            <w:pPr>
              <w:pStyle w:val="TableParagraph"/>
              <w:rPr>
                <w:b/>
                <w:sz w:val="19"/>
              </w:rPr>
            </w:pPr>
            <w:r>
              <w:rPr>
                <w:b/>
                <w:spacing w:val="-10"/>
                <w:sz w:val="19"/>
              </w:rPr>
              <w:t>1</w:t>
            </w:r>
          </w:p>
        </w:tc>
        <w:tc>
          <w:tcPr>
            <w:tcW w:w="2879" w:type="dxa"/>
          </w:tcPr>
          <w:p w:rsidR="00EE0587" w:rsidRDefault="00031D9A" w:rsidP="00031D9A">
            <w:pPr>
              <w:pStyle w:val="TableParagraph"/>
              <w:spacing w:before="5" w:line="205" w:lineRule="exact"/>
              <w:rPr>
                <w:b/>
                <w:sz w:val="19"/>
              </w:rPr>
            </w:pPr>
            <w:r>
              <w:t>Prestação de serviços de hospedagem em nuvem da Coleção Estudos Cariocas, por meio da plataforma OJS, incluindo suporte técnico, manutenção, atualizações, backups, personalização de layout, gestão dos DOI existentes e registro de novos DOI, abrangendo todos os custos necessários à execução integral do objeto durante 24 meses.</w:t>
            </w:r>
          </w:p>
        </w:tc>
        <w:tc>
          <w:tcPr>
            <w:tcW w:w="1131" w:type="dxa"/>
          </w:tcPr>
          <w:p w:rsidR="00EE0587" w:rsidRDefault="00031D9A" w:rsidP="00031D9A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Serviço Global</w:t>
            </w:r>
          </w:p>
        </w:tc>
        <w:tc>
          <w:tcPr>
            <w:tcW w:w="1445" w:type="dxa"/>
          </w:tcPr>
          <w:p w:rsidR="00EE0587" w:rsidRDefault="001A7F7C">
            <w:pPr>
              <w:pStyle w:val="TableParagraph"/>
              <w:ind w:left="79"/>
              <w:rPr>
                <w:b/>
                <w:sz w:val="19"/>
              </w:rPr>
            </w:pPr>
            <w:r>
              <w:rPr>
                <w:b/>
                <w:spacing w:val="-5"/>
                <w:sz w:val="19"/>
              </w:rPr>
              <w:t>1</w:t>
            </w:r>
          </w:p>
        </w:tc>
        <w:tc>
          <w:tcPr>
            <w:tcW w:w="1854" w:type="dxa"/>
          </w:tcPr>
          <w:p w:rsidR="00EE0587" w:rsidRDefault="0087270E">
            <w:pPr>
              <w:pStyle w:val="TableParagraph"/>
              <w:ind w:left="7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9.679,30</w:t>
            </w:r>
          </w:p>
        </w:tc>
        <w:tc>
          <w:tcPr>
            <w:tcW w:w="1949" w:type="dxa"/>
          </w:tcPr>
          <w:p w:rsidR="00EE0587" w:rsidRDefault="00623E71">
            <w:pPr>
              <w:pStyle w:val="TableParagraph"/>
              <w:ind w:left="77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9.679,30</w:t>
            </w:r>
          </w:p>
        </w:tc>
      </w:tr>
    </w:tbl>
    <w:p w:rsidR="00031D9A" w:rsidRDefault="00031D9A" w:rsidP="00031D9A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</w:p>
    <w:p w:rsidR="00EE0587" w:rsidRPr="00031D9A" w:rsidRDefault="004228D7" w:rsidP="00031D9A">
      <w:pPr>
        <w:pStyle w:val="PargrafodaLista"/>
        <w:tabs>
          <w:tab w:val="left" w:pos="523"/>
        </w:tabs>
        <w:spacing w:before="0" w:line="268" w:lineRule="auto"/>
        <w:ind w:right="542"/>
        <w:jc w:val="both"/>
        <w:rPr>
          <w:sz w:val="17"/>
        </w:rPr>
      </w:pPr>
      <w:r>
        <w:rPr>
          <w:sz w:val="17"/>
        </w:rPr>
        <w:t xml:space="preserve">15.1. </w:t>
      </w:r>
      <w:r w:rsidR="00031D9A" w:rsidRPr="00031D9A">
        <w:rPr>
          <w:sz w:val="17"/>
        </w:rPr>
        <w:t>O valor global estimado para a contratação, correspondente à prestação dos serviços durante 24 (vinte e quatro) meses, é de R$ 9.679,30 (nove mil, seiscentos e setenta e nove reais e trinta centavos), conforme pesquisa de preços constante do processo.</w:t>
      </w:r>
    </w:p>
    <w:p w:rsidR="00EE0587" w:rsidRDefault="00623E71">
      <w:pPr>
        <w:tabs>
          <w:tab w:val="left" w:pos="9742"/>
        </w:tabs>
        <w:spacing w:before="21"/>
        <w:ind w:left="118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ab/>
      </w:r>
    </w:p>
    <w:sectPr w:rsidR="00EE0587">
      <w:footerReference w:type="default" r:id="rId9"/>
      <w:pgSz w:w="11900" w:h="16840"/>
      <w:pgMar w:top="500" w:right="566" w:bottom="380" w:left="566" w:header="0" w:footer="1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36B" w:rsidRDefault="001C036B">
      <w:r>
        <w:separator/>
      </w:r>
    </w:p>
  </w:endnote>
  <w:endnote w:type="continuationSeparator" w:id="0">
    <w:p w:rsidR="001C036B" w:rsidRDefault="001C0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E71" w:rsidRDefault="00623E71">
    <w:pPr>
      <w:pStyle w:val="Corpodetexto"/>
      <w:spacing w:before="0" w:line="200" w:lineRule="exact"/>
      <w:ind w:left="0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3910089</wp:posOffset>
              </wp:positionH>
              <wp:positionV relativeFrom="page">
                <wp:posOffset>10438730</wp:posOffset>
              </wp:positionV>
              <wp:extent cx="2152650" cy="16764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5265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23E71" w:rsidRDefault="00623E71">
                          <w:pPr>
                            <w:spacing w:before="13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color w:val="BEBEBE"/>
                              <w:sz w:val="20"/>
                            </w:rPr>
                            <w:t xml:space="preserve">SEI 005400.000643/2026-10 / pg. </w:t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792BF5">
                            <w:rPr>
                              <w:noProof/>
                              <w:color w:val="BEBEBE"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color w:val="BEBEBE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7.9pt;margin-top:821.95pt;width:169.5pt;height:13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" filled="f" stroked="f">
              <v:path arrowok="t"/>
              <v:textbox inset="0,0,0,0">
                <w:txbxContent>
                  <w:p w:rsidR="00623E71" w:rsidRDefault="00623E71">
                    <w:pPr>
                      <w:spacing w:before="13"/>
                      <w:ind w:left="20"/>
                      <w:rPr>
                        <w:sz w:val="20"/>
                      </w:rPr>
                    </w:pPr>
                    <w:r>
                      <w:rPr>
                        <w:color w:val="BEBEBE"/>
                        <w:sz w:val="20"/>
                      </w:rPr>
                      <w:t xml:space="preserve">SEI 005400.000643/2026-10 / pg. </w:t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fldChar w:fldCharType="separate"/>
                    </w:r>
                    <w:r w:rsidR="00792BF5">
                      <w:rPr>
                        <w:noProof/>
                        <w:color w:val="BEBEBE"/>
                        <w:spacing w:val="-10"/>
                        <w:sz w:val="20"/>
                      </w:rPr>
                      <w:t>1</w:t>
                    </w:r>
                    <w:r>
                      <w:rPr>
                        <w:color w:val="BEBEBE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36B" w:rsidRDefault="001C036B">
      <w:r>
        <w:separator/>
      </w:r>
    </w:p>
  </w:footnote>
  <w:footnote w:type="continuationSeparator" w:id="0">
    <w:p w:rsidR="001C036B" w:rsidRDefault="001C03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631"/>
    <w:multiLevelType w:val="hybridMultilevel"/>
    <w:tmpl w:val="9C029F68"/>
    <w:lvl w:ilvl="0" w:tplc="C0843356">
      <w:start w:val="1"/>
      <w:numFmt w:val="lowerLetter"/>
      <w:lvlText w:val="%1)"/>
      <w:lvlJc w:val="left"/>
      <w:pPr>
        <w:ind w:left="294" w:hanging="1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19"/>
        <w:szCs w:val="19"/>
        <w:lang w:val="pt-PT" w:eastAsia="en-US" w:bidi="ar-SA"/>
      </w:rPr>
    </w:lvl>
    <w:lvl w:ilvl="1" w:tplc="C4E0706A">
      <w:numFmt w:val="bullet"/>
      <w:lvlText w:val="•"/>
      <w:lvlJc w:val="left"/>
      <w:pPr>
        <w:ind w:left="1346" w:hanging="196"/>
      </w:pPr>
      <w:rPr>
        <w:rFonts w:hint="default"/>
        <w:lang w:val="pt-PT" w:eastAsia="en-US" w:bidi="ar-SA"/>
      </w:rPr>
    </w:lvl>
    <w:lvl w:ilvl="2" w:tplc="00786DCA">
      <w:numFmt w:val="bullet"/>
      <w:lvlText w:val="•"/>
      <w:lvlJc w:val="left"/>
      <w:pPr>
        <w:ind w:left="2393" w:hanging="196"/>
      </w:pPr>
      <w:rPr>
        <w:rFonts w:hint="default"/>
        <w:lang w:val="pt-PT" w:eastAsia="en-US" w:bidi="ar-SA"/>
      </w:rPr>
    </w:lvl>
    <w:lvl w:ilvl="3" w:tplc="45ECF30E">
      <w:numFmt w:val="bullet"/>
      <w:lvlText w:val="•"/>
      <w:lvlJc w:val="left"/>
      <w:pPr>
        <w:ind w:left="3440" w:hanging="196"/>
      </w:pPr>
      <w:rPr>
        <w:rFonts w:hint="default"/>
        <w:lang w:val="pt-PT" w:eastAsia="en-US" w:bidi="ar-SA"/>
      </w:rPr>
    </w:lvl>
    <w:lvl w:ilvl="4" w:tplc="2120210A">
      <w:numFmt w:val="bullet"/>
      <w:lvlText w:val="•"/>
      <w:lvlJc w:val="left"/>
      <w:pPr>
        <w:ind w:left="4487" w:hanging="196"/>
      </w:pPr>
      <w:rPr>
        <w:rFonts w:hint="default"/>
        <w:lang w:val="pt-PT" w:eastAsia="en-US" w:bidi="ar-SA"/>
      </w:rPr>
    </w:lvl>
    <w:lvl w:ilvl="5" w:tplc="D85CE65E">
      <w:numFmt w:val="bullet"/>
      <w:lvlText w:val="•"/>
      <w:lvlJc w:val="left"/>
      <w:pPr>
        <w:ind w:left="5534" w:hanging="196"/>
      </w:pPr>
      <w:rPr>
        <w:rFonts w:hint="default"/>
        <w:lang w:val="pt-PT" w:eastAsia="en-US" w:bidi="ar-SA"/>
      </w:rPr>
    </w:lvl>
    <w:lvl w:ilvl="6" w:tplc="55109DD0">
      <w:numFmt w:val="bullet"/>
      <w:lvlText w:val="•"/>
      <w:lvlJc w:val="left"/>
      <w:pPr>
        <w:ind w:left="6580" w:hanging="196"/>
      </w:pPr>
      <w:rPr>
        <w:rFonts w:hint="default"/>
        <w:lang w:val="pt-PT" w:eastAsia="en-US" w:bidi="ar-SA"/>
      </w:rPr>
    </w:lvl>
    <w:lvl w:ilvl="7" w:tplc="A2680160">
      <w:numFmt w:val="bullet"/>
      <w:lvlText w:val="•"/>
      <w:lvlJc w:val="left"/>
      <w:pPr>
        <w:ind w:left="7627" w:hanging="196"/>
      </w:pPr>
      <w:rPr>
        <w:rFonts w:hint="default"/>
        <w:lang w:val="pt-PT" w:eastAsia="en-US" w:bidi="ar-SA"/>
      </w:rPr>
    </w:lvl>
    <w:lvl w:ilvl="8" w:tplc="058E924A">
      <w:numFmt w:val="bullet"/>
      <w:lvlText w:val="•"/>
      <w:lvlJc w:val="left"/>
      <w:pPr>
        <w:ind w:left="8674" w:hanging="196"/>
      </w:pPr>
      <w:rPr>
        <w:rFonts w:hint="default"/>
        <w:lang w:val="pt-PT" w:eastAsia="en-US" w:bidi="ar-SA"/>
      </w:rPr>
    </w:lvl>
  </w:abstractNum>
  <w:abstractNum w:abstractNumId="1" w15:restartNumberingAfterBreak="0">
    <w:nsid w:val="01AB27D0"/>
    <w:multiLevelType w:val="multilevel"/>
    <w:tmpl w:val="13F4C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952AAE"/>
    <w:multiLevelType w:val="multilevel"/>
    <w:tmpl w:val="5920979A"/>
    <w:lvl w:ilvl="0">
      <w:start w:val="4"/>
      <w:numFmt w:val="decimal"/>
      <w:lvlText w:val="%1"/>
      <w:lvlJc w:val="left"/>
      <w:pPr>
        <w:ind w:left="99" w:hanging="3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333"/>
      </w:pPr>
      <w:rPr>
        <w:rFonts w:hint="default"/>
        <w:lang w:val="pt-PT" w:eastAsia="en-US" w:bidi="ar-SA"/>
      </w:rPr>
    </w:lvl>
  </w:abstractNum>
  <w:abstractNum w:abstractNumId="3" w15:restartNumberingAfterBreak="0">
    <w:nsid w:val="10A543AD"/>
    <w:multiLevelType w:val="multilevel"/>
    <w:tmpl w:val="5D02B09E"/>
    <w:lvl w:ilvl="0">
      <w:start w:val="11"/>
      <w:numFmt w:val="decimal"/>
      <w:lvlText w:val="%1"/>
      <w:lvlJc w:val="left"/>
      <w:pPr>
        <w:ind w:left="526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6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569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4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9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8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8" w:hanging="428"/>
      </w:pPr>
      <w:rPr>
        <w:rFonts w:hint="default"/>
        <w:lang w:val="pt-PT" w:eastAsia="en-US" w:bidi="ar-SA"/>
      </w:rPr>
    </w:lvl>
  </w:abstractNum>
  <w:abstractNum w:abstractNumId="4" w15:restartNumberingAfterBreak="0">
    <w:nsid w:val="19DD72B1"/>
    <w:multiLevelType w:val="multilevel"/>
    <w:tmpl w:val="10306246"/>
    <w:lvl w:ilvl="0">
      <w:start w:val="14"/>
      <w:numFmt w:val="decimal"/>
      <w:lvlText w:val="%1."/>
      <w:lvlJc w:val="left"/>
      <w:pPr>
        <w:ind w:left="384" w:hanging="28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3" w:hanging="49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1534" w:hanging="4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8" w:hanging="4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2" w:hanging="4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6" w:hanging="4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51" w:hanging="4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5" w:hanging="4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9" w:hanging="499"/>
      </w:pPr>
      <w:rPr>
        <w:rFonts w:hint="default"/>
        <w:lang w:val="pt-PT" w:eastAsia="en-US" w:bidi="ar-SA"/>
      </w:rPr>
    </w:lvl>
  </w:abstractNum>
  <w:abstractNum w:abstractNumId="5" w15:restartNumberingAfterBreak="0">
    <w:nsid w:val="25A15D51"/>
    <w:multiLevelType w:val="multilevel"/>
    <w:tmpl w:val="8A3CBC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32" w:hanging="1440"/>
      </w:pPr>
      <w:rPr>
        <w:rFonts w:hint="default"/>
      </w:rPr>
    </w:lvl>
  </w:abstractNum>
  <w:abstractNum w:abstractNumId="6" w15:restartNumberingAfterBreak="0">
    <w:nsid w:val="43624E97"/>
    <w:multiLevelType w:val="multilevel"/>
    <w:tmpl w:val="7D140F6E"/>
    <w:lvl w:ilvl="0">
      <w:start w:val="7"/>
      <w:numFmt w:val="decimal"/>
      <w:lvlText w:val="%1"/>
      <w:lvlJc w:val="left"/>
      <w:pPr>
        <w:ind w:left="99" w:hanging="3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333"/>
      </w:pPr>
      <w:rPr>
        <w:rFonts w:hint="default"/>
        <w:lang w:val="pt-PT" w:eastAsia="en-US" w:bidi="ar-SA"/>
      </w:rPr>
    </w:lvl>
  </w:abstractNum>
  <w:abstractNum w:abstractNumId="7" w15:restartNumberingAfterBreak="0">
    <w:nsid w:val="4AD771BC"/>
    <w:multiLevelType w:val="multilevel"/>
    <w:tmpl w:val="6B04130C"/>
    <w:lvl w:ilvl="0">
      <w:start w:val="6"/>
      <w:numFmt w:val="decimal"/>
      <w:lvlText w:val="%1"/>
      <w:lvlJc w:val="left"/>
      <w:pPr>
        <w:ind w:left="99" w:hanging="3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333"/>
      </w:pPr>
      <w:rPr>
        <w:rFonts w:hint="default"/>
        <w:lang w:val="pt-PT" w:eastAsia="en-US" w:bidi="ar-SA"/>
      </w:rPr>
    </w:lvl>
  </w:abstractNum>
  <w:abstractNum w:abstractNumId="8" w15:restartNumberingAfterBreak="0">
    <w:nsid w:val="4B6C2383"/>
    <w:multiLevelType w:val="multilevel"/>
    <w:tmpl w:val="261421C8"/>
    <w:lvl w:ilvl="0">
      <w:start w:val="14"/>
      <w:numFmt w:val="decimal"/>
      <w:lvlText w:val="%1"/>
      <w:lvlJc w:val="left"/>
      <w:pPr>
        <w:ind w:left="9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4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233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428"/>
      </w:pPr>
      <w:rPr>
        <w:rFonts w:hint="default"/>
        <w:lang w:val="pt-PT" w:eastAsia="en-US" w:bidi="ar-SA"/>
      </w:rPr>
    </w:lvl>
  </w:abstractNum>
  <w:abstractNum w:abstractNumId="9" w15:restartNumberingAfterBreak="0">
    <w:nsid w:val="4F400A0D"/>
    <w:multiLevelType w:val="multilevel"/>
    <w:tmpl w:val="60003D72"/>
    <w:lvl w:ilvl="0">
      <w:start w:val="3"/>
      <w:numFmt w:val="decimal"/>
      <w:lvlText w:val="%1"/>
      <w:lvlJc w:val="left"/>
      <w:pPr>
        <w:ind w:left="99" w:hanging="3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333"/>
      </w:pPr>
      <w:rPr>
        <w:rFonts w:hint="default"/>
        <w:lang w:val="pt-PT" w:eastAsia="en-US" w:bidi="ar-SA"/>
      </w:rPr>
    </w:lvl>
  </w:abstractNum>
  <w:abstractNum w:abstractNumId="10" w15:restartNumberingAfterBreak="0">
    <w:nsid w:val="552F36A6"/>
    <w:multiLevelType w:val="multilevel"/>
    <w:tmpl w:val="9AA6434A"/>
    <w:lvl w:ilvl="0">
      <w:start w:val="8"/>
      <w:numFmt w:val="decimal"/>
      <w:lvlText w:val="%1"/>
      <w:lvlJc w:val="left"/>
      <w:pPr>
        <w:ind w:left="431" w:hanging="3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31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505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8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1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36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69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2" w:hanging="333"/>
      </w:pPr>
      <w:rPr>
        <w:rFonts w:hint="default"/>
        <w:lang w:val="pt-PT" w:eastAsia="en-US" w:bidi="ar-SA"/>
      </w:rPr>
    </w:lvl>
  </w:abstractNum>
  <w:abstractNum w:abstractNumId="11" w15:restartNumberingAfterBreak="0">
    <w:nsid w:val="557531E4"/>
    <w:multiLevelType w:val="multilevel"/>
    <w:tmpl w:val="ED403410"/>
    <w:lvl w:ilvl="0">
      <w:start w:val="12"/>
      <w:numFmt w:val="decimal"/>
      <w:lvlText w:val="%1"/>
      <w:lvlJc w:val="left"/>
      <w:pPr>
        <w:ind w:left="526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6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569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4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9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4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8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93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18" w:hanging="428"/>
      </w:pPr>
      <w:rPr>
        <w:rFonts w:hint="default"/>
        <w:lang w:val="pt-PT" w:eastAsia="en-US" w:bidi="ar-SA"/>
      </w:rPr>
    </w:lvl>
  </w:abstractNum>
  <w:abstractNum w:abstractNumId="12" w15:restartNumberingAfterBreak="0">
    <w:nsid w:val="6D4F38EE"/>
    <w:multiLevelType w:val="multilevel"/>
    <w:tmpl w:val="7F18210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5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1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7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32" w:hanging="1440"/>
      </w:pPr>
      <w:rPr>
        <w:rFonts w:hint="default"/>
      </w:rPr>
    </w:lvl>
  </w:abstractNum>
  <w:abstractNum w:abstractNumId="13" w15:restartNumberingAfterBreak="0">
    <w:nsid w:val="6EB6085C"/>
    <w:multiLevelType w:val="multilevel"/>
    <w:tmpl w:val="A4C80A62"/>
    <w:lvl w:ilvl="0">
      <w:start w:val="9"/>
      <w:numFmt w:val="decimal"/>
      <w:lvlText w:val="%1"/>
      <w:lvlJc w:val="left"/>
      <w:pPr>
        <w:ind w:left="99" w:hanging="3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333"/>
      </w:pPr>
      <w:rPr>
        <w:rFonts w:hint="default"/>
        <w:lang w:val="pt-PT" w:eastAsia="en-US" w:bidi="ar-SA"/>
      </w:rPr>
    </w:lvl>
  </w:abstractNum>
  <w:abstractNum w:abstractNumId="14" w15:restartNumberingAfterBreak="0">
    <w:nsid w:val="6F96143A"/>
    <w:multiLevelType w:val="multilevel"/>
    <w:tmpl w:val="B0564E4A"/>
    <w:lvl w:ilvl="0">
      <w:start w:val="10"/>
      <w:numFmt w:val="decimal"/>
      <w:lvlText w:val="%1"/>
      <w:lvlJc w:val="left"/>
      <w:pPr>
        <w:ind w:left="9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4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428"/>
      </w:pPr>
      <w:rPr>
        <w:rFonts w:hint="default"/>
        <w:lang w:val="pt-PT" w:eastAsia="en-US" w:bidi="ar-SA"/>
      </w:rPr>
    </w:lvl>
  </w:abstractNum>
  <w:abstractNum w:abstractNumId="15" w15:restartNumberingAfterBreak="0">
    <w:nsid w:val="705E058A"/>
    <w:multiLevelType w:val="multilevel"/>
    <w:tmpl w:val="C2745514"/>
    <w:lvl w:ilvl="0">
      <w:start w:val="5"/>
      <w:numFmt w:val="decimal"/>
      <w:lvlText w:val="%1"/>
      <w:lvlJc w:val="left"/>
      <w:pPr>
        <w:ind w:left="99" w:hanging="3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9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333"/>
      </w:pPr>
      <w:rPr>
        <w:rFonts w:hint="default"/>
        <w:lang w:val="pt-PT" w:eastAsia="en-US" w:bidi="ar-SA"/>
      </w:rPr>
    </w:lvl>
  </w:abstractNum>
  <w:abstractNum w:abstractNumId="16" w15:restartNumberingAfterBreak="0">
    <w:nsid w:val="77250D12"/>
    <w:multiLevelType w:val="multilevel"/>
    <w:tmpl w:val="53C06D0A"/>
    <w:lvl w:ilvl="0">
      <w:start w:val="1"/>
      <w:numFmt w:val="decimal"/>
      <w:lvlText w:val="%1."/>
      <w:lvlJc w:val="left"/>
      <w:pPr>
        <w:ind w:left="289" w:hanging="19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9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1445" w:hanging="28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10" w:hanging="2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6" w:hanging="2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41" w:hanging="2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6" w:hanging="2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72" w:hanging="2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7" w:hanging="286"/>
      </w:pPr>
      <w:rPr>
        <w:rFonts w:hint="default"/>
        <w:lang w:val="pt-PT" w:eastAsia="en-US" w:bidi="ar-SA"/>
      </w:rPr>
    </w:lvl>
  </w:abstractNum>
  <w:abstractNum w:abstractNumId="17" w15:restartNumberingAfterBreak="0">
    <w:nsid w:val="7A3632DC"/>
    <w:multiLevelType w:val="multilevel"/>
    <w:tmpl w:val="78D4DF02"/>
    <w:lvl w:ilvl="0">
      <w:start w:val="2"/>
      <w:numFmt w:val="decimal"/>
      <w:lvlText w:val="%1"/>
      <w:lvlJc w:val="left"/>
      <w:pPr>
        <w:ind w:left="99" w:hanging="333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99" w:hanging="3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17"/>
        <w:szCs w:val="17"/>
        <w:lang w:val="pt-PT" w:eastAsia="en-US" w:bidi="ar-SA"/>
      </w:rPr>
    </w:lvl>
    <w:lvl w:ilvl="2">
      <w:numFmt w:val="bullet"/>
      <w:lvlText w:val="•"/>
      <w:lvlJc w:val="left"/>
      <w:pPr>
        <w:ind w:left="2233" w:hanging="3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0" w:hanging="3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7" w:hanging="3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34" w:hanging="3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0" w:hanging="3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67" w:hanging="3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34" w:hanging="333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1"/>
  </w:num>
  <w:num w:numId="5">
    <w:abstractNumId w:val="3"/>
  </w:num>
  <w:num w:numId="6">
    <w:abstractNumId w:val="14"/>
  </w:num>
  <w:num w:numId="7">
    <w:abstractNumId w:val="13"/>
  </w:num>
  <w:num w:numId="8">
    <w:abstractNumId w:val="10"/>
  </w:num>
  <w:num w:numId="9">
    <w:abstractNumId w:val="6"/>
  </w:num>
  <w:num w:numId="10">
    <w:abstractNumId w:val="7"/>
  </w:num>
  <w:num w:numId="11">
    <w:abstractNumId w:val="15"/>
  </w:num>
  <w:num w:numId="12">
    <w:abstractNumId w:val="2"/>
  </w:num>
  <w:num w:numId="13">
    <w:abstractNumId w:val="9"/>
  </w:num>
  <w:num w:numId="14">
    <w:abstractNumId w:val="17"/>
  </w:num>
  <w:num w:numId="15">
    <w:abstractNumId w:val="16"/>
  </w:num>
  <w:num w:numId="16">
    <w:abstractNumId w:val="5"/>
  </w:num>
  <w:num w:numId="17">
    <w:abstractNumId w:val="1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EE0587"/>
    <w:rsid w:val="00026246"/>
    <w:rsid w:val="00026564"/>
    <w:rsid w:val="00031D9A"/>
    <w:rsid w:val="001A7F7C"/>
    <w:rsid w:val="001C036B"/>
    <w:rsid w:val="00255CEA"/>
    <w:rsid w:val="004228D7"/>
    <w:rsid w:val="00623E71"/>
    <w:rsid w:val="00654DCE"/>
    <w:rsid w:val="0067627C"/>
    <w:rsid w:val="00680BEF"/>
    <w:rsid w:val="00792BF5"/>
    <w:rsid w:val="007D70A6"/>
    <w:rsid w:val="0082104C"/>
    <w:rsid w:val="0087270E"/>
    <w:rsid w:val="00887835"/>
    <w:rsid w:val="009347B4"/>
    <w:rsid w:val="009A5CBB"/>
    <w:rsid w:val="00B10BD2"/>
    <w:rsid w:val="00B10CAD"/>
    <w:rsid w:val="00B31476"/>
    <w:rsid w:val="00C45B0A"/>
    <w:rsid w:val="00D01E79"/>
    <w:rsid w:val="00D36B82"/>
    <w:rsid w:val="00D96C04"/>
    <w:rsid w:val="00E47E70"/>
    <w:rsid w:val="00E77B80"/>
    <w:rsid w:val="00EE0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E97544"/>
  <w15:docId w15:val="{D4E4A650-71B6-41EE-BE94-18362A72A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94" w:right="114"/>
      <w:jc w:val="center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Ttulo2">
    <w:name w:val="heading 2"/>
    <w:basedOn w:val="Normal"/>
    <w:uiPriority w:val="1"/>
    <w:qFormat/>
    <w:pPr>
      <w:ind w:left="289" w:hanging="190"/>
      <w:outlineLvl w:val="1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Ttulo3">
    <w:name w:val="heading 3"/>
    <w:basedOn w:val="Normal"/>
    <w:uiPriority w:val="1"/>
    <w:qFormat/>
    <w:pPr>
      <w:ind w:left="99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99"/>
      <w:ind w:left="99"/>
    </w:pPr>
    <w:rPr>
      <w:sz w:val="17"/>
      <w:szCs w:val="17"/>
    </w:rPr>
  </w:style>
  <w:style w:type="paragraph" w:styleId="PargrafodaLista">
    <w:name w:val="List Paragraph"/>
    <w:basedOn w:val="Normal"/>
    <w:uiPriority w:val="1"/>
    <w:qFormat/>
    <w:pPr>
      <w:spacing w:before="99"/>
      <w:ind w:left="99"/>
    </w:pPr>
  </w:style>
  <w:style w:type="paragraph" w:customStyle="1" w:styleId="TableParagraph">
    <w:name w:val="Table Paragraph"/>
    <w:basedOn w:val="Normal"/>
    <w:uiPriority w:val="1"/>
    <w:qFormat/>
    <w:pPr>
      <w:spacing w:before="2"/>
      <w:ind w:left="80"/>
    </w:pPr>
  </w:style>
  <w:style w:type="paragraph" w:customStyle="1" w:styleId="w6asjqtextbase">
    <w:name w:val="w6asjq_textbase"/>
    <w:basedOn w:val="Normal"/>
    <w:rsid w:val="00C45B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w6asjqtextbase1">
    <w:name w:val="w6asjq_textbase1"/>
    <w:basedOn w:val="Fontepargpadro"/>
    <w:rsid w:val="00C45B0A"/>
  </w:style>
  <w:style w:type="paragraph" w:styleId="NormalWeb">
    <w:name w:val="Normal (Web)"/>
    <w:basedOn w:val="Normal"/>
    <w:uiPriority w:val="99"/>
    <w:semiHidden/>
    <w:unhideWhenUsed/>
    <w:rsid w:val="009A5CB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D96C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6C04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D96C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6C04"/>
    <w:rPr>
      <w:rFonts w:ascii="Arial" w:eastAsia="Arial" w:hAnsi="Arial" w:cs="Arial"/>
      <w:lang w:val="pt-PT"/>
    </w:rPr>
  </w:style>
  <w:style w:type="character" w:styleId="Hyperlink">
    <w:name w:val="Hyperlink"/>
    <w:basedOn w:val="Fontepargpadro"/>
    <w:uiPriority w:val="99"/>
    <w:unhideWhenUsed/>
    <w:rsid w:val="004228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51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694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9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54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5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6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15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7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816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rossref.org/membership/about-sponsor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5</Pages>
  <Words>2341</Words>
  <Characters>12647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005400.000643/2026-10</vt:lpstr>
    </vt:vector>
  </TitlesOfParts>
  <Company>PCRJ</Company>
  <LinksUpToDate>false</LinksUpToDate>
  <CharactersWithSpaces>14959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005400.000643/2026-10</dc:title>
  <cp:lastModifiedBy>Rafael Silva Gomes</cp:lastModifiedBy>
  <cp:revision>14</cp:revision>
  <dcterms:created xsi:type="dcterms:W3CDTF">2026-10-09T20:33:00Z</dcterms:created>
  <dcterms:modified xsi:type="dcterms:W3CDTF">2026-10-14T20:47:00Z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2026-10-09T00:00:00Z</vt:filetime>
  </property>
  <property fmtid="{D5CDD505-2E9C-101B-9397-08002B2CF9AE}" pid="4" name="Creator">
    <vt:lpwstr>wkhtmltopdf 0.12.6</vt:lpwstr>
  </property>
  <property fmtid="{D5CDD505-2E9C-101B-9397-08002B2CF9AE}" pid="5" name="Producer">
    <vt:lpwstr>Qt 4.8.7</vt:lpwstr>
  </property>
  <property fmtid="{D5CDD505-2E9C-101B-9397-08002B2CF9AE}" pid="6" name="LastSaved">
    <vt:filetime>2026-10-09T00:00:00Z</vt:filetime>
  </property>
</Properties>
</file>