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02F" w:rsidRPr="00F9502F" w:rsidRDefault="00F9502F" w:rsidP="00F9502F">
      <w:pPr>
        <w:jc w:val="both"/>
        <w:rPr>
          <w:rFonts w:ascii="Arial" w:hAnsi="Arial" w:cs="Arial"/>
        </w:rPr>
      </w:pPr>
      <w:bookmarkStart w:id="0" w:name="_GoBack"/>
      <w:r w:rsidRPr="00F9502F">
        <w:rPr>
          <w:rFonts w:ascii="Arial" w:hAnsi="Arial" w:cs="Arial"/>
        </w:rPr>
        <w:t>1. DEFINIÇÃO DO OBJETO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1.1. Objeto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Contratação de empresa(s) especializada(s) para a prestação de serviços de:</w:t>
      </w:r>
    </w:p>
    <w:p w:rsidR="00F9502F" w:rsidRPr="000B730A" w:rsidRDefault="00F9502F" w:rsidP="000B730A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recarga de extintores e realização de teste hidrostático em mangueiras de incêndio;</w:t>
      </w:r>
    </w:p>
    <w:p w:rsidR="00F9502F" w:rsidRPr="000B730A" w:rsidRDefault="00F9502F" w:rsidP="000B730A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dedetização, descupinização e desratização;</w:t>
      </w:r>
    </w:p>
    <w:p w:rsidR="00F9502F" w:rsidRPr="000B730A" w:rsidRDefault="00F9502F" w:rsidP="000B730A">
      <w:pPr>
        <w:pStyle w:val="PargrafodaLista"/>
        <w:numPr>
          <w:ilvl w:val="0"/>
          <w:numId w:val="34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limpeza, higienização e desinfecção de cisterna e caixa d’água;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para atendimento das necessidades do Instituto Municipal de Urbanismo Pereira Passos – IPP, conforme condições, quantidades e exigências estabelecidas neste Termo de Referência.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1.2. Divisão em lotes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contratação será dividida em 3 (três) lotes, conforme especificações abaixo: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1 – Recarga de extintores e teste hidrostático de mangueiras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4581"/>
        <w:gridCol w:w="1294"/>
      </w:tblGrid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Quantidade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Recarga de extintor de incêndio CO</w:t>
            </w:r>
            <w:r w:rsidRPr="000B730A">
              <w:rPr>
                <w:rFonts w:ascii="Cambria Math" w:hAnsi="Cambria Math" w:cs="Cambria Math"/>
              </w:rPr>
              <w:t>₂</w:t>
            </w:r>
            <w:r w:rsidRPr="000B730A">
              <w:rPr>
                <w:rFonts w:ascii="Arial" w:hAnsi="Arial" w:cs="Arial"/>
              </w:rPr>
              <w:t xml:space="preserve"> – 4 kg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3 unidades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Recarga de extintor de incêndio CO</w:t>
            </w:r>
            <w:r w:rsidRPr="000B730A">
              <w:rPr>
                <w:rFonts w:ascii="Cambria Math" w:hAnsi="Cambria Math" w:cs="Cambria Math"/>
              </w:rPr>
              <w:t>₂</w:t>
            </w:r>
            <w:r w:rsidRPr="000B730A">
              <w:rPr>
                <w:rFonts w:ascii="Arial" w:hAnsi="Arial" w:cs="Arial"/>
              </w:rPr>
              <w:t xml:space="preserve"> – 6 kg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22 unidades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Recarga de extintor de incêndio PQS – 6 kg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16 unidades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Recarga de extintor de incêndio AP – 10 litros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16 unidades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Teste hidrostático em mangueiras de incêndio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14 unidades</w:t>
            </w:r>
          </w:p>
        </w:tc>
      </w:tr>
    </w:tbl>
    <w:p w:rsidR="00F9502F" w:rsidRDefault="00F9502F" w:rsidP="00F9502F">
      <w:pPr>
        <w:jc w:val="both"/>
        <w:rPr>
          <w:rFonts w:ascii="Arial" w:hAnsi="Arial" w:cs="Arial"/>
        </w:rPr>
      </w:pP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2 – Dedetização, descupinização e desratização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"/>
        <w:gridCol w:w="6367"/>
        <w:gridCol w:w="1233"/>
      </w:tblGrid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Quantidade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Dedetização, descupinização e desratização das áreas internas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4.800 m²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Dedetização, descupinização e desratização das áreas externas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1.983 m²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6.783 m²</w:t>
            </w:r>
          </w:p>
        </w:tc>
      </w:tr>
    </w:tbl>
    <w:p w:rsidR="00F9502F" w:rsidRPr="00F9502F" w:rsidRDefault="00F9502F" w:rsidP="00F9502F">
      <w:pPr>
        <w:jc w:val="both"/>
        <w:rPr>
          <w:rFonts w:ascii="Arial" w:hAnsi="Arial" w:cs="Arial"/>
        </w:rPr>
      </w:pPr>
    </w:p>
    <w:p w:rsid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3 – Limpeza, higienização e desinfecção de cisterna e caixa d’água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6293"/>
        <w:gridCol w:w="1233"/>
      </w:tblGrid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Quantidade</w:t>
            </w:r>
          </w:p>
        </w:tc>
      </w:tr>
      <w:tr w:rsidR="00F9502F" w:rsidRPr="000B730A" w:rsidTr="00F950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Limpeza, higienização e desinfecção de cisterna e caixa d’água</w:t>
            </w:r>
          </w:p>
        </w:tc>
        <w:tc>
          <w:tcPr>
            <w:tcW w:w="0" w:type="auto"/>
            <w:vAlign w:val="center"/>
            <w:hideMark/>
          </w:tcPr>
          <w:p w:rsidR="00F9502F" w:rsidRPr="000B730A" w:rsidRDefault="00F9502F" w:rsidP="00F9502F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0B730A">
              <w:rPr>
                <w:rFonts w:ascii="Arial" w:hAnsi="Arial" w:cs="Arial"/>
              </w:rPr>
              <w:t>1 serviço</w:t>
            </w:r>
          </w:p>
        </w:tc>
      </w:tr>
    </w:tbl>
    <w:p w:rsidR="00F9502F" w:rsidRDefault="00F9502F" w:rsidP="00F9502F">
      <w:pPr>
        <w:jc w:val="both"/>
        <w:rPr>
          <w:rFonts w:ascii="Arial" w:hAnsi="Arial" w:cs="Arial"/>
        </w:rPr>
      </w:pP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cisterna possui capacidade aproximada de 70.000 litros, enquanto a caixa d’água possui capacidade aproximada de 40.000 litros.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1.3. Natureza dos serviços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Os serviços são classificados como serviços comuns, nos termos do art. 6º, inciso XIII, da Lei Federal nº 14.133/2021, pois seus padrões de desempenho e qualidade podem ser objetivamente definidos por especificações usuais de mercado.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A classificação não afasta a necessidade de empresa especializada, profissionais capacitados, equipamentos adequados e observância das normas técnicas, sanitárias e de segurança aplicáveis.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1.4. Forma de formalização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contratação será formalizada por meio de Nota de Empenho, observadas as disposições legais e regulamentares aplicáveis.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1.5. Prazo de execução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 prazo para execução dos serviços será de até 20 (vinte) dias corridos, contados do recebimento da Nota de Empenho pela contratada.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 FUNDAMENTAÇÃO DA CONTRATAÇÃO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2.1.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contratação fundamenta-se na necessidade de assegurar condições adequadas de segurança, higiene, salubridade, conservação e funcionamento das instalações do Instituto Municipal de Urbanismo Pereira Passos –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2.2.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recarga dos extintores e a realização dos testes hidrostáticos nas mangueiras de incêndio são necessárias para garantir a disponibilidade e a confiabilidade dos equipamentos destinados à prevenção e ao combate a princípios de incêndio.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2.3.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realização dos serviços de dedetização, descupinização e desratização visa prevenir e controlar a presença de insetos, cupins, roedores e outros agentes que possam comprometer a saúde dos usuários, a conservação do patrimônio e a regularidade das atividades administrativas.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2.4.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limpeza, higienização e desinfecção da cisterna e da caixa d’água são necessárias para assegurar condições adequadas de armazenamento e conservação da água utilizada nas instalações do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2.5.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contratação está fundamentada nas necessidades identificadas no Estudo Técnico Preliminar – ETP e nos documentos que integram a fase de planejamento da contratação.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 DESCRIÇÃO DA SOLUÇÃO COMO UM TODO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3.1.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solução consiste na contratação de empresa(s) especializada(s), mediante divisão em lotes, para execução integral dos serviços descritos neste Termo de Referência.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3.2.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contratada deverá fornecer toda a mão de obra, equipamentos, ferramentas, materiais, produtos, insumos, transporte e demais recursos necessários à perfeita execução dos serviços, sem qualquer ônus adicional para 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3.3.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solução compreende: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3.3.1. Lote 1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Execução da recarga dos extintores de incêndio dos tipos CO</w:t>
      </w:r>
      <w:r w:rsidRPr="00F9502F">
        <w:rPr>
          <w:rFonts w:ascii="Cambria Math" w:hAnsi="Cambria Math" w:cs="Cambria Math"/>
        </w:rPr>
        <w:t>₂</w:t>
      </w:r>
      <w:r w:rsidRPr="00F9502F">
        <w:rPr>
          <w:rFonts w:ascii="Arial" w:hAnsi="Arial" w:cs="Arial"/>
        </w:rPr>
        <w:t>, PQS e AP, nas quantidades especificadas, bem como a realização de testes hidrostáticos nas mangueiras de incêndio, com emissão dos respectivos comprovantes, certificados ou relatórios técnicos, quando aplicáveis.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3.3.2. Lote 2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Execução de serviços de dedetização, descupinização e desratização nas áreas internas e externas do IPP, abrangendo a aplicação de produtos adequados, a adoção de medidas preventivas e o fornecimento de documentação comprobatória da execução.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3.3.3. Lote 3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Execução da limpeza, higienização e desinfecção da cisterna e da caixa d’água, incluindo o esvaziamento, a limpeza das superfícies, a remoção de resíduos, a aplicação de produtos apropriados, o enxágue, a desinfecção e o restabelecimento das condições adequadas de utilização.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3.4.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Os serviços deverão ser executados em conformidade com as normas técnicas, sanitárias, ambientais e de segurança aplicáveis, bem como com as orientações da fiscalização do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3.5.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solução somente será considerada concluída após:</w:t>
      </w:r>
    </w:p>
    <w:p w:rsidR="00F9502F" w:rsidRPr="00F34580" w:rsidRDefault="00F9502F" w:rsidP="00F34580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execução integral dos serviços contratados;</w:t>
      </w:r>
    </w:p>
    <w:p w:rsidR="00F9502F" w:rsidRPr="00F34580" w:rsidRDefault="00F9502F" w:rsidP="00F34580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apresentação dos documentos comprobatórios pertinentes;</w:t>
      </w:r>
    </w:p>
    <w:p w:rsidR="00F9502F" w:rsidRPr="00F34580" w:rsidRDefault="00F9502F" w:rsidP="00F34580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correção de eventuais falhas ou desconformidades;</w:t>
      </w:r>
    </w:p>
    <w:p w:rsidR="00F9502F" w:rsidRPr="00F34580" w:rsidRDefault="00F9502F" w:rsidP="00F34580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fiscalização e atesto pelo IPP;</w:t>
      </w:r>
    </w:p>
    <w:p w:rsidR="00F9502F" w:rsidRPr="00F34580" w:rsidRDefault="00F9502F" w:rsidP="00F34580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recebimento dos serviços.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 REQUISITOS DA CONTRATAÇÃO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4.1. Capacidade técnica e operacional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possuir capacidade técnica e operacional compatível com o objeto da contratação, demonstrando condições de executar os serviços dentro do prazo estabelecido e de acordo com as especificações deste Termo de Referência.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4.2. Profissionais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Os serviços deverão ser executados por profissionais devidamente capacitados, habilitados e em quantidade suficiente para assegurar a execução adequada, segura e tempestiva do objeto.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4.3. Equipamentos, ferramentas, materiais e insumos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fornecer, por sua conta e responsabilidade: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equipamentos;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ferramentas;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materiais;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produtos;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insumos;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equipamentos de proteção individual e coletiva;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transporte;</w:t>
      </w:r>
    </w:p>
    <w:p w:rsidR="00F9502F" w:rsidRPr="00F34580" w:rsidRDefault="00F9502F" w:rsidP="00F34580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demais recursos necessários à execução dos serviços.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4.4. Normas e segurança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observar todas as normas técnicas, sanitárias, ambientais, trabalhistas e de segurança aplicáveis, responsabilizando-se pela proteção de seus empregados, dos usuários, de terceiros, das instalações e dos bens do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4.5. Produtos utilizados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Os produtos utilizados deverão ser adequados à finalidade pretendida, possuir regularização perante os órgãos competentes, quando exigível, e ser aplicados conforme as orientações técnicas e as recomendações dos fabricantes.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4.6. Execução conforme o Termo de Referência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executar os serviços em estrita conformidade com este Termo de Referência, com a Nota de Empenho, com a proposta apresentada e com as orientações formalmente emitidas pelo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4.7. Correção de falhas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corrigir, reparar, complementar ou refazer, sem ônus adicional para o IPP, os serviços que apresentarem falhas, defeitos, vícios ou desconformidades.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4.8. Documentação comprobatória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fornecer, quando aplicável: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certificados;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relatórios de execução;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comprovantes de recarga;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registros dos testes hidrostáticos;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comprovantes de aplicação dos produtos;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laudos ou documentos técnicos;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comprovantes de destinação de resíduos;</w:t>
      </w:r>
    </w:p>
    <w:p w:rsidR="00F9502F" w:rsidRPr="00F34580" w:rsidRDefault="00F9502F" w:rsidP="00F3458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outros documentos necessários à comprovação da execução.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4.9. Resíduos e transporte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será responsável pelo transporte, manuseio, acondicionamento e destinação adequada dos resíduos decorrentes da execução dos serviços, observada a legislação aplicável.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4.10. Comunicação com o IPP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manter comunicação adequada com o IPP e atender às solicitações da fiscalização, inclusive quanto à programação, ao acesso às instalações e à correção de eventuais irregularidades.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4.11. Regularidade e habilitação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manter, durante a execução da contratação, as condições de habilitação e regularidade exigidas no procedimento de contratação, inclusive aquelas verificadas por meio do SICAF, quando aplicável.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4.12. Atestado de capacidade técnica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Poderá ser exigida a apresentação de atestado(s) de capacidade técnica fornecido(s) por pessoa jurídica de direito público ou privado, que comprove(m) a execução anterior de serviços compatíveis com as características e a complexidade do objeto.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4.13. Consórcio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Não será admitida a participação de empresas reunidas em consórcio, considerando a natureza comum do objeto, o valor estimado da contratação e a possibilidade de execução por empresa individualmente habilitada.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4.14. Cooperativas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Não será admitida a participação de cooperativas quando a forma de organização e execução dos serviços for incompatível com os requisitos de subordinação, pessoalidade, habitualidade ou responsabilidade direta exigidos para a contratação.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4.15. Subcontratação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É vedada a subcontratação total ou parcial do objeto, salvo se expressamente autorizada pelo IPP e desde que não comprometa a responsabilidade integral da contratada pela execução dos serviços.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4.16. Integridade Pública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apresentar a demonstração da entrega do Questionário Eletrônico de Integridade Pública para Fornecedores e Colaboradores Externos, devidamente preenchido, conforme disposto no art. 7º do Decreto Rio nº 49.415/2021.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comprovação deverá ser apresentada no momento definido no procedimento de contratação ou quando solicitada pelo IPP, observadas as orientações e os procedimentos aplicáveis no âmbito da Administração Pública Municipal.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 MODELO DE EXECUÇÃO DO OBJETO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5.1.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Os serviços deverão ser executados no prazo máximo de 20 (vinte) dias corridos, contados do recebimento da Nota de Empenho pela contratada.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5.2.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execução deverá ocorrer de forma integral, observadas as especificações, os quantitativos e as condições estabelecidas para cada lote.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5.3.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contratada deverá apresentar previamente ao IPP a programação de execução, indicando as datas previstas, os serviços a serem realizados, os profissionais envolvidos e os recursos necessários.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5.3.1.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Os serviços referentes ao Lote 2 – Dedetização, descupinização e desratização e ao Lote 3 – Limpeza, higienização e desinfecção de cisterna e caixa d’água deverão ser executados aos finais de semana, em data previamente ajustada com o IPP, de modo a minimizar interferências nas atividades administrativas e no funcionamento regular do Instituto.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5.3.2.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Eventual realização dos serviços em dia útil dependerá de autorização prévia do IPP, mediante justificativa e compatibilidade com a rotina institucional.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5.4.Todos os custos relacionados à execução dos serviços estarão incluídos no preço contratado, incluindo mão de obra, encargos, materiais, produtos, equipamentos, ferramentas, transporte, deslocamento, descarte de resíduos e demais despesas necessárias.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5.5. Lote 1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deverá: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realizar a recarga dos extintores indicados;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verificar as condições gerais dos equipamentos;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lastRenderedPageBreak/>
        <w:t>executar os procedimentos técnicos necessários;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realizar os testes hidrostáticos das mangueiras;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identificar os equipamentos e serviços executados;</w:t>
      </w:r>
    </w:p>
    <w:p w:rsidR="00F9502F" w:rsidRPr="00F34580" w:rsidRDefault="00F9502F" w:rsidP="00F34580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apresentar os certificados, comprovantes ou relatórios pertinentes.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5.6. Lote 2</w:t>
      </w:r>
    </w:p>
    <w:p w:rsidR="00F9502F" w:rsidRPr="00F34580" w:rsidRDefault="00F9502F" w:rsidP="00F34580">
      <w:p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 contratada deverá: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realizar vistoria prévia das áreas;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executar os serviços nas áreas internas e externas;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utilizar produtos adequados e regularizados;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adotar medidas de proteção para pessoas, animais, equipamentos e instalações;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informar previamente os cuidados necessários após a aplicação;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apresentar comprovante ou relatório de execução;</w:t>
      </w:r>
    </w:p>
    <w:p w:rsidR="00F9502F" w:rsidRPr="00F34580" w:rsidRDefault="00F9502F" w:rsidP="00F34580">
      <w:pPr>
        <w:pStyle w:val="PargrafodaLista"/>
        <w:numPr>
          <w:ilvl w:val="0"/>
          <w:numId w:val="23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orientar o IPP quanto às medidas preventivas cabíveis.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5.7. Lote 3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deverá: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realizar a limpeza integral da cisterna e da caixa d’água;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remover resíduos, incrustações e materiais acumulados;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executar a higienização e a desinfecção;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utilizar produtos apropriados;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adotar medidas para evitar contaminação;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restabelecer as condições de utilização dos reservatórios;</w:t>
      </w:r>
    </w:p>
    <w:p w:rsidR="00F9502F" w:rsidRPr="00F34580" w:rsidRDefault="00F9502F" w:rsidP="00F34580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apresentar relatório ou comprovante dos serviços executados.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5.8.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Ao final da execução, a contratada deverá apresentar os documentos comprobatórios dos serviços realizados, conforme a natureza de cada lote.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5.9.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fiscalização poderá solicitar a correção ou repetição dos serviços executados em desconformidade, sem qualquer custo adicional para 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6. MODELO DE GESTÃO DA CONTRATAÇÃO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6.1. Gestão e fiscalização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execução será acompanhada e fiscalizada por servidores formalmente designados pelo IPP, nos termos da legislação aplicável.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fiscalização deverá: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acompanhar a execução;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verificar a conformidade dos serviços;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conferir os quantitativos;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verificar o cumprimento dos prazos;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solicitar documentos comprobatórios;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registrar ocorrências;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determinar a correção de falhas;</w:t>
      </w:r>
    </w:p>
    <w:p w:rsidR="00F9502F" w:rsidRPr="00F34580" w:rsidRDefault="00F9502F" w:rsidP="00F3458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atestar a execução para fins de pagamento.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6.2. Obrigações da contratada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São obrigações da contratada: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lastRenderedPageBreak/>
        <w:t>executar o objeto conforme o TR e a Nota de Empenho;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cumprir os prazos estabelecidos;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disponibilizar profissionais capacitados;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fornecer materiais, equipamentos e produtos;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observar as normas aplicáveis;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manter preposto ou representante para comunicação com o IPP;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reparar falhas e desconformidades;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apresentar os documentos exigidos;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responder por danos causados ao IPP ou a terceiros;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manter as condições de habilitação;</w:t>
      </w:r>
    </w:p>
    <w:p w:rsidR="00F9502F" w:rsidRPr="00F34580" w:rsidRDefault="00F9502F" w:rsidP="00F34580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cumprir as determinações da fiscalização.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6.3. Obrigações do contratante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São obrigações do IPP: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fornecer as informações necessárias à execução;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permitir o acesso às áreas, observadas as regras de segurança;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indicar os locais e condições de execução;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acompanhar e fiscalizar os serviços;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comunicar formalmente as irregularidades identificadas;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receber os serviços quando estiverem em conformidade;</w:t>
      </w:r>
    </w:p>
    <w:p w:rsidR="00F9502F" w:rsidRPr="00F34580" w:rsidRDefault="00F9502F" w:rsidP="00F34580">
      <w:pPr>
        <w:pStyle w:val="PargrafodaLista"/>
        <w:numPr>
          <w:ilvl w:val="0"/>
          <w:numId w:val="27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efetuar o pagamento após o regular atesto e a liquidação da despesa.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6.4. Recebimento dos serviços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 recebimento ocorrerá após a conclusão integral dos serviços de cada lote, mediante verificação da conformidade pela fiscalização.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O IPP poderá recusar, total ou parcialmente, os serviços executados em desacordo com este Termo de Referência, com a Nota de Empenho ou com as orientações da fiscalização.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contratada deverá corrigir as irregularidades apontadas no prazo estabelecido pelo IPP, sem ônus adicional.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 CRITÉRIOS DE MEDIÇÃO E DE PAGAMENTO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7.1. Medição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medição será realizada por lote, considerando a execução integral dos serviços previstos e a apresentação dos documentos comprobatórios pertinentes.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7.2. Pagamento</w:t>
      </w:r>
    </w:p>
    <w:p w:rsidR="00F9502F" w:rsidRPr="00F34580" w:rsidRDefault="00F9502F" w:rsidP="00F34580">
      <w:p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O pagamento será realizado em parcela única por lote, após: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conclusão dos serviços;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recebimento definitivo;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apresentação da nota fiscal ou fatura;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atesto da fiscalização;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regular liquidação da despesa;</w:t>
      </w:r>
    </w:p>
    <w:p w:rsidR="00F9502F" w:rsidRPr="00F34580" w:rsidRDefault="00F9502F" w:rsidP="00F34580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verificação da documentação exigida.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7.3.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nota fiscal ou fatura deverá corresponder aos serviços efetivamente executados e aceitos pelo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7.4.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 prazo para pagamento será de até 30 (trinta) dias, contados do recebimento da nota fiscal ou fatura devidamente atestada e da regular liquidação da despesa, observadas as disposições regulamentares aplicáveis.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7.5.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 pagamento será realizado mediante crédito em conta corrente mantida no Banco Santander (Brasil) S.A., conforme Portaria F/SUBEX/SUPTM nº 01/2025, ressalvadas as hipóteses de dispensa previstas no regulamento municipal vigente.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7.6.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Ficam ressalvadas as hipóteses de dispensa aplicáveis às pessoas jurídicas cujo pagamento por arquivo bancário não exceda o limite de R$ 10.000,00, conforme regulamentação municipal vigente.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7.7.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Não será efetuado pagamento enquanto houver pendência relacionada à execução do objeto, à documentação exigida ou à regularidade da nota fiscal ou fatura.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 FORMA E CRITÉRIOS DE SELEÇÃO DO FORNECEDOR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8.1.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seleção do fornecedor será realizada por meio de Dispensa Eletrônica, com fundamento no art. 75, inciso II, da Lei Federal nº 14.133/2021, observadas as normas municipais aplicáveis.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8.2.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Será adotado o critério de julgamento de menor preço por lote.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8.3.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Será permitida a participação do fornecedor em um ou mais lotes, desde que atenda integralmente às exigências de habilitação e às especificações correspondentes a cada lote.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8.4.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proposta deverá contemplar todos os custos diretos e indiretos necessários à execução do objeto, incluindo mão de obra, encargos, materiais, produtos, equipamentos, ferramentas, transporte, tributos, seguros e demais despesas.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8.5.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Serão verificadas as condições de habilitação jurídica, fiscal, social, trabalhista, econômico-financeira e técnica, conforme exigências do procedimento de contratação.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8.6.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documentação poderá ser verificada por meio do SICAF e dos demais sistemas oficiais disponíveis, sem prejuízo da apresentação de documentos complementares quando necessário.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8.7.</w:t>
      </w:r>
      <w:r w:rsidR="00F34580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Será exigida a demonstração da entrega do Questionário Eletrônico de Integridade Pública para Fornecedores e Colaboradores Externos, devidamente preenchido, nos termos do art. 7º do Decreto Rio nº 49.415/2021.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8.8.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A proposta poderá ser desclassificada quando: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estiver em desconformidade com as especificações;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apresentar preço manifestamente inexequível;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não contemplar todos os custos necessários;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não atender às exigências do procedimento;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contiver vícios insanáveis;</w:t>
      </w:r>
    </w:p>
    <w:p w:rsidR="00F9502F" w:rsidRPr="00F34580" w:rsidRDefault="00F9502F" w:rsidP="00F34580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</w:rPr>
      </w:pPr>
      <w:r w:rsidRPr="00F34580">
        <w:rPr>
          <w:rFonts w:ascii="Arial" w:hAnsi="Arial" w:cs="Arial"/>
        </w:rPr>
        <w:t>não apresentar os documentos exigidos.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8.9.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A contratação será formalizada por meio de Nota de Empenho, após a conclusão do procedimento e a adjudicação do objeto, observadas as condições legais e regulamentares.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9. ESTIMATIVA DO VALOR DA CONTRATAÇÃO</w:t>
      </w:r>
    </w:p>
    <w:p w:rsidR="002A7671" w:rsidRPr="00F9502F" w:rsidRDefault="00F9502F" w:rsidP="002A7671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9.1.</w:t>
      </w:r>
      <w:r w:rsidR="002A7671">
        <w:rPr>
          <w:rFonts w:ascii="Arial" w:hAnsi="Arial" w:cs="Arial"/>
        </w:rPr>
        <w:t xml:space="preserve"> </w:t>
      </w:r>
      <w:r w:rsidR="002A7671" w:rsidRPr="00F9502F">
        <w:rPr>
          <w:rFonts w:ascii="Arial" w:hAnsi="Arial" w:cs="Arial"/>
        </w:rPr>
        <w:t xml:space="preserve">O valor estimado da contratação é de R$ </w:t>
      </w:r>
      <w:r w:rsidR="008F4FA7">
        <w:rPr>
          <w:rFonts w:ascii="Arial" w:hAnsi="Arial" w:cs="Arial"/>
        </w:rPr>
        <w:t>8.653,54</w:t>
      </w:r>
      <w:r w:rsidR="002A7671" w:rsidRPr="00F9502F">
        <w:rPr>
          <w:rFonts w:ascii="Arial" w:hAnsi="Arial" w:cs="Arial"/>
        </w:rPr>
        <w:t>, distribuído da seguinte forma: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7"/>
        <w:gridCol w:w="5047"/>
        <w:gridCol w:w="1293"/>
        <w:gridCol w:w="1477"/>
      </w:tblGrid>
      <w:tr w:rsidR="00F34580" w:rsidRPr="00412AD8" w:rsidTr="00F34580">
        <w:trPr>
          <w:tblCellSpacing w:w="15" w:type="dxa"/>
        </w:trPr>
        <w:tc>
          <w:tcPr>
            <w:tcW w:w="632" w:type="dxa"/>
            <w:vAlign w:val="center"/>
            <w:hideMark/>
          </w:tcPr>
          <w:p w:rsidR="00F34580" w:rsidRPr="00412AD8" w:rsidRDefault="00F34580" w:rsidP="00AE63C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12AD8">
              <w:rPr>
                <w:rFonts w:cs="Arial"/>
                <w:b/>
                <w:sz w:val="20"/>
                <w:szCs w:val="20"/>
              </w:rPr>
              <w:t>Lote</w:t>
            </w:r>
          </w:p>
        </w:tc>
        <w:tc>
          <w:tcPr>
            <w:tcW w:w="5017" w:type="dxa"/>
            <w:vAlign w:val="center"/>
            <w:hideMark/>
          </w:tcPr>
          <w:p w:rsidR="00F34580" w:rsidRPr="00412AD8" w:rsidRDefault="00F34580" w:rsidP="00AE63C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12AD8">
              <w:rPr>
                <w:rFonts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263" w:type="dxa"/>
          </w:tcPr>
          <w:p w:rsidR="00F34580" w:rsidRPr="00412AD8" w:rsidRDefault="00F34580" w:rsidP="00AE63CC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432" w:type="dxa"/>
            <w:vAlign w:val="center"/>
            <w:hideMark/>
          </w:tcPr>
          <w:p w:rsidR="00F34580" w:rsidRPr="00412AD8" w:rsidRDefault="00F34580" w:rsidP="00AE63C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12AD8">
              <w:rPr>
                <w:rFonts w:cs="Arial"/>
                <w:b/>
                <w:sz w:val="20"/>
                <w:szCs w:val="20"/>
              </w:rPr>
              <w:t>Valor estimado</w:t>
            </w:r>
          </w:p>
        </w:tc>
      </w:tr>
      <w:tr w:rsidR="002A7671" w:rsidRPr="00412AD8" w:rsidTr="00EF3D5E">
        <w:trPr>
          <w:tblCellSpacing w:w="15" w:type="dxa"/>
        </w:trPr>
        <w:tc>
          <w:tcPr>
            <w:tcW w:w="632" w:type="dxa"/>
            <w:vMerge w:val="restart"/>
            <w:vAlign w:val="center"/>
            <w:hideMark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Lote 1</w:t>
            </w:r>
          </w:p>
        </w:tc>
        <w:tc>
          <w:tcPr>
            <w:tcW w:w="5017" w:type="dxa"/>
            <w:vAlign w:val="center"/>
            <w:hideMark/>
          </w:tcPr>
          <w:p w:rsidR="002A7671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Recarga de extintor de incêndio CO</w:t>
            </w:r>
            <w:r w:rsidRPr="00412AD8">
              <w:rPr>
                <w:rFonts w:ascii="Cambria Math" w:hAnsi="Cambria Math" w:cs="Cambria Math"/>
                <w:sz w:val="20"/>
                <w:szCs w:val="20"/>
              </w:rPr>
              <w:t>₂</w:t>
            </w:r>
            <w:r w:rsidRPr="00412AD8">
              <w:rPr>
                <w:rFonts w:cs="Arial"/>
                <w:sz w:val="20"/>
                <w:szCs w:val="20"/>
              </w:rPr>
              <w:t xml:space="preserve"> – 4 kg</w:t>
            </w:r>
          </w:p>
        </w:tc>
        <w:tc>
          <w:tcPr>
            <w:tcW w:w="1263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R$51,37</w:t>
            </w:r>
          </w:p>
        </w:tc>
        <w:tc>
          <w:tcPr>
            <w:tcW w:w="1432" w:type="dxa"/>
            <w:hideMark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R$154,11</w:t>
            </w:r>
          </w:p>
        </w:tc>
      </w:tr>
      <w:tr w:rsidR="002A7671" w:rsidRPr="00412AD8" w:rsidTr="00EF3D5E">
        <w:trPr>
          <w:tblCellSpacing w:w="15" w:type="dxa"/>
        </w:trPr>
        <w:tc>
          <w:tcPr>
            <w:tcW w:w="632" w:type="dxa"/>
            <w:vMerge/>
            <w:vAlign w:val="center"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017" w:type="dxa"/>
            <w:vAlign w:val="center"/>
          </w:tcPr>
          <w:p w:rsidR="002A7671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Recarga de extintor de incêndio CO</w:t>
            </w:r>
            <w:r w:rsidRPr="00412AD8">
              <w:rPr>
                <w:rFonts w:ascii="Cambria Math" w:hAnsi="Cambria Math" w:cs="Cambria Math"/>
                <w:sz w:val="20"/>
                <w:szCs w:val="20"/>
              </w:rPr>
              <w:t>₂</w:t>
            </w:r>
            <w:r w:rsidRPr="00412AD8">
              <w:rPr>
                <w:rFonts w:cs="Arial"/>
                <w:sz w:val="20"/>
                <w:szCs w:val="20"/>
              </w:rPr>
              <w:t xml:space="preserve"> – 6 kg</w:t>
            </w:r>
          </w:p>
        </w:tc>
        <w:tc>
          <w:tcPr>
            <w:tcW w:w="1263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R$61,37</w:t>
            </w:r>
          </w:p>
        </w:tc>
        <w:tc>
          <w:tcPr>
            <w:tcW w:w="1432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R$1.350,14</w:t>
            </w:r>
          </w:p>
        </w:tc>
      </w:tr>
      <w:tr w:rsidR="002A7671" w:rsidRPr="00412AD8" w:rsidTr="00EF3D5E">
        <w:trPr>
          <w:tblCellSpacing w:w="15" w:type="dxa"/>
        </w:trPr>
        <w:tc>
          <w:tcPr>
            <w:tcW w:w="632" w:type="dxa"/>
            <w:vMerge/>
            <w:vAlign w:val="center"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017" w:type="dxa"/>
            <w:vAlign w:val="center"/>
          </w:tcPr>
          <w:p w:rsidR="002A7671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Recarga de extintor de incêndio PQS – 6 kg</w:t>
            </w:r>
          </w:p>
        </w:tc>
        <w:tc>
          <w:tcPr>
            <w:tcW w:w="1263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R$54,67</w:t>
            </w:r>
          </w:p>
        </w:tc>
        <w:tc>
          <w:tcPr>
            <w:tcW w:w="1432" w:type="dxa"/>
          </w:tcPr>
          <w:p w:rsidR="002A7671" w:rsidRPr="00F34580" w:rsidRDefault="008F4FA7" w:rsidP="00F3458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R$874,72</w:t>
            </w:r>
          </w:p>
        </w:tc>
      </w:tr>
      <w:tr w:rsidR="002A7671" w:rsidRPr="00412AD8" w:rsidTr="00EF3D5E">
        <w:trPr>
          <w:tblCellSpacing w:w="15" w:type="dxa"/>
        </w:trPr>
        <w:tc>
          <w:tcPr>
            <w:tcW w:w="632" w:type="dxa"/>
            <w:vMerge/>
            <w:vAlign w:val="center"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017" w:type="dxa"/>
            <w:vAlign w:val="center"/>
          </w:tcPr>
          <w:p w:rsidR="002A7671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Recarga de extintor de incêndio AP – 10 litros</w:t>
            </w:r>
          </w:p>
        </w:tc>
        <w:tc>
          <w:tcPr>
            <w:tcW w:w="1263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R$41,03</w:t>
            </w:r>
          </w:p>
        </w:tc>
        <w:tc>
          <w:tcPr>
            <w:tcW w:w="1432" w:type="dxa"/>
          </w:tcPr>
          <w:p w:rsidR="002A7671" w:rsidRPr="00F34580" w:rsidRDefault="008F4FA7" w:rsidP="00F3458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R$656,48</w:t>
            </w:r>
          </w:p>
        </w:tc>
      </w:tr>
      <w:tr w:rsidR="002A7671" w:rsidRPr="00412AD8" w:rsidTr="00EF3D5E">
        <w:trPr>
          <w:tblCellSpacing w:w="15" w:type="dxa"/>
        </w:trPr>
        <w:tc>
          <w:tcPr>
            <w:tcW w:w="632" w:type="dxa"/>
            <w:vMerge/>
            <w:vAlign w:val="center"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5017" w:type="dxa"/>
            <w:vAlign w:val="center"/>
          </w:tcPr>
          <w:p w:rsidR="002A7671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Teste hidrostático de mangueiras de incêndio</w:t>
            </w:r>
          </w:p>
        </w:tc>
        <w:tc>
          <w:tcPr>
            <w:tcW w:w="1263" w:type="dxa"/>
          </w:tcPr>
          <w:p w:rsidR="002A7671" w:rsidRPr="00F34580" w:rsidRDefault="002A7671" w:rsidP="00F34580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R$47,60</w:t>
            </w:r>
          </w:p>
        </w:tc>
        <w:tc>
          <w:tcPr>
            <w:tcW w:w="1432" w:type="dxa"/>
          </w:tcPr>
          <w:p w:rsidR="002A7671" w:rsidRPr="00F34580" w:rsidRDefault="002A7671" w:rsidP="008F4FA7">
            <w:pPr>
              <w:rPr>
                <w:rFonts w:cs="Arial"/>
                <w:sz w:val="20"/>
                <w:szCs w:val="20"/>
              </w:rPr>
            </w:pPr>
            <w:r w:rsidRPr="00F34580">
              <w:rPr>
                <w:rFonts w:cs="Arial"/>
                <w:sz w:val="20"/>
                <w:szCs w:val="20"/>
              </w:rPr>
              <w:t>R$</w:t>
            </w:r>
            <w:r w:rsidR="008F4FA7">
              <w:rPr>
                <w:rFonts w:cs="Arial"/>
                <w:sz w:val="20"/>
                <w:szCs w:val="20"/>
              </w:rPr>
              <w:t>666,40</w:t>
            </w:r>
          </w:p>
        </w:tc>
      </w:tr>
      <w:tr w:rsidR="002A7671" w:rsidRPr="00412AD8" w:rsidTr="002A7671">
        <w:trPr>
          <w:tblCellSpacing w:w="15" w:type="dxa"/>
        </w:trPr>
        <w:tc>
          <w:tcPr>
            <w:tcW w:w="632" w:type="dxa"/>
            <w:vMerge/>
            <w:vAlign w:val="center"/>
          </w:tcPr>
          <w:p w:rsidR="002A7671" w:rsidRPr="00412AD8" w:rsidRDefault="002A7671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6310" w:type="dxa"/>
            <w:gridSpan w:val="2"/>
            <w:vAlign w:val="center"/>
          </w:tcPr>
          <w:p w:rsidR="002A7671" w:rsidRPr="002A7671" w:rsidRDefault="002A7671" w:rsidP="002A7671">
            <w:pPr>
              <w:jc w:val="right"/>
              <w:rPr>
                <w:rFonts w:cs="Arial"/>
                <w:b/>
                <w:sz w:val="20"/>
                <w:szCs w:val="20"/>
              </w:rPr>
            </w:pPr>
            <w:r w:rsidRPr="002A7671">
              <w:rPr>
                <w:rFonts w:cs="Arial"/>
                <w:b/>
                <w:sz w:val="20"/>
                <w:szCs w:val="20"/>
              </w:rPr>
              <w:t>TOTAL LOTE</w:t>
            </w:r>
          </w:p>
        </w:tc>
        <w:tc>
          <w:tcPr>
            <w:tcW w:w="1432" w:type="dxa"/>
            <w:vAlign w:val="center"/>
          </w:tcPr>
          <w:p w:rsidR="002A7671" w:rsidRPr="002A7671" w:rsidRDefault="002A7671" w:rsidP="00F34580">
            <w:pPr>
              <w:rPr>
                <w:rFonts w:cs="Arial"/>
                <w:b/>
                <w:sz w:val="20"/>
                <w:szCs w:val="20"/>
              </w:rPr>
            </w:pPr>
            <w:r w:rsidRPr="002A7671">
              <w:rPr>
                <w:rFonts w:cs="Arial"/>
                <w:b/>
                <w:sz w:val="20"/>
                <w:szCs w:val="20"/>
              </w:rPr>
              <w:t>R$3.257,74</w:t>
            </w:r>
          </w:p>
        </w:tc>
      </w:tr>
      <w:tr w:rsidR="00F34580" w:rsidRPr="00412AD8" w:rsidTr="00F34580">
        <w:trPr>
          <w:tblCellSpacing w:w="15" w:type="dxa"/>
        </w:trPr>
        <w:tc>
          <w:tcPr>
            <w:tcW w:w="632" w:type="dxa"/>
            <w:vAlign w:val="center"/>
            <w:hideMark/>
          </w:tcPr>
          <w:p w:rsidR="00F34580" w:rsidRPr="00412AD8" w:rsidRDefault="00F34580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Lote 2</w:t>
            </w:r>
          </w:p>
        </w:tc>
        <w:tc>
          <w:tcPr>
            <w:tcW w:w="5017" w:type="dxa"/>
            <w:vAlign w:val="center"/>
            <w:hideMark/>
          </w:tcPr>
          <w:p w:rsidR="00F34580" w:rsidRPr="00412AD8" w:rsidRDefault="00F34580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Dedetização, descupinização e desratização</w:t>
            </w:r>
          </w:p>
        </w:tc>
        <w:tc>
          <w:tcPr>
            <w:tcW w:w="1263" w:type="dxa"/>
          </w:tcPr>
          <w:p w:rsidR="00F34580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R$0,45</w:t>
            </w:r>
          </w:p>
        </w:tc>
        <w:tc>
          <w:tcPr>
            <w:tcW w:w="1432" w:type="dxa"/>
            <w:vAlign w:val="center"/>
            <w:hideMark/>
          </w:tcPr>
          <w:p w:rsidR="00F34580" w:rsidRPr="00412AD8" w:rsidRDefault="00F34580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 xml:space="preserve">R$ </w:t>
            </w:r>
            <w:r w:rsidR="002A7671">
              <w:rPr>
                <w:rFonts w:cs="Arial"/>
                <w:sz w:val="20"/>
                <w:szCs w:val="20"/>
              </w:rPr>
              <w:t>3.3.039,88</w:t>
            </w:r>
          </w:p>
        </w:tc>
      </w:tr>
      <w:tr w:rsidR="00F34580" w:rsidRPr="00412AD8" w:rsidTr="00F34580">
        <w:trPr>
          <w:tblCellSpacing w:w="15" w:type="dxa"/>
        </w:trPr>
        <w:tc>
          <w:tcPr>
            <w:tcW w:w="632" w:type="dxa"/>
            <w:vAlign w:val="center"/>
            <w:hideMark/>
          </w:tcPr>
          <w:p w:rsidR="00F34580" w:rsidRPr="00412AD8" w:rsidRDefault="00F34580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Lote 3</w:t>
            </w:r>
          </w:p>
        </w:tc>
        <w:tc>
          <w:tcPr>
            <w:tcW w:w="5017" w:type="dxa"/>
            <w:vAlign w:val="center"/>
            <w:hideMark/>
          </w:tcPr>
          <w:p w:rsidR="00F34580" w:rsidRPr="00412AD8" w:rsidRDefault="00F34580" w:rsidP="00F34580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Limpeza, higienização e desinfecção de cisterna e caixa d’água</w:t>
            </w:r>
          </w:p>
        </w:tc>
        <w:tc>
          <w:tcPr>
            <w:tcW w:w="1263" w:type="dxa"/>
          </w:tcPr>
          <w:p w:rsidR="00F34580" w:rsidRPr="00412AD8" w:rsidRDefault="002A7671" w:rsidP="00F34580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R$3.039,88</w:t>
            </w:r>
          </w:p>
        </w:tc>
        <w:tc>
          <w:tcPr>
            <w:tcW w:w="1432" w:type="dxa"/>
            <w:vAlign w:val="center"/>
            <w:hideMark/>
          </w:tcPr>
          <w:p w:rsidR="00F34580" w:rsidRPr="00412AD8" w:rsidRDefault="00F34580" w:rsidP="00F34580">
            <w:pPr>
              <w:rPr>
                <w:rFonts w:cs="Arial"/>
                <w:sz w:val="20"/>
                <w:szCs w:val="20"/>
              </w:rPr>
            </w:pPr>
            <w:r w:rsidRPr="00412AD8">
              <w:rPr>
                <w:rFonts w:cs="Arial"/>
                <w:sz w:val="20"/>
                <w:szCs w:val="20"/>
              </w:rPr>
              <w:t>R$ 1.911,81</w:t>
            </w:r>
          </w:p>
        </w:tc>
      </w:tr>
      <w:tr w:rsidR="00F34580" w:rsidRPr="00412AD8" w:rsidTr="00F34580">
        <w:trPr>
          <w:tblCellSpacing w:w="15" w:type="dxa"/>
        </w:trPr>
        <w:tc>
          <w:tcPr>
            <w:tcW w:w="632" w:type="dxa"/>
            <w:vAlign w:val="bottom"/>
            <w:hideMark/>
          </w:tcPr>
          <w:p w:rsidR="00F34580" w:rsidRPr="00412AD8" w:rsidRDefault="00F34580" w:rsidP="00F34580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017" w:type="dxa"/>
            <w:vAlign w:val="bottom"/>
            <w:hideMark/>
          </w:tcPr>
          <w:p w:rsidR="00F34580" w:rsidRPr="00412AD8" w:rsidRDefault="00F34580" w:rsidP="00F34580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12AD8">
              <w:rPr>
                <w:rFonts w:cs="Arial"/>
                <w:b/>
                <w:sz w:val="20"/>
                <w:szCs w:val="20"/>
              </w:rPr>
              <w:t>Valor global estimado</w:t>
            </w:r>
          </w:p>
        </w:tc>
        <w:tc>
          <w:tcPr>
            <w:tcW w:w="1263" w:type="dxa"/>
          </w:tcPr>
          <w:p w:rsidR="00F34580" w:rsidRPr="00412AD8" w:rsidRDefault="00F34580" w:rsidP="00F34580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32" w:type="dxa"/>
            <w:vAlign w:val="bottom"/>
            <w:hideMark/>
          </w:tcPr>
          <w:p w:rsidR="00F34580" w:rsidRPr="00412AD8" w:rsidRDefault="00F34580" w:rsidP="008F4FA7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12AD8">
              <w:rPr>
                <w:rFonts w:cs="Arial"/>
                <w:b/>
                <w:sz w:val="20"/>
                <w:szCs w:val="20"/>
              </w:rPr>
              <w:t xml:space="preserve">R$ </w:t>
            </w:r>
            <w:r w:rsidR="008F4FA7">
              <w:rPr>
                <w:rFonts w:cs="Arial"/>
                <w:b/>
                <w:sz w:val="20"/>
                <w:szCs w:val="20"/>
              </w:rPr>
              <w:t>8.653,54</w:t>
            </w:r>
          </w:p>
        </w:tc>
      </w:tr>
    </w:tbl>
    <w:p w:rsidR="00F34580" w:rsidRDefault="00F34580" w:rsidP="00F9502F">
      <w:pPr>
        <w:jc w:val="both"/>
        <w:rPr>
          <w:rFonts w:ascii="Arial" w:hAnsi="Arial" w:cs="Arial"/>
        </w:rPr>
      </w:pP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9.2.</w:t>
      </w:r>
      <w:r w:rsidR="002A7671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estimativa foi elaborada com base na pesquisa de preços realizada na fase de planejamento da contratação, considerando referências de mercado e os custos necessários à execução integral dos serviços.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9.3.</w:t>
      </w:r>
      <w:r w:rsidR="002A7671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Os valores estimados abrangem todos os custos diretos e indiretos, inclusive mão de obra, encargos, materiais, produtos, equipamentos, transporte, tributos e demais despesas relacionadas à execução do objeto.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10. ADEQUAÇÃO ORÇAMENTÁRIA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10.1.A despesa decorrente da contratação correrá à conta da seguinte classificação orçamentária: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Programa de Trabalho: 1135.15.122.0700.2991;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Natureza da Despesa: 3390.39-244;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Fonte de Recursos: 100;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 xml:space="preserve">Valor estimado: R$ </w:t>
      </w:r>
      <w:r w:rsidR="008F4FA7">
        <w:rPr>
          <w:rFonts w:ascii="Arial" w:hAnsi="Arial" w:cs="Arial"/>
        </w:rPr>
        <w:t>8.653,54</w:t>
      </w:r>
      <w:r w:rsidRPr="00F9502F">
        <w:rPr>
          <w:rFonts w:ascii="Arial" w:hAnsi="Arial" w:cs="Arial"/>
        </w:rPr>
        <w:t>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10.2.A contratação será formalizada por meio de Nota de Empenho, observada a disponibilidade orçamentária e financeira e os procedimentos internos do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 REGIME DE PRESTAÇÃO DOS SERVIÇOS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11.1.Os serviços serão prestados sob o regime de execução integral por lote, mediante pagamento de preço global por lote.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11.2.A contratação será composta pelos seguintes lotes: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1 – Recarga de extintores e teste hidrostático de mangueiras;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2 – Dedetização, descupinização e desratização;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Lote 3 – Limpeza, higienização e desinfecção de cisterna e caixa d’água.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11.3.</w:t>
      </w:r>
      <w:r w:rsidR="002A7671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contratada será integralmente responsável pela execução dos serviços, incluindo fornecimento de mão de obra, materiais, produtos, equipamentos, ferramentas, transporte e demais recursos necessários.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11.4.</w:t>
      </w:r>
      <w:r w:rsidR="002A7671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 prazo de execução será de até 20 (vinte) dias corridos, contados do recebimento da Nota de Empenho.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11.5.</w:t>
      </w:r>
      <w:r w:rsidR="002A7671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Os serviços dos Lotes 2 e 3 deverão ser executados aos finais de semana, em data previamente ajustada com o IPP, salvo autorização prévia para realização em dia útil.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11.6.Não será admitida a execução parcial do objeto, salvo mediante autorização expressa e justificada do IPP, sem prejuízo do cumprimento integral das obrigações assumidas.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12. SANÇÕES ADMINISTRATIVAS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12.1.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 recusa da ADJUDICATÁRIA em assinar o termo de contrato ou em retirar o instrumento equivalente dentro do prazo estabelecido caracteriza o descumprimento total das obrigações assumidas, sujeitando–a às penalidades previstas no subitem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 7.11.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2.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Em razão das condutas previstas no art. 155 da Lei Federal n° 14.133/2021,</w:t>
      </w:r>
      <w:r w:rsidRPr="0094720E">
        <w:rPr>
          <w:rFonts w:ascii="Arial" w:hAnsi="Arial" w:cs="Arial"/>
          <w:color w:val="000000" w:themeColor="text1"/>
          <w:spacing w:val="21"/>
          <w:sz w:val="21"/>
          <w:szCs w:val="21"/>
        </w:rPr>
        <w:t xml:space="preserve"> 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o IPP 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poderá, sem prejuízo responsabilidade civil e criminal que couber, aplicar as seguintes </w:t>
      </w:r>
      <w:r w:rsidRPr="0094720E">
        <w:rPr>
          <w:rFonts w:ascii="Arial" w:hAnsi="Arial" w:cs="Arial"/>
          <w:b/>
          <w:color w:val="000000" w:themeColor="text1"/>
          <w:sz w:val="21"/>
          <w:szCs w:val="21"/>
        </w:rPr>
        <w:t>sanções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, previstas no art. 156 da Lei Federal nº 14.133/2021 e no art. 589 do RGCAF:</w:t>
      </w:r>
    </w:p>
    <w:p w:rsidR="000B730A" w:rsidRPr="0094720E" w:rsidRDefault="000B730A" w:rsidP="000B730A">
      <w:pPr>
        <w:pStyle w:val="PargrafodaLista"/>
        <w:widowControl w:val="0"/>
        <w:numPr>
          <w:ilvl w:val="0"/>
          <w:numId w:val="32"/>
        </w:numPr>
        <w:tabs>
          <w:tab w:val="left" w:pos="582"/>
        </w:tabs>
        <w:spacing w:after="0" w:line="240" w:lineRule="auto"/>
        <w:contextualSpacing w:val="0"/>
        <w:jc w:val="both"/>
        <w:rPr>
          <w:rFonts w:cs="Arial"/>
          <w:color w:val="000000" w:themeColor="text1"/>
          <w:szCs w:val="21"/>
        </w:rPr>
      </w:pPr>
      <w:r w:rsidRPr="0094720E">
        <w:rPr>
          <w:rFonts w:cs="Arial"/>
          <w:b/>
          <w:color w:val="000000" w:themeColor="text1"/>
          <w:szCs w:val="21"/>
        </w:rPr>
        <w:t>Advertência</w:t>
      </w:r>
      <w:r w:rsidRPr="0094720E">
        <w:rPr>
          <w:rFonts w:cs="Arial"/>
          <w:color w:val="000000" w:themeColor="text1"/>
          <w:szCs w:val="21"/>
        </w:rPr>
        <w:t>;</w:t>
      </w:r>
    </w:p>
    <w:p w:rsidR="000B730A" w:rsidRPr="0094720E" w:rsidRDefault="000B730A" w:rsidP="000B730A">
      <w:pPr>
        <w:pStyle w:val="PargrafodaLista"/>
        <w:widowControl w:val="0"/>
        <w:numPr>
          <w:ilvl w:val="0"/>
          <w:numId w:val="32"/>
        </w:numPr>
        <w:tabs>
          <w:tab w:val="left" w:pos="582"/>
        </w:tabs>
        <w:spacing w:after="0" w:line="240" w:lineRule="auto"/>
        <w:contextualSpacing w:val="0"/>
        <w:jc w:val="both"/>
        <w:rPr>
          <w:rFonts w:cs="Arial"/>
          <w:color w:val="000000" w:themeColor="text1"/>
          <w:szCs w:val="21"/>
        </w:rPr>
      </w:pPr>
      <w:r w:rsidRPr="0094720E">
        <w:rPr>
          <w:rFonts w:cs="Arial"/>
          <w:b/>
          <w:color w:val="000000" w:themeColor="text1"/>
          <w:szCs w:val="21"/>
        </w:rPr>
        <w:t>Multa</w:t>
      </w:r>
      <w:r w:rsidRPr="0094720E">
        <w:rPr>
          <w:rFonts w:cs="Arial"/>
          <w:color w:val="000000" w:themeColor="text1"/>
          <w:szCs w:val="21"/>
        </w:rPr>
        <w:t>;</w:t>
      </w:r>
    </w:p>
    <w:p w:rsidR="000B730A" w:rsidRPr="0094720E" w:rsidRDefault="000B730A" w:rsidP="000B730A">
      <w:pPr>
        <w:pStyle w:val="PargrafodaLista"/>
        <w:numPr>
          <w:ilvl w:val="0"/>
          <w:numId w:val="32"/>
        </w:numPr>
        <w:tabs>
          <w:tab w:val="left" w:pos="616"/>
        </w:tabs>
        <w:spacing w:after="0" w:line="240" w:lineRule="auto"/>
        <w:contextualSpacing w:val="0"/>
        <w:jc w:val="both"/>
        <w:rPr>
          <w:rFonts w:cs="Arial"/>
          <w:color w:val="000000" w:themeColor="text1"/>
          <w:szCs w:val="21"/>
        </w:rPr>
      </w:pPr>
      <w:r w:rsidRPr="0094720E">
        <w:rPr>
          <w:rFonts w:cs="Arial"/>
          <w:b/>
          <w:color w:val="000000" w:themeColor="text1"/>
          <w:szCs w:val="21"/>
        </w:rPr>
        <w:t>Impedimento de licitar e contratar</w:t>
      </w:r>
      <w:r w:rsidRPr="0094720E">
        <w:rPr>
          <w:rFonts w:cs="Arial"/>
          <w:color w:val="000000" w:themeColor="text1"/>
          <w:szCs w:val="21"/>
        </w:rPr>
        <w:t>, pelo prazo de até 3 (três) anos;</w:t>
      </w:r>
    </w:p>
    <w:p w:rsidR="000B730A" w:rsidRPr="0094720E" w:rsidRDefault="000B730A" w:rsidP="000B730A">
      <w:pPr>
        <w:pStyle w:val="PargrafodaLista"/>
        <w:numPr>
          <w:ilvl w:val="0"/>
          <w:numId w:val="32"/>
        </w:numPr>
        <w:tabs>
          <w:tab w:val="left" w:pos="616"/>
        </w:tabs>
        <w:spacing w:after="0" w:line="240" w:lineRule="auto"/>
        <w:contextualSpacing w:val="0"/>
        <w:jc w:val="both"/>
        <w:rPr>
          <w:rFonts w:cs="Arial"/>
          <w:color w:val="000000" w:themeColor="text1"/>
          <w:szCs w:val="21"/>
        </w:rPr>
      </w:pPr>
      <w:r w:rsidRPr="0094720E">
        <w:rPr>
          <w:rFonts w:eastAsia="Times New Roman" w:cs="Arial"/>
          <w:b/>
          <w:color w:val="000000" w:themeColor="text1"/>
          <w:szCs w:val="21"/>
          <w:lang w:eastAsia="pt-BR"/>
        </w:rPr>
        <w:t>Declaração de inidoneidade para licitar ou contratar</w:t>
      </w:r>
      <w:r w:rsidRPr="0094720E">
        <w:rPr>
          <w:rFonts w:eastAsia="Times New Roman" w:cs="Arial"/>
          <w:color w:val="000000" w:themeColor="text1"/>
          <w:szCs w:val="21"/>
          <w:lang w:eastAsia="pt-BR"/>
        </w:rPr>
        <w:t>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 aplicação da sanção prevista na alínea “b” observará os seguintes parâmetros: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strike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3.1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0,1% (um décimo por cento) até 0,2% (dois décimos por cento) por dia útil sobre o valor da parcela/etapa em atraso do Contrato, nos primeiros 15 (quinze) dias de atraso. 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3.2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0,3% (três décimos por cento) até 0,4% (quatro décimos por cento) por dia útil sobre o valor da parcela/etapa em atraso do Contrato, a partir do 16º (décimo sexto) dia útil de atraso. 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3.3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Após o 15º (décimo quinto) dia útil de atraso na execução do contrato, a Administração poderá optar pela extinção unilateral da avença e aplicar multa de 0,5% (meio por cento) até 20% (vinte por cento) sobre o valor do saldo do Contrato.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.3.4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0,5% (meio por cento) até 20% (vinte por cento) sobre o valor do Contrato, na hipótese de recusa em o contrato ou retirar o instrumento equivalente.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3.5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0,07% (sete centésimos por cento) do valor do Contrato por dia útil de atraso na apresentação da garantia (seja para reforço ou por ocasião de prorrogação), observado o máximo de 2% (dois por cento). O atraso superior a 25 (vinte e cinco) dias úteis autorizará o CONTRATANTE a promover a extinção do Contrato e aplicar multa de 0,5% (meio por cento) até 20% (vinte por cento) sobre o valor do saldo do Contrato.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3.6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0,2% a 3,2% por dia sobre o valor mensal do Contrato, conforme detalhamento constante das tabelas 1 e 2, abaixo; e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3.7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As penalidades de multa decorrentes de fatos diversos serão consideradas independentes entre si.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12.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3.8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. 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Para efeito de aplicação de multas, às infrações são atribuídos graus, de acordo com as tabelas 1 e 2:</w:t>
      </w:r>
    </w:p>
    <w:p w:rsidR="000B730A" w:rsidRPr="0094720E" w:rsidRDefault="000B730A" w:rsidP="000B730A">
      <w:pPr>
        <w:tabs>
          <w:tab w:val="left" w:pos="7938"/>
        </w:tabs>
        <w:spacing w:after="0" w:line="240" w:lineRule="auto"/>
        <w:rPr>
          <w:rFonts w:cs="Arial"/>
          <w:color w:val="000000" w:themeColor="text1"/>
          <w:szCs w:val="21"/>
        </w:rPr>
      </w:pPr>
    </w:p>
    <w:tbl>
      <w:tblPr>
        <w:tblStyle w:val="Tabelacomgrelha"/>
        <w:tblW w:w="5000" w:type="pct"/>
        <w:jc w:val="center"/>
        <w:tblLook w:val="04A0" w:firstRow="1" w:lastRow="0" w:firstColumn="1" w:lastColumn="0" w:noHBand="0" w:noVBand="1"/>
      </w:tblPr>
      <w:tblGrid>
        <w:gridCol w:w="1452"/>
        <w:gridCol w:w="7042"/>
      </w:tblGrid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 xml:space="preserve">                           TABELA 1</w:t>
            </w:r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>GRAU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 xml:space="preserve">                           CORRESPONDÊNCIA</w:t>
            </w:r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1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0,2%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sobre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o valor mensal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2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0,4%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sobre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o valor mensal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3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0,8%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sobre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o valor mensal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4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1,6%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sobre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o valor mensal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</w:p>
        </w:tc>
      </w:tr>
      <w:tr w:rsidR="000B730A" w:rsidRPr="0094720E" w:rsidTr="00AE63CC">
        <w:trPr>
          <w:jc w:val="center"/>
        </w:trPr>
        <w:tc>
          <w:tcPr>
            <w:tcW w:w="85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5</w:t>
            </w:r>
          </w:p>
        </w:tc>
        <w:tc>
          <w:tcPr>
            <w:tcW w:w="4145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3,2%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sobre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o valor mensal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</w:p>
        </w:tc>
      </w:tr>
    </w:tbl>
    <w:p w:rsidR="000B730A" w:rsidRPr="0094720E" w:rsidRDefault="000B730A" w:rsidP="000B730A">
      <w:pPr>
        <w:pStyle w:val="PargrafodaLista"/>
        <w:ind w:left="0"/>
        <w:rPr>
          <w:rFonts w:cs="Arial"/>
          <w:color w:val="000000" w:themeColor="text1"/>
          <w:szCs w:val="21"/>
        </w:rPr>
      </w:pPr>
    </w:p>
    <w:p w:rsidR="000B730A" w:rsidRPr="0094720E" w:rsidRDefault="000B730A" w:rsidP="000B730A">
      <w:pPr>
        <w:pStyle w:val="PargrafodaLista"/>
        <w:ind w:left="0"/>
        <w:rPr>
          <w:rFonts w:cs="Arial"/>
          <w:color w:val="000000" w:themeColor="text1"/>
          <w:szCs w:val="21"/>
        </w:rPr>
      </w:pPr>
    </w:p>
    <w:tbl>
      <w:tblPr>
        <w:tblStyle w:val="Tabelacomgrelha"/>
        <w:tblW w:w="5000" w:type="pct"/>
        <w:jc w:val="center"/>
        <w:tblLook w:val="04A0" w:firstRow="1" w:lastRow="0" w:firstColumn="1" w:lastColumn="0" w:noHBand="0" w:noVBand="1"/>
      </w:tblPr>
      <w:tblGrid>
        <w:gridCol w:w="1094"/>
        <w:gridCol w:w="6450"/>
        <w:gridCol w:w="950"/>
      </w:tblGrid>
      <w:tr w:rsidR="000B730A" w:rsidRPr="0094720E" w:rsidTr="00AE63CC">
        <w:trPr>
          <w:jc w:val="center"/>
        </w:trPr>
        <w:tc>
          <w:tcPr>
            <w:tcW w:w="5000" w:type="pct"/>
            <w:gridSpan w:val="3"/>
          </w:tcPr>
          <w:p w:rsidR="000B730A" w:rsidRPr="0094720E" w:rsidRDefault="000B730A" w:rsidP="00AE63CC">
            <w:pPr>
              <w:widowControl w:val="0"/>
              <w:tabs>
                <w:tab w:val="left" w:pos="3783"/>
              </w:tabs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 xml:space="preserve"> TABELA 2</w:t>
            </w:r>
          </w:p>
        </w:tc>
      </w:tr>
      <w:tr w:rsidR="000B730A" w:rsidRPr="0094720E" w:rsidTr="00AE63CC">
        <w:trPr>
          <w:jc w:val="center"/>
        </w:trPr>
        <w:tc>
          <w:tcPr>
            <w:tcW w:w="5000" w:type="pct"/>
            <w:gridSpan w:val="3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>INFRAÇÃO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>ITEM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>DESCRIÇÃO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b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b/>
                <w:color w:val="000000" w:themeColor="text1"/>
                <w:szCs w:val="21"/>
              </w:rPr>
              <w:t>GRAU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1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Permitir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situação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que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crie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a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possibilidade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causar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dano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físico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lesão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corporal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ou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consequências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letais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ocorrência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; 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05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2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jc w:val="both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Suspender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ou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interromper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salvo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motivo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força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maior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ou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caso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fortuito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serviços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/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fornecimentos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contratuais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unidade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atendimento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04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3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jc w:val="both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Manter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funcionário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sem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qualificação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para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executar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serviços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contratados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empregado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03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4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jc w:val="both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Recusar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–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 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executar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serviço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ou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fornecer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bem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determinado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pela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fiscalização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serviço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/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bem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02</w:t>
            </w:r>
          </w:p>
        </w:tc>
      </w:tr>
      <w:tr w:rsidR="000B730A" w:rsidRPr="0094720E" w:rsidTr="00AE63CC">
        <w:trPr>
          <w:jc w:val="center"/>
        </w:trPr>
        <w:tc>
          <w:tcPr>
            <w:tcW w:w="5000" w:type="pct"/>
            <w:gridSpan w:val="3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Para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itens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a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seguir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deixar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de: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5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Cumprir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determinação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formal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ou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instrução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complementar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órgão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fiscalizador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ocorrência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02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6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Substituir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empregado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alocado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que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não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atenda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às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necessidades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serviço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funcionário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01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7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Cumprir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quaisquer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dos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itens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seus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Anexos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não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previstos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nesta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tabela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multas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após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reincidência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formalmente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notificada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pelo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órgão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fiscalizador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,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item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por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ocorrência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03</w:t>
            </w:r>
          </w:p>
        </w:tc>
      </w:tr>
      <w:tr w:rsidR="000B730A" w:rsidRPr="0094720E" w:rsidTr="00AE63CC">
        <w:trPr>
          <w:jc w:val="center"/>
        </w:trPr>
        <w:tc>
          <w:tcPr>
            <w:tcW w:w="644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8</w:t>
            </w:r>
          </w:p>
        </w:tc>
        <w:tc>
          <w:tcPr>
            <w:tcW w:w="3797" w:type="pct"/>
          </w:tcPr>
          <w:p w:rsidR="000B730A" w:rsidRPr="0094720E" w:rsidRDefault="000B730A" w:rsidP="00AE63CC">
            <w:pPr>
              <w:widowControl w:val="0"/>
              <w:rPr>
                <w:rFonts w:cs="Arial"/>
                <w:color w:val="000000" w:themeColor="text1"/>
                <w:szCs w:val="21"/>
              </w:rPr>
            </w:pP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Indicar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e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manter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durante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a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execução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do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prepostos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previstos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 xml:space="preserve"> no </w:t>
            </w:r>
            <w:proofErr w:type="spellStart"/>
            <w:r w:rsidRPr="0094720E">
              <w:rPr>
                <w:rFonts w:eastAsia="Calibri" w:cs="Arial"/>
                <w:color w:val="000000" w:themeColor="text1"/>
                <w:szCs w:val="21"/>
              </w:rPr>
              <w:t>Contrato</w:t>
            </w:r>
            <w:proofErr w:type="spellEnd"/>
            <w:r w:rsidRPr="0094720E">
              <w:rPr>
                <w:rFonts w:eastAsia="Calibri" w:cs="Arial"/>
                <w:color w:val="000000" w:themeColor="text1"/>
                <w:szCs w:val="21"/>
              </w:rPr>
              <w:t>;</w:t>
            </w:r>
          </w:p>
        </w:tc>
        <w:tc>
          <w:tcPr>
            <w:tcW w:w="559" w:type="pct"/>
          </w:tcPr>
          <w:p w:rsidR="000B730A" w:rsidRPr="0094720E" w:rsidRDefault="000B730A" w:rsidP="00AE63CC">
            <w:pPr>
              <w:widowControl w:val="0"/>
              <w:jc w:val="center"/>
              <w:rPr>
                <w:rFonts w:cs="Arial"/>
                <w:color w:val="000000" w:themeColor="text1"/>
                <w:szCs w:val="21"/>
              </w:rPr>
            </w:pPr>
            <w:r w:rsidRPr="0094720E">
              <w:rPr>
                <w:rFonts w:eastAsia="Calibri" w:cs="Arial"/>
                <w:color w:val="000000" w:themeColor="text1"/>
                <w:szCs w:val="21"/>
              </w:rPr>
              <w:t>01</w:t>
            </w:r>
          </w:p>
        </w:tc>
      </w:tr>
    </w:tbl>
    <w:p w:rsidR="000B730A" w:rsidRPr="0094720E" w:rsidRDefault="000B730A" w:rsidP="000B730A">
      <w:pPr>
        <w:pStyle w:val="PargrafodaLista"/>
        <w:ind w:left="0"/>
        <w:rPr>
          <w:rFonts w:cs="Arial"/>
          <w:color w:val="000000" w:themeColor="text1"/>
          <w:szCs w:val="21"/>
        </w:rPr>
      </w:pPr>
    </w:p>
    <w:p w:rsidR="000B730A" w:rsidRPr="0094720E" w:rsidRDefault="000B730A" w:rsidP="000B730A">
      <w:pPr>
        <w:pStyle w:val="Corpodetexto"/>
        <w:jc w:val="both"/>
        <w:rPr>
          <w:rFonts w:cs="Arial"/>
          <w:color w:val="000000" w:themeColor="text1"/>
          <w:szCs w:val="21"/>
        </w:rPr>
      </w:pPr>
      <w:r>
        <w:rPr>
          <w:rFonts w:cs="Arial"/>
          <w:color w:val="000000" w:themeColor="text1"/>
          <w:szCs w:val="21"/>
        </w:rPr>
        <w:t>12.</w:t>
      </w:r>
      <w:r w:rsidRPr="0094720E">
        <w:rPr>
          <w:rFonts w:cs="Arial"/>
          <w:color w:val="000000" w:themeColor="text1"/>
          <w:szCs w:val="21"/>
        </w:rPr>
        <w:t>4</w:t>
      </w:r>
      <w:r>
        <w:rPr>
          <w:rFonts w:cs="Arial"/>
          <w:color w:val="000000" w:themeColor="text1"/>
          <w:szCs w:val="21"/>
        </w:rPr>
        <w:t>.</w:t>
      </w:r>
      <w:r w:rsidRPr="0094720E">
        <w:rPr>
          <w:rFonts w:cs="Arial"/>
          <w:color w:val="000000" w:themeColor="text1"/>
          <w:szCs w:val="21"/>
        </w:rPr>
        <w:t xml:space="preserve"> As </w:t>
      </w:r>
      <w:proofErr w:type="spellStart"/>
      <w:r w:rsidRPr="0094720E">
        <w:rPr>
          <w:rFonts w:cs="Arial"/>
          <w:color w:val="000000" w:themeColor="text1"/>
          <w:szCs w:val="21"/>
        </w:rPr>
        <w:t>sanções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somente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serão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aplicadas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após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o </w:t>
      </w:r>
      <w:proofErr w:type="spellStart"/>
      <w:r w:rsidRPr="0094720E">
        <w:rPr>
          <w:rFonts w:cs="Arial"/>
          <w:color w:val="000000" w:themeColor="text1"/>
          <w:szCs w:val="21"/>
        </w:rPr>
        <w:t>decurso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do </w:t>
      </w:r>
      <w:proofErr w:type="spellStart"/>
      <w:r w:rsidRPr="0094720E">
        <w:rPr>
          <w:rFonts w:cs="Arial"/>
          <w:color w:val="000000" w:themeColor="text1"/>
          <w:szCs w:val="21"/>
        </w:rPr>
        <w:t>prazo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para </w:t>
      </w:r>
      <w:proofErr w:type="spellStart"/>
      <w:r w:rsidRPr="0094720E">
        <w:rPr>
          <w:rFonts w:cs="Arial"/>
          <w:color w:val="000000" w:themeColor="text1"/>
          <w:szCs w:val="21"/>
        </w:rPr>
        <w:t>apresentação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de </w:t>
      </w:r>
      <w:proofErr w:type="spellStart"/>
      <w:r w:rsidRPr="0094720E">
        <w:rPr>
          <w:rFonts w:cs="Arial"/>
          <w:color w:val="000000" w:themeColor="text1"/>
          <w:szCs w:val="21"/>
        </w:rPr>
        <w:t>defesa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prévia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do </w:t>
      </w:r>
      <w:proofErr w:type="spellStart"/>
      <w:r w:rsidRPr="0094720E">
        <w:rPr>
          <w:rFonts w:cs="Arial"/>
          <w:color w:val="000000" w:themeColor="text1"/>
          <w:szCs w:val="21"/>
        </w:rPr>
        <w:t>interessado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no </w:t>
      </w:r>
      <w:proofErr w:type="spellStart"/>
      <w:r w:rsidRPr="0094720E">
        <w:rPr>
          <w:rFonts w:cs="Arial"/>
          <w:color w:val="000000" w:themeColor="text1"/>
          <w:szCs w:val="21"/>
        </w:rPr>
        <w:t>respectivo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processo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, no </w:t>
      </w:r>
      <w:proofErr w:type="spellStart"/>
      <w:r w:rsidRPr="0094720E">
        <w:rPr>
          <w:rFonts w:cs="Arial"/>
          <w:color w:val="000000" w:themeColor="text1"/>
          <w:szCs w:val="21"/>
        </w:rPr>
        <w:t>prazo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de 15 (</w:t>
      </w:r>
      <w:proofErr w:type="spellStart"/>
      <w:r w:rsidRPr="0094720E">
        <w:rPr>
          <w:rFonts w:cs="Arial"/>
          <w:color w:val="000000" w:themeColor="text1"/>
          <w:szCs w:val="21"/>
        </w:rPr>
        <w:t>quinze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) </w:t>
      </w:r>
      <w:proofErr w:type="spellStart"/>
      <w:r w:rsidRPr="0094720E">
        <w:rPr>
          <w:rFonts w:cs="Arial"/>
          <w:color w:val="000000" w:themeColor="text1"/>
          <w:szCs w:val="21"/>
        </w:rPr>
        <w:t>dias</w:t>
      </w:r>
      <w:proofErr w:type="spellEnd"/>
      <w:r w:rsidRPr="0094720E">
        <w:rPr>
          <w:rFonts w:cs="Arial"/>
          <w:color w:val="000000" w:themeColor="text1"/>
          <w:spacing w:val="-1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úteis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, </w:t>
      </w:r>
      <w:proofErr w:type="spellStart"/>
      <w:r w:rsidRPr="0094720E">
        <w:rPr>
          <w:rFonts w:cs="Arial"/>
          <w:color w:val="000000" w:themeColor="text1"/>
          <w:szCs w:val="21"/>
        </w:rPr>
        <w:t>observadas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as </w:t>
      </w:r>
      <w:proofErr w:type="spellStart"/>
      <w:r w:rsidRPr="0094720E">
        <w:rPr>
          <w:rFonts w:cs="Arial"/>
          <w:color w:val="000000" w:themeColor="text1"/>
          <w:szCs w:val="21"/>
        </w:rPr>
        <w:t>demais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formalidades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legais</w:t>
      </w:r>
      <w:proofErr w:type="spellEnd"/>
      <w:r w:rsidRPr="0094720E">
        <w:rPr>
          <w:rFonts w:cs="Arial"/>
          <w:color w:val="000000" w:themeColor="text1"/>
          <w:szCs w:val="21"/>
        </w:rPr>
        <w:t>.</w:t>
      </w:r>
    </w:p>
    <w:p w:rsidR="000B730A" w:rsidRPr="0094720E" w:rsidRDefault="000B730A" w:rsidP="000B730A">
      <w:pPr>
        <w:pStyle w:val="Corpodetexto"/>
        <w:jc w:val="both"/>
        <w:rPr>
          <w:rFonts w:cs="Arial"/>
          <w:color w:val="000000" w:themeColor="text1"/>
          <w:szCs w:val="21"/>
        </w:rPr>
      </w:pPr>
      <w:r>
        <w:rPr>
          <w:rFonts w:cs="Arial"/>
          <w:color w:val="000000" w:themeColor="text1"/>
          <w:szCs w:val="21"/>
        </w:rPr>
        <w:t>2.</w:t>
      </w:r>
      <w:r w:rsidRPr="0094720E">
        <w:rPr>
          <w:rFonts w:cs="Arial"/>
          <w:color w:val="000000" w:themeColor="text1"/>
          <w:szCs w:val="21"/>
        </w:rPr>
        <w:t>5</w:t>
      </w:r>
      <w:r>
        <w:rPr>
          <w:rFonts w:cs="Arial"/>
          <w:color w:val="000000" w:themeColor="text1"/>
          <w:szCs w:val="21"/>
        </w:rPr>
        <w:t>.</w:t>
      </w:r>
      <w:r w:rsidRPr="0094720E">
        <w:rPr>
          <w:rFonts w:cs="Arial"/>
          <w:color w:val="000000" w:themeColor="text1"/>
          <w:szCs w:val="21"/>
        </w:rPr>
        <w:t xml:space="preserve"> As </w:t>
      </w:r>
      <w:proofErr w:type="spellStart"/>
      <w:r w:rsidRPr="0094720E">
        <w:rPr>
          <w:rFonts w:cs="Arial"/>
          <w:color w:val="000000" w:themeColor="text1"/>
          <w:szCs w:val="21"/>
        </w:rPr>
        <w:t>sanções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previstas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nas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alíneas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“a”, “c” e “d” do caput </w:t>
      </w:r>
      <w:proofErr w:type="spellStart"/>
      <w:r w:rsidRPr="0094720E">
        <w:rPr>
          <w:rFonts w:cs="Arial"/>
          <w:color w:val="000000" w:themeColor="text1"/>
          <w:szCs w:val="21"/>
        </w:rPr>
        <w:t>desta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Cláusula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poderão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ser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aplicadas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juntamente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com </w:t>
      </w:r>
      <w:proofErr w:type="spellStart"/>
      <w:r w:rsidRPr="0094720E">
        <w:rPr>
          <w:rFonts w:cs="Arial"/>
          <w:color w:val="000000" w:themeColor="text1"/>
          <w:szCs w:val="21"/>
        </w:rPr>
        <w:t>aquela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prevista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nas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alíneas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“b”, e </w:t>
      </w:r>
      <w:proofErr w:type="spellStart"/>
      <w:r w:rsidRPr="0094720E">
        <w:rPr>
          <w:rFonts w:cs="Arial"/>
          <w:color w:val="000000" w:themeColor="text1"/>
          <w:szCs w:val="21"/>
        </w:rPr>
        <w:t>não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excluem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a </w:t>
      </w:r>
      <w:proofErr w:type="spellStart"/>
      <w:r w:rsidRPr="0094720E">
        <w:rPr>
          <w:rFonts w:cs="Arial"/>
          <w:color w:val="000000" w:themeColor="text1"/>
          <w:szCs w:val="21"/>
        </w:rPr>
        <w:t>possibilidade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de </w:t>
      </w:r>
      <w:proofErr w:type="spellStart"/>
      <w:r w:rsidRPr="0094720E">
        <w:rPr>
          <w:rFonts w:cs="Arial"/>
          <w:color w:val="000000" w:themeColor="text1"/>
          <w:szCs w:val="21"/>
        </w:rPr>
        <w:t>extinção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unilateral do </w:t>
      </w:r>
      <w:proofErr w:type="spellStart"/>
      <w:r w:rsidRPr="0094720E">
        <w:rPr>
          <w:rFonts w:cs="Arial"/>
          <w:color w:val="000000" w:themeColor="text1"/>
          <w:szCs w:val="21"/>
        </w:rPr>
        <w:t>Contrato</w:t>
      </w:r>
      <w:proofErr w:type="spellEnd"/>
      <w:r w:rsidRPr="0094720E">
        <w:rPr>
          <w:rFonts w:cs="Arial"/>
          <w:color w:val="000000" w:themeColor="text1"/>
          <w:szCs w:val="21"/>
        </w:rPr>
        <w:t>.</w:t>
      </w:r>
    </w:p>
    <w:p w:rsidR="000B730A" w:rsidRPr="0094720E" w:rsidRDefault="000B730A" w:rsidP="000B730A">
      <w:pPr>
        <w:pStyle w:val="Corpodetexto"/>
        <w:jc w:val="both"/>
        <w:rPr>
          <w:rFonts w:cs="Arial"/>
          <w:color w:val="000000" w:themeColor="text1"/>
          <w:szCs w:val="21"/>
        </w:rPr>
      </w:pPr>
      <w:r>
        <w:rPr>
          <w:rFonts w:cs="Arial"/>
          <w:color w:val="000000" w:themeColor="text1"/>
          <w:szCs w:val="21"/>
        </w:rPr>
        <w:t>12.</w:t>
      </w:r>
      <w:r w:rsidRPr="0094720E">
        <w:rPr>
          <w:rFonts w:cs="Arial"/>
          <w:color w:val="000000" w:themeColor="text1"/>
          <w:szCs w:val="21"/>
        </w:rPr>
        <w:t>6</w:t>
      </w:r>
      <w:r>
        <w:rPr>
          <w:rFonts w:cs="Arial"/>
          <w:color w:val="000000" w:themeColor="text1"/>
          <w:szCs w:val="21"/>
        </w:rPr>
        <w:t>.</w:t>
      </w:r>
      <w:r w:rsidRPr="0094720E">
        <w:rPr>
          <w:rFonts w:cs="Arial"/>
          <w:color w:val="000000" w:themeColor="text1"/>
          <w:szCs w:val="21"/>
        </w:rPr>
        <w:t xml:space="preserve"> As </w:t>
      </w:r>
      <w:proofErr w:type="spellStart"/>
      <w:r w:rsidRPr="0094720E">
        <w:rPr>
          <w:rFonts w:cs="Arial"/>
          <w:color w:val="000000" w:themeColor="text1"/>
          <w:szCs w:val="21"/>
        </w:rPr>
        <w:t>multas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eventualmente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aplicadas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com base  </w:t>
      </w:r>
      <w:proofErr w:type="spellStart"/>
      <w:r w:rsidRPr="0094720E">
        <w:rPr>
          <w:rFonts w:cs="Arial"/>
          <w:color w:val="000000" w:themeColor="text1"/>
          <w:szCs w:val="21"/>
        </w:rPr>
        <w:t>na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alínea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“b” do caput </w:t>
      </w:r>
      <w:proofErr w:type="spellStart"/>
      <w:r w:rsidRPr="0094720E">
        <w:rPr>
          <w:rFonts w:cs="Arial"/>
          <w:color w:val="000000" w:themeColor="text1"/>
          <w:szCs w:val="21"/>
        </w:rPr>
        <w:t>desta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Cláusula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não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possuem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caráter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compensatório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, e, </w:t>
      </w:r>
      <w:proofErr w:type="spellStart"/>
      <w:r w:rsidRPr="0094720E">
        <w:rPr>
          <w:rFonts w:cs="Arial"/>
          <w:color w:val="000000" w:themeColor="text1"/>
          <w:szCs w:val="21"/>
        </w:rPr>
        <w:t>assim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, o </w:t>
      </w:r>
      <w:proofErr w:type="spellStart"/>
      <w:r w:rsidRPr="0094720E">
        <w:rPr>
          <w:rFonts w:cs="Arial"/>
          <w:color w:val="000000" w:themeColor="text1"/>
          <w:szCs w:val="21"/>
        </w:rPr>
        <w:t>pagamento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delas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não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eximirá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a CONTRATADA de </w:t>
      </w:r>
      <w:proofErr w:type="spellStart"/>
      <w:r w:rsidRPr="0094720E">
        <w:rPr>
          <w:rFonts w:cs="Arial"/>
          <w:color w:val="000000" w:themeColor="text1"/>
          <w:szCs w:val="21"/>
        </w:rPr>
        <w:t>responsabilidade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pelas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perdas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e </w:t>
      </w:r>
      <w:proofErr w:type="spellStart"/>
      <w:r w:rsidRPr="0094720E">
        <w:rPr>
          <w:rFonts w:cs="Arial"/>
          <w:color w:val="000000" w:themeColor="text1"/>
          <w:szCs w:val="21"/>
        </w:rPr>
        <w:t>danos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decorrentes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das </w:t>
      </w:r>
      <w:proofErr w:type="spellStart"/>
      <w:r w:rsidRPr="0094720E">
        <w:rPr>
          <w:rFonts w:cs="Arial"/>
          <w:color w:val="000000" w:themeColor="text1"/>
          <w:szCs w:val="21"/>
        </w:rPr>
        <w:t>infrações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cometidas</w:t>
      </w:r>
      <w:proofErr w:type="spellEnd"/>
      <w:r w:rsidRPr="0094720E">
        <w:rPr>
          <w:rFonts w:cs="Arial"/>
          <w:color w:val="000000" w:themeColor="text1"/>
          <w:szCs w:val="21"/>
        </w:rPr>
        <w:t>.</w:t>
      </w:r>
    </w:p>
    <w:p w:rsidR="000B730A" w:rsidRPr="0094720E" w:rsidRDefault="000B730A" w:rsidP="000B730A">
      <w:pPr>
        <w:pStyle w:val="Corpodetexto"/>
        <w:jc w:val="both"/>
        <w:rPr>
          <w:rFonts w:cs="Arial"/>
          <w:color w:val="000000" w:themeColor="text1"/>
          <w:szCs w:val="21"/>
        </w:rPr>
      </w:pPr>
      <w:r>
        <w:rPr>
          <w:rFonts w:cs="Arial"/>
          <w:color w:val="000000" w:themeColor="text1"/>
          <w:szCs w:val="21"/>
        </w:rPr>
        <w:t>12.</w:t>
      </w:r>
      <w:r w:rsidRPr="0094720E">
        <w:rPr>
          <w:rFonts w:cs="Arial"/>
          <w:color w:val="000000" w:themeColor="text1"/>
          <w:szCs w:val="21"/>
        </w:rPr>
        <w:t>7</w:t>
      </w:r>
      <w:r>
        <w:rPr>
          <w:rFonts w:cs="Arial"/>
          <w:color w:val="000000" w:themeColor="text1"/>
          <w:szCs w:val="21"/>
        </w:rPr>
        <w:t>.</w:t>
      </w:r>
      <w:r w:rsidRPr="0094720E">
        <w:rPr>
          <w:rFonts w:cs="Arial"/>
          <w:color w:val="000000" w:themeColor="text1"/>
          <w:szCs w:val="21"/>
        </w:rPr>
        <w:t xml:space="preserve"> O valor das </w:t>
      </w:r>
      <w:proofErr w:type="spellStart"/>
      <w:r w:rsidRPr="0094720E">
        <w:rPr>
          <w:rFonts w:cs="Arial"/>
          <w:color w:val="000000" w:themeColor="text1"/>
          <w:szCs w:val="21"/>
        </w:rPr>
        <w:t>multas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vencidas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e </w:t>
      </w:r>
      <w:proofErr w:type="spellStart"/>
      <w:r w:rsidRPr="0094720E">
        <w:rPr>
          <w:rFonts w:cs="Arial"/>
          <w:color w:val="000000" w:themeColor="text1"/>
          <w:szCs w:val="21"/>
        </w:rPr>
        <w:t>não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pagas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deverá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ser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compensado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com as </w:t>
      </w:r>
      <w:proofErr w:type="spellStart"/>
      <w:r w:rsidRPr="0094720E">
        <w:rPr>
          <w:rFonts w:cs="Arial"/>
          <w:color w:val="000000" w:themeColor="text1"/>
          <w:szCs w:val="21"/>
        </w:rPr>
        <w:t>quantias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devidas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à CONTRATADA e/</w:t>
      </w:r>
      <w:proofErr w:type="spellStart"/>
      <w:r w:rsidRPr="0094720E">
        <w:rPr>
          <w:rFonts w:cs="Arial"/>
          <w:color w:val="000000" w:themeColor="text1"/>
          <w:szCs w:val="21"/>
        </w:rPr>
        <w:t>ou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executada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a </w:t>
      </w:r>
      <w:proofErr w:type="spellStart"/>
      <w:r w:rsidRPr="0094720E">
        <w:rPr>
          <w:rFonts w:cs="Arial"/>
          <w:color w:val="000000" w:themeColor="text1"/>
          <w:szCs w:val="21"/>
        </w:rPr>
        <w:t>garantia</w:t>
      </w:r>
      <w:proofErr w:type="spellEnd"/>
      <w:r w:rsidRPr="0094720E">
        <w:rPr>
          <w:rFonts w:cs="Arial"/>
          <w:color w:val="000000" w:themeColor="text1"/>
          <w:szCs w:val="21"/>
        </w:rPr>
        <w:t>.</w:t>
      </w:r>
    </w:p>
    <w:p w:rsidR="000B730A" w:rsidRPr="0094720E" w:rsidRDefault="000B730A" w:rsidP="000B730A">
      <w:pPr>
        <w:pStyle w:val="Corpodetexto"/>
        <w:jc w:val="both"/>
        <w:rPr>
          <w:rFonts w:cs="Arial"/>
          <w:color w:val="000000" w:themeColor="text1"/>
          <w:szCs w:val="21"/>
        </w:rPr>
      </w:pPr>
      <w:r>
        <w:rPr>
          <w:rFonts w:cs="Arial"/>
          <w:color w:val="000000" w:themeColor="text1"/>
          <w:szCs w:val="21"/>
        </w:rPr>
        <w:t>12.8.</w:t>
      </w:r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Quando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do </w:t>
      </w:r>
      <w:proofErr w:type="spellStart"/>
      <w:r w:rsidRPr="0094720E">
        <w:rPr>
          <w:rFonts w:cs="Arial"/>
          <w:color w:val="000000" w:themeColor="text1"/>
          <w:szCs w:val="21"/>
        </w:rPr>
        <w:t>vencimento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da </w:t>
      </w:r>
      <w:proofErr w:type="spellStart"/>
      <w:r w:rsidRPr="0094720E">
        <w:rPr>
          <w:rFonts w:cs="Arial"/>
          <w:color w:val="000000" w:themeColor="text1"/>
          <w:szCs w:val="21"/>
        </w:rPr>
        <w:t>penúltima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e/</w:t>
      </w:r>
      <w:proofErr w:type="spellStart"/>
      <w:r w:rsidRPr="0094720E">
        <w:rPr>
          <w:rFonts w:cs="Arial"/>
          <w:color w:val="000000" w:themeColor="text1"/>
          <w:szCs w:val="21"/>
        </w:rPr>
        <w:t>ou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da </w:t>
      </w:r>
      <w:proofErr w:type="spellStart"/>
      <w:r w:rsidRPr="0094720E">
        <w:rPr>
          <w:rFonts w:cs="Arial"/>
          <w:color w:val="000000" w:themeColor="text1"/>
          <w:szCs w:val="21"/>
        </w:rPr>
        <w:t>última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fatura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do </w:t>
      </w:r>
      <w:proofErr w:type="spellStart"/>
      <w:r w:rsidRPr="0094720E">
        <w:rPr>
          <w:rFonts w:cs="Arial"/>
          <w:color w:val="000000" w:themeColor="text1"/>
          <w:szCs w:val="21"/>
        </w:rPr>
        <w:t>contrato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, o valor de eventual </w:t>
      </w:r>
      <w:proofErr w:type="spellStart"/>
      <w:r w:rsidRPr="0094720E">
        <w:rPr>
          <w:rFonts w:cs="Arial"/>
          <w:color w:val="000000" w:themeColor="text1"/>
          <w:szCs w:val="21"/>
        </w:rPr>
        <w:t>multa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ainda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pendente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de </w:t>
      </w:r>
      <w:proofErr w:type="spellStart"/>
      <w:r w:rsidRPr="0094720E">
        <w:rPr>
          <w:rFonts w:cs="Arial"/>
          <w:color w:val="000000" w:themeColor="text1"/>
          <w:szCs w:val="21"/>
        </w:rPr>
        <w:t>recurso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ou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não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vencida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deverá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ser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retido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das </w:t>
      </w:r>
      <w:proofErr w:type="spellStart"/>
      <w:r w:rsidRPr="0094720E">
        <w:rPr>
          <w:rFonts w:cs="Arial"/>
          <w:color w:val="000000" w:themeColor="text1"/>
          <w:szCs w:val="21"/>
        </w:rPr>
        <w:t>quantias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</w:t>
      </w:r>
      <w:proofErr w:type="spellStart"/>
      <w:r w:rsidRPr="0094720E">
        <w:rPr>
          <w:rFonts w:cs="Arial"/>
          <w:color w:val="000000" w:themeColor="text1"/>
          <w:szCs w:val="21"/>
        </w:rPr>
        <w:t>devidas</w:t>
      </w:r>
      <w:proofErr w:type="spellEnd"/>
      <w:r w:rsidRPr="0094720E">
        <w:rPr>
          <w:rFonts w:cs="Arial"/>
          <w:color w:val="000000" w:themeColor="text1"/>
          <w:szCs w:val="21"/>
        </w:rPr>
        <w:t xml:space="preserve"> à CONTRATADA.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lastRenderedPageBreak/>
        <w:t>12.9.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 aplicação das sanções previstas no item</w:t>
      </w:r>
      <w:r>
        <w:rPr>
          <w:rFonts w:ascii="Arial" w:hAnsi="Arial" w:cs="Arial"/>
          <w:color w:val="000000" w:themeColor="text1"/>
          <w:sz w:val="21"/>
          <w:szCs w:val="21"/>
        </w:rPr>
        <w:t>7.11.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2 não exclui, em hipótese alguma, a obrigação de reparação integral do dano causado à Administração Pública.</w:t>
      </w:r>
    </w:p>
    <w:p w:rsidR="000B730A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7.11.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>10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  <w:r w:rsidRPr="0094720E">
        <w:rPr>
          <w:rFonts w:ascii="Arial" w:hAnsi="Arial" w:cs="Arial"/>
          <w:color w:val="000000" w:themeColor="text1"/>
          <w:sz w:val="21"/>
          <w:szCs w:val="21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B730A" w:rsidRPr="0094720E" w:rsidRDefault="000B730A" w:rsidP="000B730A">
      <w:pPr>
        <w:pStyle w:val="TEXTO"/>
        <w:spacing w:line="240" w:lineRule="auto"/>
        <w:ind w:right="0"/>
        <w:rPr>
          <w:rFonts w:ascii="Arial" w:hAnsi="Arial" w:cs="Arial"/>
          <w:color w:val="000000" w:themeColor="text1"/>
          <w:sz w:val="21"/>
          <w:szCs w:val="21"/>
        </w:rPr>
      </w:pP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 GARANTIA DE EXECUÇÃO E GARANTIAS TÉCNICAS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13.1.A exigência de garantia de execução contratual observará o disposto na legislação aplicável, inclusive o § 4º do art. 445 do RGCAF, quando o valor da contratação ultrapassar o limite legal correspondente a 150 (cento e cinquenta) vezes a UNIF.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13.2.Considerando o valor estimado da contratação, a natureza comum dos serviços, o prazo de execução de 20 (vinte) dias corridos e a formalização por Nota de Empenho, não será exigida garantia contratual de execução.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13.3.A ausência de garantia contratual não afasta a responsabilidade da contratada pela perfeita execução dos serviços, nem a obrigação de corrigir, reparar, complementar ou refazer os serviços executados em desconformidade.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13.4.A contratada deverá assegurar a qualidade técnica dos serviços realizados e responder por falhas, defeitos, vícios ou irregularidades identificadas durante a execução ou dentro do prazo legal aplicável.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13.5.</w:t>
      </w:r>
      <w:r w:rsidR="000B730A">
        <w:rPr>
          <w:rFonts w:ascii="Arial" w:hAnsi="Arial" w:cs="Arial"/>
        </w:rPr>
        <w:t xml:space="preserve"> </w:t>
      </w:r>
      <w:r w:rsidRPr="00F9502F">
        <w:rPr>
          <w:rFonts w:ascii="Arial" w:hAnsi="Arial" w:cs="Arial"/>
        </w:rPr>
        <w:t>A contratada deverá, às suas expensas e no prazo determinado pelo IPP:</w:t>
      </w:r>
    </w:p>
    <w:p w:rsidR="00F9502F" w:rsidRPr="000B730A" w:rsidRDefault="00F9502F" w:rsidP="000B730A">
      <w:pPr>
        <w:pStyle w:val="PargrafodaLista"/>
        <w:numPr>
          <w:ilvl w:val="0"/>
          <w:numId w:val="33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corrigir serviços defeituosos;</w:t>
      </w:r>
    </w:p>
    <w:p w:rsidR="00F9502F" w:rsidRPr="000B730A" w:rsidRDefault="00F9502F" w:rsidP="000B730A">
      <w:pPr>
        <w:pStyle w:val="PargrafodaLista"/>
        <w:numPr>
          <w:ilvl w:val="0"/>
          <w:numId w:val="33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reparar danos;</w:t>
      </w:r>
    </w:p>
    <w:p w:rsidR="00F9502F" w:rsidRPr="000B730A" w:rsidRDefault="00F9502F" w:rsidP="000B730A">
      <w:pPr>
        <w:pStyle w:val="PargrafodaLista"/>
        <w:numPr>
          <w:ilvl w:val="0"/>
          <w:numId w:val="33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complementar serviços incompletos;</w:t>
      </w:r>
    </w:p>
    <w:p w:rsidR="00F9502F" w:rsidRPr="000B730A" w:rsidRDefault="00F9502F" w:rsidP="000B730A">
      <w:pPr>
        <w:pStyle w:val="PargrafodaLista"/>
        <w:numPr>
          <w:ilvl w:val="0"/>
          <w:numId w:val="33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refazer serviços inadequados;</w:t>
      </w:r>
    </w:p>
    <w:p w:rsidR="00F9502F" w:rsidRPr="000B730A" w:rsidRDefault="00F9502F" w:rsidP="000B730A">
      <w:pPr>
        <w:pStyle w:val="PargrafodaLista"/>
        <w:numPr>
          <w:ilvl w:val="0"/>
          <w:numId w:val="33"/>
        </w:numPr>
        <w:jc w:val="both"/>
        <w:rPr>
          <w:rFonts w:ascii="Arial" w:hAnsi="Arial" w:cs="Arial"/>
        </w:rPr>
      </w:pPr>
      <w:r w:rsidRPr="000B730A">
        <w:rPr>
          <w:rFonts w:ascii="Arial" w:hAnsi="Arial" w:cs="Arial"/>
        </w:rPr>
        <w:t>substituir materiais ou produtos impróprios, quando aplicável.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13.6.Os materiais e produtos utilizados deverão observar as garantias legais e comerciais aplicáveis, sem prejuízo da responsabilidade da contratada pela qualidade e adequação da execução.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13.7.A responsabilidade da contratada abrangerá também os serviços dos Lotes 2 e 3, inclusive quanto à correta aplicação dos produtos, à higienização dos reservatórios, à proteção das instalações e à observância das normas técnicas e sanitárias.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14. DISPOSIÇÕES GERAIS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14.1.A contratada deverá observar integralmente este Termo de Referência, a Nota de Empenho, a proposta apresentada, as normas aplicáveis e as orientações formalmente emitidas pelo IPP.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14.2.A eventual tolerância do IPP quanto ao descumprimento de qualquer obrigação não constituirá novação, renúncia ou alteração das condições estabelecidas.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14.3.Os casos omissos serão solucionados pela Administração, com fundamento na Lei Federal nº 14.133/2021, na regulamentação municipal aplicável e nos princípios que regem as contratações públicas.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lastRenderedPageBreak/>
        <w:t>14.4.A contratada deverá manter, durante toda a execução, as condições de habilitação e qualificação exigidas no procedimento de contratação.</w:t>
      </w:r>
    </w:p>
    <w:p w:rsidR="00F9502F" w:rsidRPr="00F9502F" w:rsidRDefault="00F9502F" w:rsidP="00F9502F">
      <w:pPr>
        <w:jc w:val="both"/>
        <w:rPr>
          <w:rFonts w:ascii="Arial" w:hAnsi="Arial" w:cs="Arial"/>
        </w:rPr>
      </w:pPr>
      <w:r w:rsidRPr="00F9502F">
        <w:rPr>
          <w:rFonts w:ascii="Arial" w:hAnsi="Arial" w:cs="Arial"/>
        </w:rPr>
        <w:t>14.</w:t>
      </w:r>
      <w:r w:rsidR="00F87B29">
        <w:rPr>
          <w:rFonts w:ascii="Arial" w:hAnsi="Arial" w:cs="Arial"/>
        </w:rPr>
        <w:t>5</w:t>
      </w:r>
      <w:r w:rsidRPr="00F9502F">
        <w:rPr>
          <w:rFonts w:ascii="Arial" w:hAnsi="Arial" w:cs="Arial"/>
        </w:rPr>
        <w:t>.Fica eleito o foro da Comarca da Capital do Estado do Rio de Janeiro para dirimir eventuais questões decorrentes da contratação, ressalvadas as competências legais específicas.</w:t>
      </w:r>
    </w:p>
    <w:bookmarkEnd w:id="0"/>
    <w:p w:rsidR="003A0657" w:rsidRPr="00F9502F" w:rsidRDefault="003A0657" w:rsidP="00F9502F">
      <w:pPr>
        <w:jc w:val="both"/>
        <w:rPr>
          <w:rFonts w:ascii="Arial" w:hAnsi="Arial" w:cs="Arial"/>
        </w:rPr>
      </w:pPr>
    </w:p>
    <w:sectPr w:rsidR="003A0657" w:rsidRPr="00F950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C7FFD"/>
    <w:multiLevelType w:val="multilevel"/>
    <w:tmpl w:val="9D3ED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37643"/>
    <w:multiLevelType w:val="multilevel"/>
    <w:tmpl w:val="7ED4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935CC"/>
    <w:multiLevelType w:val="multilevel"/>
    <w:tmpl w:val="03B6D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857E7"/>
    <w:multiLevelType w:val="multilevel"/>
    <w:tmpl w:val="F31A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DC3897"/>
    <w:multiLevelType w:val="hybridMultilevel"/>
    <w:tmpl w:val="892491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393F40"/>
    <w:multiLevelType w:val="multilevel"/>
    <w:tmpl w:val="80F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814136"/>
    <w:multiLevelType w:val="multilevel"/>
    <w:tmpl w:val="EBAA8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A31DA"/>
    <w:multiLevelType w:val="multilevel"/>
    <w:tmpl w:val="70F6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F23E4C"/>
    <w:multiLevelType w:val="multilevel"/>
    <w:tmpl w:val="4C6C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BF3FEE"/>
    <w:multiLevelType w:val="hybridMultilevel"/>
    <w:tmpl w:val="78E0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D43ECC"/>
    <w:multiLevelType w:val="hybridMultilevel"/>
    <w:tmpl w:val="A1F4C0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D84CF4"/>
    <w:multiLevelType w:val="multilevel"/>
    <w:tmpl w:val="070EF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735ABE"/>
    <w:multiLevelType w:val="multilevel"/>
    <w:tmpl w:val="036A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9E2E8B"/>
    <w:multiLevelType w:val="multilevel"/>
    <w:tmpl w:val="B1FC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BF1D56"/>
    <w:multiLevelType w:val="hybridMultilevel"/>
    <w:tmpl w:val="375893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5F2C63"/>
    <w:multiLevelType w:val="hybridMultilevel"/>
    <w:tmpl w:val="6C7A0B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C35931"/>
    <w:multiLevelType w:val="hybridMultilevel"/>
    <w:tmpl w:val="F14218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6C4161"/>
    <w:multiLevelType w:val="multilevel"/>
    <w:tmpl w:val="EA28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ED1172"/>
    <w:multiLevelType w:val="hybridMultilevel"/>
    <w:tmpl w:val="0CC688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540DC1"/>
    <w:multiLevelType w:val="multilevel"/>
    <w:tmpl w:val="8EA6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B95FBD"/>
    <w:multiLevelType w:val="multilevel"/>
    <w:tmpl w:val="21CE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E10449"/>
    <w:multiLevelType w:val="multilevel"/>
    <w:tmpl w:val="8A9E57EA"/>
    <w:lvl w:ilvl="0">
      <w:start w:val="1"/>
      <w:numFmt w:val="lowerLetter"/>
      <w:suff w:val="space"/>
      <w:lvlText w:val="(%1)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pacing w:val="-1"/>
        <w:w w:val="99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98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16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4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52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88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6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24" w:hanging="360"/>
      </w:pPr>
      <w:rPr>
        <w:rFonts w:ascii="Symbol" w:hAnsi="Symbol" w:cs="Symbol" w:hint="default"/>
        <w:lang w:val="pt-PT" w:eastAsia="en-US" w:bidi="ar-SA"/>
      </w:rPr>
    </w:lvl>
  </w:abstractNum>
  <w:abstractNum w:abstractNumId="22">
    <w:nsid w:val="52043204"/>
    <w:multiLevelType w:val="hybridMultilevel"/>
    <w:tmpl w:val="26DC4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275FC3"/>
    <w:multiLevelType w:val="hybridMultilevel"/>
    <w:tmpl w:val="1F068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B16FB1"/>
    <w:multiLevelType w:val="hybridMultilevel"/>
    <w:tmpl w:val="5D6C54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2E1557"/>
    <w:multiLevelType w:val="hybridMultilevel"/>
    <w:tmpl w:val="D4567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296485"/>
    <w:multiLevelType w:val="hybridMultilevel"/>
    <w:tmpl w:val="04AED9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5057F"/>
    <w:multiLevelType w:val="multilevel"/>
    <w:tmpl w:val="F95A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1C4C28"/>
    <w:multiLevelType w:val="hybridMultilevel"/>
    <w:tmpl w:val="DE8C5D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A91A4D"/>
    <w:multiLevelType w:val="hybridMultilevel"/>
    <w:tmpl w:val="64546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D52846"/>
    <w:multiLevelType w:val="hybridMultilevel"/>
    <w:tmpl w:val="64EE92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EA4B51"/>
    <w:multiLevelType w:val="multilevel"/>
    <w:tmpl w:val="7484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C52189"/>
    <w:multiLevelType w:val="multilevel"/>
    <w:tmpl w:val="68608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351A5D"/>
    <w:multiLevelType w:val="multilevel"/>
    <w:tmpl w:val="295E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7"/>
  </w:num>
  <w:num w:numId="5">
    <w:abstractNumId w:val="1"/>
  </w:num>
  <w:num w:numId="6">
    <w:abstractNumId w:val="0"/>
  </w:num>
  <w:num w:numId="7">
    <w:abstractNumId w:val="19"/>
  </w:num>
  <w:num w:numId="8">
    <w:abstractNumId w:val="20"/>
  </w:num>
  <w:num w:numId="9">
    <w:abstractNumId w:val="27"/>
  </w:num>
  <w:num w:numId="10">
    <w:abstractNumId w:val="2"/>
  </w:num>
  <w:num w:numId="11">
    <w:abstractNumId w:val="13"/>
  </w:num>
  <w:num w:numId="12">
    <w:abstractNumId w:val="8"/>
  </w:num>
  <w:num w:numId="13">
    <w:abstractNumId w:val="5"/>
  </w:num>
  <w:num w:numId="14">
    <w:abstractNumId w:val="11"/>
  </w:num>
  <w:num w:numId="15">
    <w:abstractNumId w:val="33"/>
  </w:num>
  <w:num w:numId="16">
    <w:abstractNumId w:val="3"/>
  </w:num>
  <w:num w:numId="17">
    <w:abstractNumId w:val="31"/>
  </w:num>
  <w:num w:numId="18">
    <w:abstractNumId w:val="32"/>
  </w:num>
  <w:num w:numId="19">
    <w:abstractNumId w:val="4"/>
  </w:num>
  <w:num w:numId="20">
    <w:abstractNumId w:val="18"/>
  </w:num>
  <w:num w:numId="21">
    <w:abstractNumId w:val="24"/>
  </w:num>
  <w:num w:numId="22">
    <w:abstractNumId w:val="25"/>
  </w:num>
  <w:num w:numId="23">
    <w:abstractNumId w:val="10"/>
  </w:num>
  <w:num w:numId="24">
    <w:abstractNumId w:val="23"/>
  </w:num>
  <w:num w:numId="25">
    <w:abstractNumId w:val="15"/>
  </w:num>
  <w:num w:numId="26">
    <w:abstractNumId w:val="22"/>
  </w:num>
  <w:num w:numId="27">
    <w:abstractNumId w:val="26"/>
  </w:num>
  <w:num w:numId="28">
    <w:abstractNumId w:val="28"/>
  </w:num>
  <w:num w:numId="29">
    <w:abstractNumId w:val="9"/>
  </w:num>
  <w:num w:numId="30">
    <w:abstractNumId w:val="30"/>
  </w:num>
  <w:num w:numId="31">
    <w:abstractNumId w:val="14"/>
  </w:num>
  <w:num w:numId="32">
    <w:abstractNumId w:val="21"/>
  </w:num>
  <w:num w:numId="33">
    <w:abstractNumId w:val="2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2F"/>
    <w:rsid w:val="000B730A"/>
    <w:rsid w:val="002A7671"/>
    <w:rsid w:val="003A0657"/>
    <w:rsid w:val="008F4FA7"/>
    <w:rsid w:val="00F34580"/>
    <w:rsid w:val="00F87B29"/>
    <w:rsid w:val="00F9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5E244-8C56-4B2C-91BB-14FDBB52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1">
    <w:name w:val="heading 1"/>
    <w:basedOn w:val="Normal"/>
    <w:link w:val="Cabealho1Carter"/>
    <w:uiPriority w:val="9"/>
    <w:qFormat/>
    <w:rsid w:val="00F950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Cabealho2">
    <w:name w:val="heading 2"/>
    <w:basedOn w:val="Normal"/>
    <w:link w:val="Cabealho2Carter"/>
    <w:uiPriority w:val="9"/>
    <w:qFormat/>
    <w:rsid w:val="00F95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Cabealho3">
    <w:name w:val="heading 3"/>
    <w:basedOn w:val="Normal"/>
    <w:link w:val="Cabealho3Carter"/>
    <w:uiPriority w:val="9"/>
    <w:qFormat/>
    <w:rsid w:val="00F950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4">
    <w:name w:val="heading 4"/>
    <w:basedOn w:val="Normal"/>
    <w:link w:val="Cabealho4Carter"/>
    <w:uiPriority w:val="9"/>
    <w:qFormat/>
    <w:rsid w:val="00F9502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"/>
    <w:rsid w:val="00F9502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F9502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F9502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F950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95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6asjqtextbase">
    <w:name w:val="w6asjq_textbase"/>
    <w:basedOn w:val="Normal"/>
    <w:rsid w:val="00F95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6asjqtextbase1">
    <w:name w:val="w6asjq_textbase1"/>
    <w:basedOn w:val="Tipodeletrapredefinidodopargrafo"/>
    <w:rsid w:val="00F9502F"/>
  </w:style>
  <w:style w:type="paragraph" w:styleId="PargrafodaLista">
    <w:name w:val="List Paragraph"/>
    <w:basedOn w:val="Normal"/>
    <w:uiPriority w:val="1"/>
    <w:qFormat/>
    <w:rsid w:val="00F34580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0B730A"/>
    <w:pPr>
      <w:spacing w:after="120" w:line="276" w:lineRule="auto"/>
    </w:pPr>
    <w:rPr>
      <w:rFonts w:ascii="Arial" w:eastAsiaTheme="minorEastAsia" w:hAnsi="Arial"/>
      <w:sz w:val="21"/>
      <w:lang w:val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0B730A"/>
    <w:rPr>
      <w:rFonts w:ascii="Arial" w:eastAsiaTheme="minorEastAsia" w:hAnsi="Arial"/>
      <w:sz w:val="21"/>
      <w:lang w:val="en-US"/>
    </w:rPr>
  </w:style>
  <w:style w:type="table" w:styleId="Tabelacomgrelha">
    <w:name w:val="Table Grid"/>
    <w:basedOn w:val="Tabelanormal"/>
    <w:uiPriority w:val="59"/>
    <w:rsid w:val="000B730A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autoRedefine/>
    <w:uiPriority w:val="99"/>
    <w:qFormat/>
    <w:rsid w:val="000B730A"/>
    <w:pPr>
      <w:suppressAutoHyphens/>
      <w:spacing w:after="0" w:line="360" w:lineRule="auto"/>
      <w:ind w:right="-285"/>
      <w:jc w:val="both"/>
    </w:pPr>
    <w:rPr>
      <w:rFonts w:ascii="Times New Roman" w:eastAsia="ArialMT" w:hAnsi="Times New Roman" w:cs="Times New Roman"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4336</Words>
  <Characters>23416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PCRJ</Company>
  <LinksUpToDate>false</LinksUpToDate>
  <CharactersWithSpaces>27697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Alvite Nogueira Fernandes</dc:creator>
  <cp:keywords/>
  <dc:description/>
  <cp:lastModifiedBy>Roberta Alvite Nogueira Fernandes</cp:lastModifiedBy>
  <cp:revision>3</cp:revision>
  <dcterms:created xsi:type="dcterms:W3CDTF">2026-10-19T18:15:00Z</dcterms:created>
  <dcterms:modified xsi:type="dcterms:W3CDTF">2026-10-19T20:42:00Z</dcterms:modified>
</cp:coreProperties>
</file>