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7E3C8" w14:textId="77777777" w:rsidR="008C0A15" w:rsidRPr="008C0A15" w:rsidRDefault="008C0A15" w:rsidP="0017615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8C0A15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ANEXO I – TABELA TÉCNICA DO SISTEMA DE GESTÃO COMERCIAL DE SANEAMENTO</w:t>
      </w:r>
    </w:p>
    <w:tbl>
      <w:tblPr>
        <w:tblW w:w="9781" w:type="dxa"/>
        <w:tblCellSpacing w:w="1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5"/>
        <w:gridCol w:w="2279"/>
        <w:gridCol w:w="6927"/>
      </w:tblGrid>
      <w:tr w:rsidR="008C0A15" w:rsidRPr="008C0A15" w14:paraId="6AF98EE0" w14:textId="77777777" w:rsidTr="0075478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91A4201" w14:textId="77777777" w:rsidR="008C0A15" w:rsidRPr="008C0A15" w:rsidRDefault="008C0A15" w:rsidP="008C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2249" w:type="dxa"/>
            <w:vAlign w:val="center"/>
            <w:hideMark/>
          </w:tcPr>
          <w:p w14:paraId="6F62EBBD" w14:textId="77777777" w:rsidR="008C0A15" w:rsidRPr="008C0A15" w:rsidRDefault="008C0A15" w:rsidP="008C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Descrição Técnica</w:t>
            </w:r>
          </w:p>
        </w:tc>
        <w:tc>
          <w:tcPr>
            <w:tcW w:w="6882" w:type="dxa"/>
            <w:vAlign w:val="center"/>
            <w:hideMark/>
          </w:tcPr>
          <w:p w14:paraId="40FAA786" w14:textId="77777777" w:rsidR="008C0A15" w:rsidRPr="008C0A15" w:rsidRDefault="008C0A15" w:rsidP="008C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Requisito Mínimo</w:t>
            </w:r>
          </w:p>
        </w:tc>
      </w:tr>
      <w:tr w:rsidR="008C0A15" w:rsidRPr="008C0A15" w14:paraId="20C7C7E3" w14:textId="77777777" w:rsidTr="007547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B275B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2249" w:type="dxa"/>
            <w:vAlign w:val="center"/>
            <w:hideMark/>
          </w:tcPr>
          <w:p w14:paraId="12518AD4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Arquitetura e Banco de Dados</w:t>
            </w:r>
          </w:p>
        </w:tc>
        <w:tc>
          <w:tcPr>
            <w:tcW w:w="6882" w:type="dxa"/>
            <w:vAlign w:val="center"/>
            <w:hideMark/>
          </w:tcPr>
          <w:p w14:paraId="5D47A668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Sistema em ambiente WEB; Banco de dados relacional compatível com Linux e Windows; compatível com navegadores atuais; recurso de “Flashback” nativo (24h).</w:t>
            </w:r>
          </w:p>
        </w:tc>
      </w:tr>
      <w:tr w:rsidR="008C0A15" w:rsidRPr="008C0A15" w14:paraId="3824580F" w14:textId="77777777" w:rsidTr="007547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4C1CB8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2249" w:type="dxa"/>
            <w:vAlign w:val="center"/>
            <w:hideMark/>
          </w:tcPr>
          <w:p w14:paraId="21F67CBD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Segurança da Informação</w:t>
            </w:r>
          </w:p>
        </w:tc>
        <w:tc>
          <w:tcPr>
            <w:tcW w:w="6882" w:type="dxa"/>
            <w:vAlign w:val="center"/>
            <w:hideMark/>
          </w:tcPr>
          <w:p w14:paraId="081C137D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Protocolo SSL/TLS; Certificado SSL com raiz internacional; Criptografia mínima de 128 bits e RSA 2048 bits; autenticação por login e senha; controle de perfis de acesso; registro de logs de atividades.</w:t>
            </w:r>
          </w:p>
        </w:tc>
      </w:tr>
      <w:tr w:rsidR="008C0A15" w:rsidRPr="008C0A15" w14:paraId="4AA527B9" w14:textId="77777777" w:rsidTr="007547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31362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2249" w:type="dxa"/>
            <w:vAlign w:val="center"/>
            <w:hideMark/>
          </w:tcPr>
          <w:p w14:paraId="3F1B91EF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Integrações</w:t>
            </w:r>
          </w:p>
        </w:tc>
        <w:tc>
          <w:tcPr>
            <w:tcW w:w="6882" w:type="dxa"/>
            <w:vAlign w:val="center"/>
            <w:hideMark/>
          </w:tcPr>
          <w:p w14:paraId="1FBA56EB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Integração via WebService, SOAP, REST, JSON, XML, CSV; compatibilidade com adquirentes de cartão, PIX, WhatsApp e </w:t>
            </w:r>
            <w:proofErr w:type="spellStart"/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Telegram</w:t>
            </w:r>
            <w:proofErr w:type="spellEnd"/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; tráfego de arquivos PDF compactados (base 64).</w:t>
            </w:r>
          </w:p>
        </w:tc>
      </w:tr>
      <w:tr w:rsidR="008C0A15" w:rsidRPr="008C0A15" w14:paraId="00CD5854" w14:textId="77777777" w:rsidTr="007547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1C072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2249" w:type="dxa"/>
            <w:vAlign w:val="center"/>
            <w:hideMark/>
          </w:tcPr>
          <w:p w14:paraId="21709FE5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Funcionalidades Principais</w:t>
            </w:r>
          </w:p>
        </w:tc>
        <w:tc>
          <w:tcPr>
            <w:tcW w:w="6882" w:type="dxa"/>
            <w:vAlign w:val="center"/>
            <w:hideMark/>
          </w:tcPr>
          <w:p w14:paraId="78B2DCCB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Módulos de atendimento, faturamento, cobrança, dívida ativa, convênios, hidrômetros, georreferenciamento, mobilidade, suporte técnico; gestão de ordens de serviço; geração de relatórios gerenciais.</w:t>
            </w:r>
          </w:p>
        </w:tc>
      </w:tr>
      <w:tr w:rsidR="008C0A15" w:rsidRPr="008C0A15" w14:paraId="4917E224" w14:textId="77777777" w:rsidTr="007547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2364D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2249" w:type="dxa"/>
            <w:vAlign w:val="center"/>
            <w:hideMark/>
          </w:tcPr>
          <w:p w14:paraId="15AA1320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Mobilidade</w:t>
            </w:r>
          </w:p>
        </w:tc>
        <w:tc>
          <w:tcPr>
            <w:tcW w:w="6882" w:type="dxa"/>
            <w:vAlign w:val="center"/>
            <w:hideMark/>
          </w:tcPr>
          <w:p w14:paraId="38AC67D3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Aplicativos móveis para Android ou similar; execução de serviços em campo (leitura de hidrômetros, faturamento </w:t>
            </w:r>
            <w:proofErr w:type="spellStart"/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on</w:t>
            </w:r>
            <w:proofErr w:type="spellEnd"/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site, emissão de documentos); rastreamento GPS de usuários; comunicação instantânea com central.</w:t>
            </w:r>
          </w:p>
        </w:tc>
      </w:tr>
      <w:tr w:rsidR="008C0A15" w:rsidRPr="008C0A15" w14:paraId="70CD95EC" w14:textId="77777777" w:rsidTr="007547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4B6CC6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2249" w:type="dxa"/>
            <w:vAlign w:val="center"/>
            <w:hideMark/>
          </w:tcPr>
          <w:p w14:paraId="4C98BEC5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Migração de Dados</w:t>
            </w:r>
          </w:p>
        </w:tc>
        <w:tc>
          <w:tcPr>
            <w:tcW w:w="6882" w:type="dxa"/>
            <w:vAlign w:val="center"/>
            <w:hideMark/>
          </w:tcPr>
          <w:p w14:paraId="1ADB796A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Plano de migração homologado pela contratante; importação completa de dados cadastrais e financeiros; preservação de histórico.</w:t>
            </w:r>
          </w:p>
        </w:tc>
      </w:tr>
      <w:tr w:rsidR="008C0A15" w:rsidRPr="008C0A15" w14:paraId="3048FE4F" w14:textId="77777777" w:rsidTr="007547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D6457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2249" w:type="dxa"/>
            <w:vAlign w:val="center"/>
            <w:hideMark/>
          </w:tcPr>
          <w:p w14:paraId="28FF1CC6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Backup e Contingência</w:t>
            </w:r>
          </w:p>
        </w:tc>
        <w:tc>
          <w:tcPr>
            <w:tcW w:w="6882" w:type="dxa"/>
            <w:vAlign w:val="center"/>
            <w:hideMark/>
          </w:tcPr>
          <w:p w14:paraId="5DFF9020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Rotinas automáticas de backup; recuperação de dados em até 24h; plano de contingência aprovado.</w:t>
            </w:r>
          </w:p>
        </w:tc>
      </w:tr>
      <w:tr w:rsidR="008C0A15" w:rsidRPr="008C0A15" w14:paraId="072DBB44" w14:textId="77777777" w:rsidTr="007547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0D8A3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2249" w:type="dxa"/>
            <w:vAlign w:val="center"/>
            <w:hideMark/>
          </w:tcPr>
          <w:p w14:paraId="6793F167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Suporte Técnico</w:t>
            </w:r>
          </w:p>
        </w:tc>
        <w:tc>
          <w:tcPr>
            <w:tcW w:w="6882" w:type="dxa"/>
            <w:vAlign w:val="center"/>
            <w:hideMark/>
          </w:tcPr>
          <w:p w14:paraId="31A0F6ED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SLA definido (tempo máximo de resposta e resolução); suporte remoto e presencial; registro de chamados com acompanhamento via sistema.</w:t>
            </w:r>
          </w:p>
        </w:tc>
      </w:tr>
      <w:tr w:rsidR="008C0A15" w:rsidRPr="008C0A15" w14:paraId="1DA0C6C8" w14:textId="77777777" w:rsidTr="007547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75D907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2249" w:type="dxa"/>
            <w:vAlign w:val="center"/>
            <w:hideMark/>
          </w:tcPr>
          <w:p w14:paraId="4413934C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Treinamento</w:t>
            </w:r>
          </w:p>
        </w:tc>
        <w:tc>
          <w:tcPr>
            <w:tcW w:w="6882" w:type="dxa"/>
            <w:vAlign w:val="center"/>
            <w:hideMark/>
          </w:tcPr>
          <w:p w14:paraId="3E069577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Capacitação de usuários finais e administradores; entrega de manuais e guias; treinamento presencial e/ou remoto.</w:t>
            </w:r>
          </w:p>
        </w:tc>
      </w:tr>
      <w:tr w:rsidR="008C0A15" w:rsidRPr="008C0A15" w14:paraId="09AD19A5" w14:textId="77777777" w:rsidTr="007547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6A43F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2249" w:type="dxa"/>
            <w:vAlign w:val="center"/>
            <w:hideMark/>
          </w:tcPr>
          <w:p w14:paraId="0007EA92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Conformidade Legal</w:t>
            </w:r>
          </w:p>
        </w:tc>
        <w:tc>
          <w:tcPr>
            <w:tcW w:w="6882" w:type="dxa"/>
            <w:vAlign w:val="center"/>
            <w:hideMark/>
          </w:tcPr>
          <w:p w14:paraId="4ABE82CF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Atender à LGPD; contemplar atualizações legais e normativas durante a vigência contratual; contemplar Lei de Inquilinato para cobrança parametrizada.</w:t>
            </w:r>
          </w:p>
        </w:tc>
      </w:tr>
      <w:tr w:rsidR="008C0A15" w:rsidRPr="008C0A15" w14:paraId="4F4085B7" w14:textId="77777777" w:rsidTr="007547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D72E8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2249" w:type="dxa"/>
            <w:vAlign w:val="center"/>
            <w:hideMark/>
          </w:tcPr>
          <w:p w14:paraId="0EEE0F51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Georreferenciamento</w:t>
            </w:r>
          </w:p>
        </w:tc>
        <w:tc>
          <w:tcPr>
            <w:tcW w:w="6882" w:type="dxa"/>
            <w:vAlign w:val="center"/>
            <w:hideMark/>
          </w:tcPr>
          <w:p w14:paraId="5DCE5284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Cadastro de fontes, reservatórios e rede de distribuição; visualização no mapa; agrupamento por logradouros, bairros, redes e fontes; integração com Google Maps.</w:t>
            </w:r>
          </w:p>
        </w:tc>
      </w:tr>
      <w:tr w:rsidR="008C0A15" w:rsidRPr="008C0A15" w14:paraId="1B90F1F9" w14:textId="77777777" w:rsidTr="007547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6AFAB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2249" w:type="dxa"/>
            <w:vAlign w:val="center"/>
            <w:hideMark/>
          </w:tcPr>
          <w:p w14:paraId="0D9E2C6F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Faturamento e Cobrança</w:t>
            </w:r>
          </w:p>
        </w:tc>
        <w:tc>
          <w:tcPr>
            <w:tcW w:w="6882" w:type="dxa"/>
            <w:vAlign w:val="center"/>
            <w:hideMark/>
          </w:tcPr>
          <w:p w14:paraId="081B54CD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Processamento em tempo real; cálculo tarifário parametrizado; emissão de faturas com código de barras e QR </w:t>
            </w:r>
            <w:proofErr w:type="spellStart"/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Code</w:t>
            </w:r>
            <w:proofErr w:type="spellEnd"/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PIX; renegociação e parcelamento integrados.</w:t>
            </w:r>
          </w:p>
        </w:tc>
      </w:tr>
      <w:tr w:rsidR="008C0A15" w:rsidRPr="008C0A15" w14:paraId="6509B00C" w14:textId="77777777" w:rsidTr="007547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FAB76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2249" w:type="dxa"/>
            <w:vAlign w:val="center"/>
            <w:hideMark/>
          </w:tcPr>
          <w:p w14:paraId="628184B7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Dívida Ativa e Cobrança Judicial</w:t>
            </w:r>
          </w:p>
        </w:tc>
        <w:tc>
          <w:tcPr>
            <w:tcW w:w="6882" w:type="dxa"/>
            <w:vAlign w:val="center"/>
            <w:hideMark/>
          </w:tcPr>
          <w:p w14:paraId="1DCD38D3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Geração de livro da dívida ativa; emissão de certidões e notificações; acompanhamento de execuções fiscais; integração com módulos jurídicos.</w:t>
            </w:r>
          </w:p>
        </w:tc>
      </w:tr>
      <w:tr w:rsidR="008C0A15" w:rsidRPr="008C0A15" w14:paraId="78EDF0C9" w14:textId="77777777" w:rsidTr="007547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39B72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2249" w:type="dxa"/>
            <w:vAlign w:val="center"/>
            <w:hideMark/>
          </w:tcPr>
          <w:p w14:paraId="685F2B25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Monitoramento e Auditoria</w:t>
            </w:r>
          </w:p>
        </w:tc>
        <w:tc>
          <w:tcPr>
            <w:tcW w:w="6882" w:type="dxa"/>
            <w:vAlign w:val="center"/>
            <w:hideMark/>
          </w:tcPr>
          <w:p w14:paraId="26071644" w14:textId="77777777" w:rsidR="008C0A15" w:rsidRPr="008C0A15" w:rsidRDefault="008C0A15" w:rsidP="008C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C0A1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Registro histórico de todas as operações; consultas e relatórios por filtros variados; dashboards de desempenho.</w:t>
            </w:r>
          </w:p>
        </w:tc>
      </w:tr>
    </w:tbl>
    <w:p w14:paraId="4A07473C" w14:textId="241B4A02" w:rsidR="008C0A15" w:rsidRPr="008C0A15" w:rsidRDefault="008C0A15" w:rsidP="008C0A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8C0A15" w:rsidRPr="008C0A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A15"/>
    <w:rsid w:val="00176150"/>
    <w:rsid w:val="00754788"/>
    <w:rsid w:val="008C0A15"/>
    <w:rsid w:val="00CA1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BEF64"/>
  <w15:chartTrackingRefBased/>
  <w15:docId w15:val="{6E577C17-3800-43CD-91DA-BEF7B2AAF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8C0A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8C0A15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C0A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C0A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1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3</cp:revision>
  <dcterms:created xsi:type="dcterms:W3CDTF">2025-08-10T17:14:00Z</dcterms:created>
  <dcterms:modified xsi:type="dcterms:W3CDTF">2025-08-10T17:56:00Z</dcterms:modified>
</cp:coreProperties>
</file>