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00D811">
      <w:pPr>
        <w:shd w:val="clear" w:color="auto" w:fill="D8D8D8" w:themeFill="background1" w:themeFillShade="D9"/>
        <w:jc w:val="center"/>
        <w:rPr>
          <w:rFonts w:ascii="Times New Roman" w:hAnsi="Times New Roman" w:eastAsiaTheme="minorHAnsi"/>
          <w:b/>
          <w:szCs w:val="28"/>
          <w:lang w:eastAsia="en-US"/>
        </w:rPr>
      </w:pPr>
      <w:r>
        <w:rPr>
          <w:rFonts w:ascii="Times New Roman" w:hAnsi="Times New Roman" w:eastAsiaTheme="minorHAnsi"/>
          <w:b/>
          <w:szCs w:val="28"/>
          <w:lang w:eastAsia="en-US"/>
        </w:rPr>
        <w:t>TERMO DE REFERÊNCIA COM FUNDAMENTO NA LEI FEDERAL Nº 14.133/2021</w:t>
      </w:r>
    </w:p>
    <w:p w14:paraId="522E4A51">
      <w:pPr>
        <w:jc w:val="both"/>
        <w:rPr>
          <w:rFonts w:ascii="Times New Roman" w:hAnsi="Times New Roman"/>
          <w:szCs w:val="28"/>
          <w:lang w:val="fr-FR"/>
        </w:rPr>
      </w:pPr>
    </w:p>
    <w:tbl>
      <w:tblPr>
        <w:tblStyle w:val="5"/>
        <w:tblW w:w="99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9"/>
        <w:gridCol w:w="7479"/>
      </w:tblGrid>
      <w:tr w14:paraId="1CC1D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9" w:type="dxa"/>
            <w:shd w:val="clear" w:color="auto" w:fill="auto"/>
          </w:tcPr>
          <w:p w14:paraId="00536A65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Órgão Requerente</w:t>
            </w:r>
          </w:p>
        </w:tc>
        <w:tc>
          <w:tcPr>
            <w:tcW w:w="7479" w:type="dxa"/>
            <w:shd w:val="clear" w:color="auto" w:fill="auto"/>
          </w:tcPr>
          <w:p w14:paraId="73F4E058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/>
                <w:szCs w:val="28"/>
                <w:lang w:val="pt-BR"/>
              </w:rPr>
              <w:t>Secretaria de Infraestrutura, Urbanização e Serviços</w:t>
            </w:r>
          </w:p>
        </w:tc>
      </w:tr>
      <w:tr w14:paraId="0AF84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9" w:type="dxa"/>
            <w:shd w:val="clear" w:color="auto" w:fill="auto"/>
          </w:tcPr>
          <w:p w14:paraId="0B0A3219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Responsável</w:t>
            </w:r>
          </w:p>
        </w:tc>
        <w:tc>
          <w:tcPr>
            <w:tcW w:w="7479" w:type="dxa"/>
            <w:shd w:val="clear" w:color="auto" w:fill="auto"/>
            <w:vAlign w:val="top"/>
          </w:tcPr>
          <w:p w14:paraId="10297010">
            <w:pPr>
              <w:jc w:val="both"/>
              <w:rPr>
                <w:rFonts w:hint="default" w:ascii="Times New Roman" w:hAnsi="Times New Roman" w:eastAsia="Times New Roman" w:cs="Times New Roman"/>
                <w:b/>
                <w:sz w:val="28"/>
                <w:szCs w:val="28"/>
                <w:lang w:val="pt-BR" w:eastAsia="pt-BR" w:bidi="ar-SA"/>
              </w:rPr>
            </w:pPr>
            <w:r>
              <w:rPr>
                <w:rFonts w:hint="default" w:ascii="Times New Roman" w:hAnsi="Times New Roman"/>
                <w:b/>
                <w:szCs w:val="28"/>
                <w:lang w:val="pt-BR"/>
              </w:rPr>
              <w:t>Cristiano Aparecido Rodrigues</w:t>
            </w:r>
          </w:p>
        </w:tc>
      </w:tr>
      <w:tr w14:paraId="368B9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9" w:type="dxa"/>
            <w:shd w:val="clear" w:color="auto" w:fill="auto"/>
          </w:tcPr>
          <w:p w14:paraId="66A5CF45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E-mail</w:t>
            </w:r>
          </w:p>
        </w:tc>
        <w:tc>
          <w:tcPr>
            <w:tcW w:w="7479" w:type="dxa"/>
            <w:shd w:val="clear" w:color="auto" w:fill="auto"/>
          </w:tcPr>
          <w:p w14:paraId="4B4C90B7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/>
                <w:szCs w:val="28"/>
                <w:lang w:val="pt-BR"/>
              </w:rPr>
              <w:t>Secretariainfraestrutura@quata.sp.gov.br</w:t>
            </w:r>
          </w:p>
        </w:tc>
      </w:tr>
    </w:tbl>
    <w:p w14:paraId="4D5C6DBA">
      <w:pPr>
        <w:jc w:val="both"/>
        <w:rPr>
          <w:rFonts w:ascii="Times New Roman" w:hAnsi="Times New Roman"/>
          <w:b/>
          <w:szCs w:val="28"/>
          <w:lang w:val="fr-FR"/>
        </w:rPr>
      </w:pPr>
    </w:p>
    <w:p w14:paraId="4EB57328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1- Definição do objeto:</w:t>
      </w:r>
    </w:p>
    <w:p w14:paraId="21C1C65E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Solicitamos abertura de compra direta para a contratação de empresa especializada para realizar colocação de alambrados com postes de concreto com tela de arame galvanizado no Almoxarifado Municipal da cidade de Quatá-SP, com o intuito de garantir a segurança e integridade do local, conforme exposto abaixo:</w:t>
      </w:r>
    </w:p>
    <w:p w14:paraId="30B77EB8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tbl>
      <w:tblPr>
        <w:tblStyle w:val="5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30"/>
        <w:gridCol w:w="1147"/>
        <w:gridCol w:w="3189"/>
        <w:gridCol w:w="660"/>
        <w:gridCol w:w="685"/>
        <w:gridCol w:w="1226"/>
        <w:gridCol w:w="1242"/>
        <w:gridCol w:w="1061"/>
      </w:tblGrid>
      <w:tr w14:paraId="5AC23B0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20146A91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>ITEM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0" w:space="0"/>
              <w:right w:val="single" w:color="000000" w:sz="4" w:space="0"/>
            </w:tcBorders>
            <w:shd w:val="clear" w:color="000000" w:fill="FFFFFF"/>
            <w:tcMar>
              <w:left w:w="70" w:type="dxa"/>
              <w:right w:w="70" w:type="dxa"/>
            </w:tcMar>
            <w:vAlign w:val="top"/>
          </w:tcPr>
          <w:p w14:paraId="040789B2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>CÓDIGO</w:t>
            </w:r>
          </w:p>
        </w:tc>
        <w:tc>
          <w:tcPr>
            <w:tcW w:w="3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5DA60A6C">
            <w:pPr>
              <w:spacing w:before="0" w:after="0" w:line="240" w:lineRule="auto"/>
              <w:ind w:left="0" w:right="0" w:firstLine="0"/>
              <w:jc w:val="both"/>
              <w:rPr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>PRODUTO/DESCRIÇÃO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6CDAD86B">
            <w:pPr>
              <w:spacing w:before="0" w:after="0" w:line="24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sz w:val="20"/>
                <w:szCs w:val="20"/>
                <w:shd w:val="clear" w:fill="auto"/>
                <w:lang w:val="pt-BR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>UN</w:t>
            </w:r>
            <w:r>
              <w:rPr>
                <w:rFonts w:hint="default" w:ascii="Times New Roman" w:hAnsi="Times New Roman" w:cs="Times New Roman"/>
                <w:b/>
                <w:color w:val="auto"/>
                <w:spacing w:val="0"/>
                <w:position w:val="0"/>
                <w:sz w:val="20"/>
                <w:szCs w:val="20"/>
                <w:shd w:val="clear" w:fill="auto"/>
                <w:lang w:val="pt-BR"/>
              </w:rPr>
              <w:t>.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35436F48">
            <w:pPr>
              <w:spacing w:before="0" w:after="0" w:line="24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sz w:val="20"/>
                <w:szCs w:val="20"/>
                <w:shd w:val="clear" w:fill="auto"/>
                <w:lang w:val="pt-BR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>Q</w:t>
            </w:r>
            <w:r>
              <w:rPr>
                <w:rFonts w:hint="default" w:ascii="Times New Roman" w:hAnsi="Times New Roman" w:cs="Times New Roman"/>
                <w:b/>
                <w:color w:val="auto"/>
                <w:spacing w:val="0"/>
                <w:position w:val="0"/>
                <w:sz w:val="20"/>
                <w:szCs w:val="20"/>
                <w:shd w:val="clear" w:fill="auto"/>
                <w:lang w:val="pt-BR"/>
              </w:rPr>
              <w:t>DE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7283B6C9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>VALOR UNITÁRIO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234DAA6B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>VALOR TOTAL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70" w:type="dxa"/>
              <w:right w:w="70" w:type="dxa"/>
            </w:tcMar>
            <w:vAlign w:val="top"/>
          </w:tcPr>
          <w:p w14:paraId="5C60D7C4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>CNAE</w:t>
            </w:r>
          </w:p>
        </w:tc>
      </w:tr>
      <w:tr w14:paraId="2D355AD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730" w:type="dxa"/>
            <w:tcBorders>
              <w:top w:val="single" w:color="000000" w:sz="0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5C7989D3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4DE111E5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hd w:val="clear" w:fill="auto"/>
              </w:rPr>
              <w:t>1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70" w:type="dxa"/>
              <w:right w:w="70" w:type="dxa"/>
            </w:tcMar>
            <w:vAlign w:val="top"/>
          </w:tcPr>
          <w:p w14:paraId="2DCC492D"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39FC2727"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034.032.121</w:t>
            </w:r>
          </w:p>
          <w:p w14:paraId="55CE8A08"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7DA7DA72"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72AB178C"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7B148F4A"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fill="auto"/>
              </w:rPr>
            </w:pPr>
          </w:p>
        </w:tc>
        <w:tc>
          <w:tcPr>
            <w:tcW w:w="3189" w:type="dxa"/>
            <w:tcBorders>
              <w:top w:val="single" w:color="000000" w:sz="0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34499965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1"/>
                <w:shd w:val="clear" w:fill="auto"/>
              </w:rPr>
            </w:pPr>
          </w:p>
          <w:p w14:paraId="30B2DDD9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hd w:val="clear" w:fill="auto"/>
              </w:rPr>
              <w:t xml:space="preserve">CONTRATAÇAO DE EMPRESA PARA </w:t>
            </w:r>
            <w:r>
              <w:rPr>
                <w:rFonts w:hint="default" w:ascii="Times New Roman" w:hAnsi="Times New Roman" w:cs="Times New Roman"/>
                <w:b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hd w:val="clear" w:fill="auto"/>
              </w:rPr>
              <w:t xml:space="preserve">REALIZAR A </w:t>
            </w:r>
            <w:r>
              <w:rPr>
                <w:rFonts w:hint="default" w:ascii="Times New Roman" w:hAnsi="Times New Roman" w:cs="Times New Roman"/>
                <w:b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 xml:space="preserve">INSTALAÇÃO </w:t>
            </w: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hd w:val="clear" w:fill="auto"/>
              </w:rPr>
              <w:t>DE ALAMBRADOS COM POSTES DE CONCRETO COM TELA DE ARAME GALVANIZADO</w:t>
            </w:r>
          </w:p>
          <w:p w14:paraId="11CF4204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4836D303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16C405B6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A EMPRESA FICARÁ RESPONSÁVEL POR:</w:t>
            </w:r>
          </w:p>
          <w:p w14:paraId="26EFFBD2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0B6BC5EB">
            <w:pPr>
              <w:spacing w:before="0" w:after="0" w:line="240" w:lineRule="auto"/>
              <w:ind w:left="0" w:right="0" w:firstLine="0"/>
              <w:jc w:val="both"/>
              <w:rPr>
                <w:rFonts w:hint="default"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-TODO MATERIAL UTILIZADO NA PRESTAÇÃO DO SERVIÇO, FERRAMENTAS E EQUIPAMENTOS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 xml:space="preserve">, PROFISSIONAIS (PEDREIROS, AJUDANTES,  E OUTROS) </w:t>
            </w:r>
          </w:p>
          <w:p w14:paraId="27760F72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02D76792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 xml:space="preserve">(ALAMBRADOS COM MOURÕES DE CONCRETO COM TELA DE ARAME GALVANIZADO NAS MEDIDAS: </w:t>
            </w:r>
          </w:p>
          <w:p w14:paraId="5A487504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4DC6F754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150M  DE EXECUÇÃO  DE ALAMBRADO COM POSTES DE CONCRETO  (TIPO CURVO);</w:t>
            </w:r>
          </w:p>
          <w:p w14:paraId="759A935A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60BD0AC6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46AC5279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 xml:space="preserve"> A CONTRATADA DEVERÁ FORNECER:</w:t>
            </w:r>
          </w:p>
          <w:p w14:paraId="2D910696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- 270 M² DE ALAMBRADO EM TELA DE ARAME GALVANIZADO MALHA 10X10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 xml:space="preserve">, FIO 14 E ALTURA DE 1,80M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;</w:t>
            </w:r>
          </w:p>
          <w:p w14:paraId="0EBF77F0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3CDE6D21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- 150 M DE MURETA</w:t>
            </w:r>
            <w:r>
              <w:rPr>
                <w:rFonts w:hint="default"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 xml:space="preserve"> (FÔRMA PARA VIGA BALDRAME), EM MADEIRA CERRADA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 xml:space="preserve"> DE 20 CM DE ALTURA EM CONCRETO PARA A LIGAÇÃO DOS POSTES EM CONCRETO;</w:t>
            </w:r>
          </w:p>
          <w:p w14:paraId="04B9BF6B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4C96D72E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- A EMPRESA DEVERÁ FORNECER 60 POSTES EM CONCRETO TIPO CURVO NAS MEDIDAS: 2,20M X 0,10M X 010M.</w:t>
            </w:r>
          </w:p>
          <w:p w14:paraId="6A8AB657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26A16037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- ALIMENTAÇÃO, TRASLADO (COMBUSTÍVEL), BEBIDAS, HOSPEDAGEM DE TODOS OS INTEGRANTES DE EQUIPE DE TRABALHO, DURANTE  A EXECUÇÃO DO SERVIÇO SERÁ POR CONTA DA EMPRESA.</w:t>
            </w:r>
          </w:p>
          <w:p w14:paraId="538EDC7D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4BD044D7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- A EMPRESA AINDA DEVERÁ FORNCECER MÃO DE OBRA, EPIS, MÁQUINAS, FERRAMENTAS, UTENSÍLIOS E DEMAIS CUSTOS PROVENIENTES DOS MATERIAIS NECESSÁRIOS À PLENA EXECUÇÃO DOS SERVIÇOS.</w:t>
            </w:r>
          </w:p>
          <w:p w14:paraId="6FE0984B">
            <w:pPr>
              <w:spacing w:before="0" w:after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141F8F7F">
            <w:pPr>
              <w:spacing w:before="0" w:after="0" w:line="240" w:lineRule="auto"/>
              <w:ind w:left="0" w:right="0" w:firstLine="0"/>
              <w:jc w:val="both"/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- A EMPRESA QUE EXECUTAR A OBRA FICARÁ RESPONSÁVEL PELA SOLIDEZ E SEGURANÇA DO TRABALHO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 xml:space="preserve"> EXECUTADO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 xml:space="preserve"> POR UM PERÍODO IRREDUTÍVEL DE 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>6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 xml:space="preserve"> (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>SEIS) MESES.</w:t>
            </w:r>
          </w:p>
          <w:p w14:paraId="18C9E465">
            <w:pPr>
              <w:spacing w:before="0" w:after="0" w:line="240" w:lineRule="auto"/>
              <w:ind w:left="0" w:right="0" w:firstLine="0"/>
              <w:jc w:val="both"/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</w:pPr>
          </w:p>
        </w:tc>
        <w:tc>
          <w:tcPr>
            <w:tcW w:w="660" w:type="dxa"/>
            <w:tcBorders>
              <w:top w:val="single" w:color="000000" w:sz="0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59DF1A99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4A796F25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SV</w:t>
            </w:r>
          </w:p>
        </w:tc>
        <w:tc>
          <w:tcPr>
            <w:tcW w:w="685" w:type="dxa"/>
            <w:tcBorders>
              <w:top w:val="single" w:color="000000" w:sz="0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3D39FC42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5414BD88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1</w:t>
            </w:r>
          </w:p>
        </w:tc>
        <w:tc>
          <w:tcPr>
            <w:tcW w:w="1226" w:type="dxa"/>
            <w:tcBorders>
              <w:top w:val="single" w:color="000000" w:sz="0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0A5F2050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1A856169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 xml:space="preserve">R$ </w:t>
            </w:r>
            <w:r>
              <w:rPr>
                <w:rFonts w:hint="default" w:ascii="Times New Roman" w:hAnsi="Times New Roman" w:eastAsia="Times New Roman"/>
                <w:color w:val="auto"/>
                <w:spacing w:val="0"/>
                <w:position w:val="0"/>
                <w:sz w:val="20"/>
                <w:shd w:val="clear" w:fill="auto"/>
              </w:rPr>
              <w:t>36</w:t>
            </w:r>
            <w:r>
              <w:rPr>
                <w:rFonts w:hint="default" w:ascii="Times New Roman" w:hAnsi="Times New Roman" w:eastAsia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>.</w:t>
            </w:r>
            <w:r>
              <w:rPr>
                <w:rFonts w:hint="default" w:ascii="Times New Roman" w:hAnsi="Times New Roman" w:eastAsia="Times New Roman"/>
                <w:color w:val="auto"/>
                <w:spacing w:val="0"/>
                <w:position w:val="0"/>
                <w:sz w:val="20"/>
                <w:shd w:val="clear" w:fill="auto"/>
              </w:rPr>
              <w:t>731,22</w:t>
            </w:r>
          </w:p>
        </w:tc>
        <w:tc>
          <w:tcPr>
            <w:tcW w:w="1242" w:type="dxa"/>
            <w:tcBorders>
              <w:top w:val="single" w:color="000000" w:sz="0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70" w:type="dxa"/>
              <w:right w:w="70" w:type="dxa"/>
            </w:tcMar>
            <w:vAlign w:val="top"/>
          </w:tcPr>
          <w:p w14:paraId="0418887C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22D9064E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R$</w:t>
            </w: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 xml:space="preserve"> </w:t>
            </w:r>
            <w:r>
              <w:rPr>
                <w:rFonts w:hint="default" w:ascii="Times New Roman" w:hAnsi="Times New Roman" w:eastAsia="Times New Roman"/>
                <w:color w:val="auto"/>
                <w:spacing w:val="0"/>
                <w:position w:val="0"/>
                <w:sz w:val="20"/>
                <w:shd w:val="clear" w:fill="auto"/>
              </w:rPr>
              <w:t>36</w:t>
            </w:r>
            <w:r>
              <w:rPr>
                <w:rFonts w:hint="default" w:ascii="Times New Roman" w:hAnsi="Times New Roman" w:eastAsia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>.</w:t>
            </w:r>
            <w:r>
              <w:rPr>
                <w:rFonts w:hint="default" w:ascii="Times New Roman" w:hAnsi="Times New Roman" w:eastAsia="Times New Roman"/>
                <w:color w:val="auto"/>
                <w:spacing w:val="0"/>
                <w:position w:val="0"/>
                <w:sz w:val="20"/>
                <w:shd w:val="clear" w:fill="auto"/>
              </w:rPr>
              <w:t>731,22</w:t>
            </w:r>
            <w:r>
              <w:rPr>
                <w:rFonts w:hint="default"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 xml:space="preserve"> </w:t>
            </w:r>
          </w:p>
        </w:tc>
        <w:tc>
          <w:tcPr>
            <w:tcW w:w="1061" w:type="dxa"/>
            <w:tcBorders>
              <w:top w:val="single" w:color="000000" w:sz="0" w:space="0"/>
              <w:left w:val="single" w:color="000000" w:sz="0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70" w:type="dxa"/>
              <w:right w:w="70" w:type="dxa"/>
            </w:tcMar>
            <w:vAlign w:val="top"/>
          </w:tcPr>
          <w:p w14:paraId="773C4BFA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7790EBB8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 xml:space="preserve">43.99-1-03  </w:t>
            </w:r>
          </w:p>
          <w:p w14:paraId="67473628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2F65020B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>43.99-1-99</w:t>
            </w:r>
          </w:p>
          <w:p w14:paraId="2B1C534B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25C0A932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  <w:r>
              <w:rPr>
                <w:rFonts w:hint="default" w:ascii="Times New Roman" w:hAnsi="Times New Roman" w:cs="Times New Roman"/>
                <w:color w:val="auto"/>
                <w:spacing w:val="0"/>
                <w:position w:val="0"/>
                <w:sz w:val="20"/>
                <w:shd w:val="clear" w:fill="auto"/>
                <w:lang w:val="pt-BR"/>
              </w:rPr>
              <w:t>41.20-4-00</w:t>
            </w: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  <w:t xml:space="preserve">  </w:t>
            </w:r>
          </w:p>
          <w:p w14:paraId="728CAEC4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0"/>
                <w:shd w:val="clear" w:fill="auto"/>
              </w:rPr>
            </w:pPr>
          </w:p>
          <w:p w14:paraId="10C31D37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hd w:val="clear" w:fill="auto"/>
              </w:rPr>
            </w:pPr>
          </w:p>
        </w:tc>
      </w:tr>
    </w:tbl>
    <w:p w14:paraId="7E04C2EB">
      <w:pPr>
        <w:spacing w:before="0" w:after="0" w:line="240" w:lineRule="auto"/>
        <w:ind w:left="0" w:right="0" w:firstLine="0"/>
        <w:jc w:val="both"/>
        <w:rPr>
          <w:rFonts w:ascii="Times New Roman" w:hAnsi="Times New Roman" w:cs="Times New Roman"/>
          <w:b/>
          <w:color w:val="auto"/>
          <w:spacing w:val="0"/>
          <w:position w:val="0"/>
          <w:sz w:val="28"/>
          <w:shd w:val="clear" w:fill="auto"/>
          <w:lang w:val="pt-BR"/>
        </w:rPr>
      </w:pPr>
      <w:r>
        <w:rPr>
          <w:rFonts w:ascii="Times New Roman" w:hAnsi="Times New Roman" w:cs="Times New Roman"/>
          <w:b/>
          <w:color w:val="auto"/>
          <w:spacing w:val="0"/>
          <w:position w:val="0"/>
          <w:sz w:val="28"/>
          <w:shd w:val="clear" w:fill="auto"/>
          <w:lang w:val="pt-BR"/>
        </w:rPr>
        <w:t xml:space="preserve"> </w:t>
      </w:r>
    </w:p>
    <w:p w14:paraId="0852A2F5">
      <w:pPr>
        <w:spacing w:before="0" w:after="0" w:line="240" w:lineRule="auto"/>
        <w:ind w:left="0" w:right="0" w:firstLine="0"/>
        <w:jc w:val="both"/>
        <w:rPr>
          <w:rFonts w:hint="default" w:ascii="Times New Roman" w:hAnsi="Times New Roman" w:cs="Times New Roman"/>
          <w:b/>
          <w:color w:val="auto"/>
          <w:spacing w:val="0"/>
          <w:position w:val="0"/>
          <w:sz w:val="28"/>
          <w:shd w:val="clear" w:fill="auto"/>
          <w:lang w:val="pt-BR"/>
        </w:rPr>
      </w:pPr>
      <w:bookmarkStart w:id="0" w:name="_GoBack"/>
      <w:bookmarkEnd w:id="0"/>
    </w:p>
    <w:p w14:paraId="196C58F7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FF0000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1.2. Classificação do objeto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:</w:t>
      </w:r>
      <w:r>
        <w:rPr>
          <w:rFonts w:ascii="Times New Roman" w:hAnsi="Times New Roman" w:eastAsia="Times New Roman" w:cs="Times New Roman"/>
          <w:color w:val="FF0000"/>
          <w:spacing w:val="0"/>
          <w:position w:val="0"/>
          <w:sz w:val="28"/>
          <w:shd w:val="clear" w:fill="auto"/>
        </w:rPr>
        <w:t xml:space="preserve"> </w:t>
      </w:r>
    </w:p>
    <w:p w14:paraId="663CF67B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Esta contratação é classificada como 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construção e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execução de alambrados de segurança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.</w:t>
      </w:r>
    </w:p>
    <w:p w14:paraId="2E9B90EA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w14:paraId="3EC79E60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1.3. Critério de Julgamento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:</w:t>
      </w:r>
    </w:p>
    <w:p w14:paraId="03FDB5CB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Menor preço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 global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.</w:t>
      </w:r>
    </w:p>
    <w:p w14:paraId="495429C5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3AF56E04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1.4. Justificativa para dispensa dos documentos solicitados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:</w:t>
      </w:r>
    </w:p>
    <w:p w14:paraId="6B41CF01">
      <w:pPr>
        <w:tabs>
          <w:tab w:val="left" w:pos="9240"/>
        </w:tabs>
        <w:spacing w:before="0" w:after="0" w:line="240" w:lineRule="auto"/>
        <w:ind w:left="0" w:right="28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A dispensa de alguns documentos se justifica pela natureza da contratação, uma vez que o objeto se trata de um serviço 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comum. Segue em anexo planilha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orçamentária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 da Engenharia  (SINAPI) sem BDI da Prefeitura de Quatá-SP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.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</w:p>
    <w:p w14:paraId="6C286EFD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42FF2EF2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1.5. Valor total: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</w:p>
    <w:p w14:paraId="4CFADC11">
      <w:pPr>
        <w:spacing w:before="0" w:after="0" w:line="240" w:lineRule="auto"/>
        <w:ind w:left="0" w:right="0" w:firstLine="0"/>
        <w:jc w:val="both"/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O valor previsto para a execução dos objetos descritos acima é de aproximadamente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</w:rPr>
        <w:t>R$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  <w:lang w:val="pt-BR"/>
        </w:rPr>
        <w:t xml:space="preserve"> </w:t>
      </w:r>
      <w:r>
        <w:rPr>
          <w:rFonts w:hint="default" w:ascii="Times New Roman" w:hAnsi="Times New Roman" w:eastAsia="Times New Roman"/>
          <w:color w:val="auto"/>
          <w:spacing w:val="0"/>
          <w:position w:val="0"/>
          <w:sz w:val="28"/>
          <w:u w:val="none"/>
          <w:shd w:val="clear" w:fill="auto"/>
        </w:rPr>
        <w:t>36</w:t>
      </w:r>
      <w:r>
        <w:rPr>
          <w:rFonts w:hint="default" w:ascii="Times New Roman" w:hAnsi="Times New Roman" w:eastAsia="Times New Roman"/>
          <w:color w:val="auto"/>
          <w:spacing w:val="0"/>
          <w:position w:val="0"/>
          <w:sz w:val="28"/>
          <w:u w:val="none"/>
          <w:shd w:val="clear" w:fill="auto"/>
          <w:lang w:val="pt-BR"/>
        </w:rPr>
        <w:t>.</w:t>
      </w:r>
      <w:r>
        <w:rPr>
          <w:rFonts w:hint="default" w:ascii="Times New Roman" w:hAnsi="Times New Roman" w:eastAsia="Times New Roman"/>
          <w:color w:val="auto"/>
          <w:spacing w:val="0"/>
          <w:position w:val="0"/>
          <w:sz w:val="28"/>
          <w:u w:val="none"/>
          <w:shd w:val="clear" w:fill="auto"/>
        </w:rPr>
        <w:t>731,22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</w:rPr>
        <w:t xml:space="preserve"> (Trinta 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  <w:lang w:val="pt-BR"/>
        </w:rPr>
        <w:t xml:space="preserve">e seis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</w:rPr>
        <w:t>mil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  <w:lang w:val="pt-BR"/>
        </w:rPr>
        <w:t>, setecentos e trinta e um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</w:rPr>
        <w:t xml:space="preserve"> reais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  <w:lang w:val="pt-BR"/>
        </w:rPr>
        <w:t xml:space="preserve"> e vinte e dois centavos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</w:rPr>
        <w:t xml:space="preserve">)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considerando os valores obtidos na pesquisa de preços 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baseada na 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P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lanilha 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Orçamentária da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 Engenharia 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(SINAPI) sem BDI 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da Prefeitura Municipa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l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 de Quatá-SP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, em anexo.</w:t>
      </w:r>
    </w:p>
    <w:p w14:paraId="74B1F891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46B076B3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1.6. Registro de Preços: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(  ) SIM   (x ) NÃO </w:t>
      </w:r>
    </w:p>
    <w:p w14:paraId="50D0D9F8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w14:paraId="45D2D5E8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2. Justificativa:</w:t>
      </w:r>
    </w:p>
    <w:p w14:paraId="693BAA99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A contratação da empresa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 </w:t>
      </w:r>
      <w:r>
        <w:rPr>
          <w:rFonts w:hint="default" w:ascii="Times New Roman" w:hAnsi="Times New Roman" w:eastAsia="Times New Roman"/>
          <w:color w:val="auto"/>
          <w:spacing w:val="0"/>
          <w:position w:val="0"/>
          <w:sz w:val="28"/>
          <w:shd w:val="clear" w:fill="auto"/>
        </w:rPr>
        <w:t>para  realizar a instalação de alambrados com postes de concreto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é necessária para o cumprimento da demanda de segurança e proteção do Almoxarifado Municipal de Quatá, 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com o intuito de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garantir a integridade dos bens públicos e melhorar as condições de segurança no local. O alambrado de postes de concreto e tela de arame galvanizado será utilizado para cercar o espaço de forma eficaz e duradoura, atendendo às necessidades de isolamento, promovendo o controle de acesso, proteção de bens, privacidade e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cumprimento de normas e regulamentos.</w:t>
      </w:r>
    </w:p>
    <w:p w14:paraId="3D663114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O alambrado funciona como uma barreira física que dificulta a entrada de pessoas não autorizadas na propriedade, ajudando a  usuários do local, além de controlar pontos de entrada e saída, facilitando a gestão do fluxo de pessoas e veículos e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aumentando a segurança. </w:t>
      </w:r>
    </w:p>
    <w:p w14:paraId="0F2C1E4A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Com a execução do devido fechamento ficará demarcado claramente os limites da</w:t>
      </w:r>
    </w:p>
    <w:p w14:paraId="748A79E6">
      <w:pPr>
        <w:spacing w:before="0" w:after="0" w:line="240" w:lineRule="auto"/>
        <w:ind w:left="0" w:right="0" w:firstLine="0"/>
        <w:jc w:val="both"/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propriedade, evitando invasões não intencionais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.</w:t>
      </w:r>
    </w:p>
    <w:p w14:paraId="1A943393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Essas justificativas mostram que o fechamento em alambrado não é apenas uma medida de segurança, mas uma estratégia multifuncional que abrange diversos aspectos importantes para a integridade e funcionalidade da edificação.</w:t>
      </w:r>
    </w:p>
    <w:p w14:paraId="4D5FBDC7"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w14:paraId="4F0C0C84">
      <w:pPr>
        <w:numPr>
          <w:ilvl w:val="0"/>
          <w:numId w:val="0"/>
        </w:numPr>
        <w:spacing w:before="0" w:after="0" w:line="240" w:lineRule="auto"/>
        <w:ind w:leftChars="0" w:right="0" w:rightChars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default" w:ascii="Times New Roman" w:hAnsi="Times New Roman" w:cs="Times New Roman"/>
          <w:b/>
          <w:color w:val="auto"/>
          <w:spacing w:val="0"/>
          <w:position w:val="0"/>
          <w:sz w:val="28"/>
          <w:shd w:val="clear" w:fill="auto"/>
          <w:lang w:val="pt-BR"/>
        </w:rPr>
        <w:t>3-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Dotação orçamentária (Lei de responsabilidade fiscal LC101/00 art. 16 em especial) </w:t>
      </w:r>
    </w:p>
    <w:p w14:paraId="07364C2C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tbl>
      <w:tblPr>
        <w:tblStyle w:val="5"/>
        <w:tblW w:w="0" w:type="auto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94"/>
        <w:gridCol w:w="5873"/>
        <w:gridCol w:w="2436"/>
      </w:tblGrid>
      <w:tr w14:paraId="41DA5F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9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1BC12354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8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8"/>
                <w:shd w:val="clear" w:fill="auto"/>
              </w:rPr>
              <w:t>FICHA</w:t>
            </w:r>
          </w:p>
        </w:tc>
        <w:tc>
          <w:tcPr>
            <w:tcW w:w="5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0D6A12A4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8"/>
                <w:shd w:val="clear" w:fill="auto"/>
              </w:rPr>
              <w:t>FUNÇÃO PROGRAMÁTICA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59522A03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8"/>
                <w:shd w:val="clear" w:fill="auto"/>
              </w:rPr>
              <w:t>FONTE</w:t>
            </w:r>
          </w:p>
        </w:tc>
      </w:tr>
      <w:tr w14:paraId="628B20D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1F2926ED">
            <w:pPr>
              <w:spacing w:before="0" w:after="0" w:line="240" w:lineRule="auto"/>
              <w:ind w:left="0" w:right="0" w:firstLine="140"/>
              <w:jc w:val="center"/>
              <w:rPr>
                <w:color w:val="auto"/>
                <w:spacing w:val="0"/>
                <w:position w:val="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8"/>
                <w:shd w:val="clear" w:fill="auto"/>
              </w:rPr>
              <w:t>375</w:t>
            </w:r>
          </w:p>
        </w:tc>
        <w:tc>
          <w:tcPr>
            <w:tcW w:w="5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14BAD970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8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8"/>
                <w:shd w:val="clear" w:fill="auto"/>
              </w:rPr>
              <w:t>Manutenção de Infraestrutura, Urbanização e Serviços - Outros serviços de pessoa jurídica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3B219525">
            <w:pPr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8"/>
                <w:shd w:val="clear" w:fill="auto"/>
              </w:rPr>
            </w:pPr>
          </w:p>
          <w:p w14:paraId="34C41C2D">
            <w:pPr>
              <w:spacing w:before="0" w:after="0" w:line="240" w:lineRule="auto"/>
              <w:ind w:left="0" w:right="0" w:firstLine="0"/>
              <w:jc w:val="center"/>
              <w:rPr>
                <w:color w:val="auto"/>
                <w:spacing w:val="0"/>
                <w:position w:val="0"/>
                <w:shd w:val="clear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8"/>
                <w:shd w:val="clear" w:fill="auto"/>
              </w:rPr>
              <w:t>Recurso Próprio</w:t>
            </w:r>
          </w:p>
        </w:tc>
      </w:tr>
    </w:tbl>
    <w:p w14:paraId="044E2942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1FF1E391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4-Condições de habilitação:</w:t>
      </w:r>
    </w:p>
    <w:p w14:paraId="3CD6F132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A contratada deverá ter CNAE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 conforme item 1 do presente termo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.</w:t>
      </w:r>
    </w:p>
    <w:p w14:paraId="4447E6B8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</w:p>
    <w:p w14:paraId="52F6A6E1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5- Condições de execução do objeto:</w:t>
      </w:r>
    </w:p>
    <w:p w14:paraId="349E3511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5.1 – Prazo e forma de entrega/execução:</w:t>
      </w:r>
    </w:p>
    <w:p w14:paraId="0ACD0E79">
      <w:pPr>
        <w:spacing w:before="0" w:after="0" w:line="240" w:lineRule="auto"/>
        <w:ind w:left="0" w:right="0" w:firstLine="0"/>
        <w:jc w:val="both"/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O prazo para a empresa iniciar a execução do serviço contratado é de 24 (vinte e quatro) horas após a emissão da ordem de serviço, contados a partir da recebimento do empenho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, tendo como prazo máximo 20 (vinte) dias corridos para a execução.</w:t>
      </w:r>
    </w:p>
    <w:p w14:paraId="2321EF87">
      <w:pPr>
        <w:spacing w:before="0" w:after="0" w:line="240" w:lineRule="auto"/>
        <w:ind w:left="0" w:right="0" w:firstLine="0"/>
        <w:jc w:val="both"/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</w:pPr>
    </w:p>
    <w:p w14:paraId="3FA4C50D">
      <w:pPr>
        <w:spacing w:before="0" w:after="0" w:line="240" w:lineRule="auto"/>
        <w:ind w:left="0" w:right="0" w:firstLine="0"/>
        <w:jc w:val="both"/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</w:pPr>
    </w:p>
    <w:p w14:paraId="206E729B">
      <w:pPr>
        <w:spacing w:before="0" w:after="0" w:line="240" w:lineRule="auto"/>
        <w:ind w:left="0" w:right="0" w:firstLine="0"/>
        <w:jc w:val="both"/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</w:pPr>
    </w:p>
    <w:p w14:paraId="3DD37D46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5.2 – Local de entrega/execução, responsável pelo recebimento do objeto:</w:t>
      </w:r>
    </w:p>
    <w:p w14:paraId="60C24564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Os serviços objetos do presente Termo de Referência serão realizados em sua totalidade no Almoxarifado Municipal, localizado na Rua Carlos Bleinroth S/N, Quatá/SP.</w:t>
      </w:r>
    </w:p>
    <w:p w14:paraId="2E17B622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w14:paraId="7A66A3D0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Responsáveis: Cristiano Aparecido Rodrigues e Claudício Pereira. </w:t>
      </w:r>
    </w:p>
    <w:p w14:paraId="2EC34BE2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7A523111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5.3 – Condições de garantia e assistência técnica:</w:t>
      </w:r>
    </w:p>
    <w:p w14:paraId="17A58C01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A empresa contratada deverá oferecer garantia mínima de 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6 (seis) meses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para a qualidade dos materiais utilizados, bem como para a execução do serviço. Durante este período, a empresa será responsável por eventuais defeitos ou falhas no serviço, devendo realizar as correções necessárias sem custo adicional.</w:t>
      </w:r>
    </w:p>
    <w:p w14:paraId="5AE9AE2D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w14:paraId="456410B0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5.4 – Prazo de vigência da contratação:</w:t>
      </w:r>
    </w:p>
    <w:p w14:paraId="460AD867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Prazo de vigência da contratação é de 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 xml:space="preserve">30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(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trinta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) 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dias.</w:t>
      </w:r>
    </w:p>
    <w:p w14:paraId="01012ACA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w14:paraId="745644D7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5.5- Demais informações necessárias para a execução do objeto:</w:t>
      </w:r>
    </w:p>
    <w:p w14:paraId="2F53F447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Permissões e licenças:  a empresa contratada será responsável por obter todas as licenças e autorizações necessárias para a execução dos serviços, incluindo licenciamento ambiental, se necessário.</w:t>
      </w:r>
    </w:p>
    <w:p w14:paraId="10DFBD0B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Segurança: a empresa deverá cumprir as normas de segurança do trabalho durante toda a execução do projeto, fornecendo todos os equipamentos de proteção individual (EPIs) e coletivos (EPCs) necessários.</w:t>
      </w:r>
    </w:p>
    <w:p w14:paraId="1CF0A50E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</w:t>
      </w:r>
    </w:p>
    <w:p w14:paraId="47973462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6- Obrigações da contratada:</w:t>
      </w:r>
    </w:p>
    <w:p w14:paraId="4FCE5C9C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São obrigações da contratada:</w:t>
      </w:r>
    </w:p>
    <w:p w14:paraId="14ED9FEB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Execução das obras conforme o projeto aprovado, respeitando as condições e especificações técnicas do termo de referência e as orientações da fiscalização.</w:t>
      </w:r>
    </w:p>
    <w:p w14:paraId="2B890A69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Fornecimento de materiais e mão-de-obra qualificada para a realização dos serviços, garantindo que os materiais sejam de qualidade e atendam às normas ambientais e técnicas.</w:t>
      </w:r>
    </w:p>
    <w:p w14:paraId="46DF31D7">
      <w:pPr>
        <w:spacing w:before="0" w:after="0" w:line="240" w:lineRule="auto"/>
        <w:ind w:left="0" w:right="0" w:firstLine="0"/>
        <w:jc w:val="both"/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Responsabilidade pela manutenção dos serviços executados durante o período de garantia</w:t>
      </w:r>
      <w:r>
        <w:rPr>
          <w:rFonts w:hint="default" w:ascii="Times New Roman" w:hAnsi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.</w:t>
      </w:r>
    </w:p>
    <w:p w14:paraId="6044D9E0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Cumprimento dos prazos estabelecidos, tanto para a execução quanto para a entrega final da obra, respeitando o cronograma definido e ajustado com a Secretaria Municipal.</w:t>
      </w:r>
    </w:p>
    <w:p w14:paraId="29F8D036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Realizar a manutenção corretiva, se necessário, durante o período de garantia.</w:t>
      </w:r>
    </w:p>
    <w:p w14:paraId="00C57A30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57911474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7-Gestão e Fiscalização:</w:t>
      </w:r>
    </w:p>
    <w:p w14:paraId="12934CE2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 xml:space="preserve">Gestão: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Cristiano Aparecido Rodrigues - Secretário de Infraestrutura, Urbanização e Serviços.</w:t>
      </w:r>
    </w:p>
    <w:p w14:paraId="43E9FD67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Fiscalização: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 Claudício Pereira - Auxiliar de Serviços Gerais</w:t>
      </w:r>
    </w:p>
    <w:p w14:paraId="299E8F85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4EAB637B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8- Outras informações:</w:t>
      </w:r>
    </w:p>
    <w:p w14:paraId="19930CCA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Enviar nota com boleto ou dados bancários na nota para os seguintes e-mails:</w:t>
      </w:r>
    </w:p>
    <w:p w14:paraId="5A4F1060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contabilidade@quata.sp.gov.br</w:t>
      </w:r>
    </w:p>
    <w:p w14:paraId="3DB07A3A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prefeitura@quata.sp.gov.br</w:t>
      </w:r>
    </w:p>
    <w:p w14:paraId="3ECA8F25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almoxarifado @quata.sp.gov.br</w:t>
      </w:r>
    </w:p>
    <w:p w14:paraId="4D84AAF8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>- Tel: 18-99663-2782</w:t>
      </w:r>
    </w:p>
    <w:p w14:paraId="0E25233E"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</w:pPr>
    </w:p>
    <w:p w14:paraId="36C27E90">
      <w:pPr>
        <w:spacing w:before="0" w:after="0" w:line="240" w:lineRule="auto"/>
        <w:ind w:left="0" w:right="0" w:firstLine="0"/>
        <w:jc w:val="right"/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</w:rPr>
        <w:t xml:space="preserve">Quatá/SP, 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shd w:val="clear" w:fill="auto"/>
          <w:lang w:val="pt-BR"/>
        </w:rPr>
        <w:t>27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</w:rPr>
        <w:t xml:space="preserve"> de </w:t>
      </w:r>
      <w:r>
        <w:rPr>
          <w:rFonts w:hint="default"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  <w:lang w:val="pt-BR"/>
        </w:rPr>
        <w:t>janeiro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8"/>
          <w:u w:val="none"/>
          <w:shd w:val="clear" w:fill="auto"/>
        </w:rPr>
        <w:t xml:space="preserve"> 2025.</w:t>
      </w:r>
    </w:p>
    <w:p w14:paraId="75FE1AAF">
      <w:pPr>
        <w:jc w:val="both"/>
        <w:rPr>
          <w:rFonts w:hint="default" w:ascii="Times New Roman" w:hAnsi="Times New Roman"/>
          <w:color w:val="auto"/>
          <w:szCs w:val="28"/>
        </w:rPr>
      </w:pPr>
    </w:p>
    <w:p w14:paraId="611F8402">
      <w:pPr>
        <w:jc w:val="right"/>
        <w:rPr>
          <w:rFonts w:ascii="Times New Roman" w:hAnsi="Times New Roman"/>
          <w:i w:val="0"/>
          <w:iCs w:val="0"/>
          <w:szCs w:val="28"/>
          <w:u w:val="none"/>
        </w:rPr>
      </w:pPr>
    </w:p>
    <w:p w14:paraId="14444077">
      <w:pPr>
        <w:jc w:val="right"/>
        <w:rPr>
          <w:rFonts w:ascii="Times New Roman" w:hAnsi="Times New Roman"/>
          <w:i w:val="0"/>
          <w:iCs w:val="0"/>
          <w:szCs w:val="28"/>
          <w:u w:val="none"/>
        </w:rPr>
      </w:pPr>
    </w:p>
    <w:p w14:paraId="48AA9982">
      <w:pPr>
        <w:jc w:val="right"/>
        <w:rPr>
          <w:rFonts w:ascii="Times New Roman" w:hAnsi="Times New Roman"/>
          <w:i w:val="0"/>
          <w:iCs w:val="0"/>
          <w:szCs w:val="28"/>
          <w:u w:val="none"/>
        </w:rPr>
      </w:pPr>
      <w:r>
        <w:rPr>
          <w:rFonts w:hint="default" w:ascii="Times New Roman" w:hAnsi="Times New Roman"/>
          <w:szCs w:val="28"/>
          <w:lang w:val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2374900</wp:posOffset>
            </wp:positionH>
            <wp:positionV relativeFrom="paragraph">
              <wp:posOffset>108585</wp:posOffset>
            </wp:positionV>
            <wp:extent cx="1038225" cy="890905"/>
            <wp:effectExtent l="0" t="0" r="0" b="3810"/>
            <wp:wrapNone/>
            <wp:docPr id="2" name="Imagem 2" descr="WhatsApp_Image_2025-01-06_at_10.57.26-removebg-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WhatsApp_Image_2025-01-06_at_10.57.26-removebg-preview"/>
                    <pic:cNvPicPr>
                      <a:picLocks noChangeAspect="1"/>
                    </pic:cNvPicPr>
                  </pic:nvPicPr>
                  <pic:blipFill>
                    <a:blip r:embed="rId9"/>
                    <a:srcRect l="36345" t="14129" r="35467" b="31756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90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611BB7">
      <w:pPr>
        <w:jc w:val="right"/>
        <w:rPr>
          <w:rFonts w:ascii="Times New Roman" w:hAnsi="Times New Roman"/>
          <w:i w:val="0"/>
          <w:iCs w:val="0"/>
          <w:szCs w:val="28"/>
          <w:u w:val="none"/>
        </w:rPr>
      </w:pPr>
    </w:p>
    <w:p w14:paraId="69BE8318">
      <w:pPr>
        <w:jc w:val="right"/>
        <w:rPr>
          <w:rFonts w:ascii="Times New Roman" w:hAnsi="Times New Roman"/>
          <w:i w:val="0"/>
          <w:iCs w:val="0"/>
          <w:szCs w:val="28"/>
          <w:u w:val="none"/>
        </w:rPr>
      </w:pPr>
    </w:p>
    <w:p w14:paraId="0ED86089">
      <w:pPr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___________</w:t>
      </w:r>
      <w:r>
        <w:rPr>
          <w:rFonts w:hint="default" w:ascii="Times New Roman" w:hAnsi="Times New Roman"/>
          <w:b/>
          <w:bCs/>
          <w:szCs w:val="28"/>
          <w:lang w:val="pt-BR"/>
        </w:rPr>
        <w:t>_____</w:t>
      </w:r>
      <w:r>
        <w:rPr>
          <w:rFonts w:ascii="Times New Roman" w:hAnsi="Times New Roman"/>
          <w:b/>
          <w:bCs/>
          <w:szCs w:val="28"/>
        </w:rPr>
        <w:t>__</w:t>
      </w:r>
      <w:r>
        <w:rPr>
          <w:rFonts w:hint="default" w:ascii="Times New Roman" w:hAnsi="Times New Roman"/>
          <w:b/>
          <w:bCs/>
          <w:szCs w:val="28"/>
          <w:lang w:val="pt-BR"/>
        </w:rPr>
        <w:t>____________</w:t>
      </w:r>
      <w:r>
        <w:rPr>
          <w:rFonts w:ascii="Times New Roman" w:hAnsi="Times New Roman"/>
          <w:b/>
          <w:bCs/>
          <w:szCs w:val="28"/>
        </w:rPr>
        <w:t>__________</w:t>
      </w:r>
    </w:p>
    <w:p w14:paraId="586C76FA">
      <w:pPr>
        <w:jc w:val="center"/>
        <w:rPr>
          <w:rFonts w:ascii="Times New Roman" w:hAnsi="Times New Roman"/>
          <w:b/>
          <w:bCs w:val="0"/>
          <w:szCs w:val="28"/>
        </w:rPr>
      </w:pPr>
      <w:r>
        <w:rPr>
          <w:rFonts w:hint="default" w:ascii="Times New Roman" w:hAnsi="Times New Roman"/>
          <w:b/>
          <w:bCs w:val="0"/>
          <w:szCs w:val="28"/>
          <w:lang w:val="pt-BR"/>
        </w:rPr>
        <w:t>CRISTIANO APARECIDO RODRIGUES</w:t>
      </w:r>
    </w:p>
    <w:p w14:paraId="0C8634F7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ascii="Times New Roman" w:hAnsi="Times New Roman"/>
          <w:szCs w:val="28"/>
        </w:rPr>
        <w:t xml:space="preserve">Secretário Municipal de </w:t>
      </w:r>
      <w:r>
        <w:rPr>
          <w:rFonts w:hint="default" w:ascii="Times New Roman" w:hAnsi="Times New Roman"/>
          <w:szCs w:val="28"/>
          <w:lang w:val="pt-BR"/>
        </w:rPr>
        <w:t>Infraestrutura, Urbanismo e Serviços</w:t>
      </w:r>
    </w:p>
    <w:p w14:paraId="5D4838DD">
      <w:pPr>
        <w:jc w:val="center"/>
        <w:rPr>
          <w:rFonts w:hint="default" w:ascii="Times New Roman" w:hAnsi="Times New Roman"/>
          <w:szCs w:val="28"/>
          <w:lang w:val="pt-BR"/>
        </w:rPr>
      </w:pPr>
    </w:p>
    <w:p w14:paraId="3E7B8F04">
      <w:pPr>
        <w:jc w:val="center"/>
        <w:rPr>
          <w:rFonts w:hint="default" w:ascii="Times New Roman" w:hAnsi="Times New Roman"/>
          <w:szCs w:val="28"/>
          <w:lang w:val="pt-BR"/>
        </w:rPr>
      </w:pPr>
    </w:p>
    <w:p w14:paraId="4AA469E2">
      <w:pPr>
        <w:jc w:val="center"/>
        <w:rPr>
          <w:rFonts w:hint="default" w:ascii="Times New Roman" w:hAnsi="Times New Roman"/>
          <w:szCs w:val="28"/>
          <w:lang w:val="pt-BR"/>
        </w:rPr>
      </w:pPr>
    </w:p>
    <w:p w14:paraId="7D332ED7">
      <w:pPr>
        <w:jc w:val="center"/>
        <w:rPr>
          <w:rFonts w:hint="default" w:ascii="Times New Roman" w:hAnsi="Times New Roman"/>
          <w:szCs w:val="28"/>
          <w:lang w:val="pt-BR"/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2310130</wp:posOffset>
            </wp:positionH>
            <wp:positionV relativeFrom="paragraph">
              <wp:posOffset>123190</wp:posOffset>
            </wp:positionV>
            <wp:extent cx="1301750" cy="667385"/>
            <wp:effectExtent l="0" t="0" r="12700" b="1841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01750" cy="66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CA5774">
      <w:pPr>
        <w:jc w:val="center"/>
        <w:rPr>
          <w:rFonts w:hint="default" w:ascii="Times New Roman" w:hAnsi="Times New Roman"/>
          <w:szCs w:val="28"/>
          <w:lang w:val="pt-BR"/>
        </w:rPr>
      </w:pPr>
    </w:p>
    <w:p w14:paraId="7B6109BF">
      <w:pPr>
        <w:jc w:val="center"/>
        <w:rPr>
          <w:rFonts w:hint="default" w:ascii="Times New Roman" w:hAnsi="Times New Roman" w:eastAsia="Calibri"/>
          <w:b/>
          <w:szCs w:val="28"/>
          <w:lang w:val="pt-BR" w:eastAsia="en-US"/>
        </w:rPr>
      </w:pPr>
      <w:r>
        <w:rPr>
          <w:rFonts w:hint="default" w:ascii="Times New Roman" w:hAnsi="Times New Roman" w:eastAsia="Calibri"/>
          <w:b/>
          <w:szCs w:val="28"/>
          <w:lang w:val="pt-BR" w:eastAsia="en-US"/>
        </w:rPr>
        <w:t>________________________________</w:t>
      </w:r>
    </w:p>
    <w:p w14:paraId="2C35F6D3">
      <w:pPr>
        <w:jc w:val="center"/>
        <w:rPr>
          <w:rFonts w:hint="default" w:ascii="Times New Roman" w:hAnsi="Times New Roman" w:eastAsia="Calibri"/>
          <w:b/>
          <w:szCs w:val="28"/>
          <w:lang w:val="pt-BR" w:eastAsia="en-US"/>
        </w:rPr>
      </w:pPr>
      <w:r>
        <w:rPr>
          <w:rFonts w:hint="default" w:ascii="Times New Roman" w:hAnsi="Times New Roman" w:eastAsia="Calibri"/>
          <w:b/>
          <w:szCs w:val="28"/>
          <w:lang w:val="pt-BR" w:eastAsia="en-US"/>
        </w:rPr>
        <w:t>CLAUDÍCIO PEREIRA</w:t>
      </w:r>
    </w:p>
    <w:p w14:paraId="1606AE8F">
      <w:pPr>
        <w:jc w:val="center"/>
        <w:rPr>
          <w:rFonts w:hint="default" w:ascii="Times New Roman" w:hAnsi="Times New Roman"/>
          <w:szCs w:val="28"/>
        </w:rPr>
      </w:pPr>
      <w:r>
        <w:rPr>
          <w:rFonts w:hint="default" w:ascii="Times New Roman" w:hAnsi="Times New Roman" w:eastAsia="Calibri"/>
          <w:b w:val="0"/>
          <w:bCs/>
          <w:szCs w:val="28"/>
          <w:lang w:val="pt-BR" w:eastAsia="en-US"/>
        </w:rPr>
        <w:t>Auxiliar de Serviços Gerais</w:t>
      </w:r>
    </w:p>
    <w:sectPr>
      <w:headerReference r:id="rId5" w:type="default"/>
      <w:footerReference r:id="rId6" w:type="default"/>
      <w:footerReference r:id="rId7" w:type="even"/>
      <w:pgSz w:w="11907" w:h="16840"/>
      <w:pgMar w:top="2099" w:right="519" w:bottom="964" w:left="1588" w:header="567" w:footer="56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Univers">
    <w:panose1 w:val="020B0603020202030204"/>
    <w:charset w:val="00"/>
    <w:family w:val="swiss"/>
    <w:pitch w:val="default"/>
    <w:sig w:usb0="00000287" w:usb1="00000000" w:usb2="00000000" w:usb3="00000000" w:csb0="0000009F" w:csb1="00000000"/>
  </w:font>
  <w:font w:name="CIDFont+F4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-Bold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ell MT">
    <w:altName w:val="PMingLiU-ExtB"/>
    <w:panose1 w:val="02020503060305020303"/>
    <w:charset w:val="00"/>
    <w:family w:val="roman"/>
    <w:pitch w:val="default"/>
    <w:sig w:usb0="00000000" w:usb1="00000000" w:usb2="00000000" w:usb3="00000000" w:csb0="2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59FA9D">
    <w:pPr>
      <w:pStyle w:val="12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8</w:t>
    </w:r>
    <w:r>
      <w:rPr>
        <w:rStyle w:val="7"/>
      </w:rPr>
      <w:fldChar w:fldCharType="end"/>
    </w:r>
  </w:p>
  <w:p w14:paraId="6C9277BB">
    <w:pPr>
      <w:pStyle w:val="12"/>
      <w:ind w:right="360"/>
      <w:jc w:val="center"/>
      <w:rPr>
        <w:rFonts w:ascii="Verdana" w:hAnsi="Verdana"/>
        <w:b/>
        <w:bCs/>
        <w:sz w:val="22"/>
      </w:rPr>
    </w:pPr>
    <w:r>
      <w:rPr>
        <w:rFonts w:ascii="Verdana" w:hAnsi="Verdana"/>
        <w:b/>
        <w:bCs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-42545</wp:posOffset>
              </wp:positionH>
              <wp:positionV relativeFrom="paragraph">
                <wp:posOffset>45720</wp:posOffset>
              </wp:positionV>
              <wp:extent cx="6286500" cy="800100"/>
              <wp:effectExtent l="0" t="0" r="4445" b="190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F49A52">
                          <w:pPr>
                            <w:jc w:val="center"/>
                            <w:rPr>
                              <w:rFonts w:ascii="Verdana" w:hAnsi="Verdana"/>
                              <w:b/>
                              <w:bCs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3.35pt;margin-top:3.6pt;height:63pt;width:495pt;z-index:251659264;mso-width-relative:page;mso-height-relative:page;" filled="f" stroked="f" coordsize="21600,21600" o:gfxdata="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Jnn/M7XAAAACAEAAA8AAAAAAAAAAQAgAAAAIgAA&#10;AGRycy9kb3ducmV2LnhtbFBLAQIUABQAAAAIAIdO4kCuKXSmCQIAABoEAAAOAAAAAAAAAAEAIAAA&#10;ACYBAABkcnMvZTJvRG9jLnhtbFBLBQYAAAAABgAGAFkBAAChBQAAAAA=&#10;">
              <v:fill on="f" focussize="0,0"/>
              <v:stroke on="f"/>
              <v:imagedata o:title=""/>
              <o:lock v:ext="edit" aspectratio="f"/>
              <v:textbox>
                <w:txbxContent>
                  <w:p w14:paraId="34F49A52">
                    <w:pPr>
                      <w:jc w:val="center"/>
                      <w:rPr>
                        <w:rFonts w:ascii="Verdana" w:hAnsi="Verdana"/>
                        <w:b/>
                        <w:bCs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b/>
        <w:bCs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0B60">
    <w:pPr>
      <w:pStyle w:val="12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0CD60A41">
    <w:pPr>
      <w:pStyle w:val="12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D781D9">
    <w:pPr>
      <w:framePr w:hSpace="142" w:wrap="auto" w:vAnchor="text" w:hAnchor="page" w:x="1189" w:y="-226"/>
    </w:pPr>
  </w:p>
  <w:p w14:paraId="63A512D2">
    <w:pPr>
      <w:tabs>
        <w:tab w:val="center" w:pos="4252"/>
        <w:tab w:val="right" w:pos="8504"/>
      </w:tabs>
      <w:rPr>
        <w:rFonts w:ascii="Bell MT" w:hAnsi="Bell MT"/>
        <w:b/>
        <w:sz w:val="40"/>
        <w:szCs w:val="40"/>
      </w:rPr>
    </w:pPr>
    <w:r>
      <w:pict>
        <v:shape id="_x0000_s2049" o:spid="_x0000_s2049" o:spt="75" type="#_x0000_t75" style="position:absolute;left:0pt;margin-left:2.75pt;margin-top:-12.55pt;height:84.5pt;width:93.9pt;z-index:-251656192;mso-width-relative:page;mso-height-relative:page;" o:ole="t" filled="f" o:preferrelative="t" stroked="f" coordsize="21600,21600">
          <v:path/>
          <v:fill on="f" focussize="0,0"/>
          <v:stroke on="f"/>
          <v:imagedata r:id="rId2" o:title=""/>
          <o:lock v:ext="edit" aspectratio="t"/>
        </v:shape>
        <o:OLEObject Type="Embed" ProgID="PBrush" ShapeID="_x0000_s2049" DrawAspect="Content" ObjectID="_1468075725" r:id="rId1">
          <o:LockedField>false</o:LockedField>
        </o:OLEObject>
      </w:pict>
    </w:r>
    <w:r>
      <w:rPr>
        <w:rFonts w:ascii="Bell MT" w:hAnsi="Bell MT"/>
        <w:b/>
        <w:sz w:val="40"/>
        <w:szCs w:val="40"/>
      </w:rPr>
      <w:t xml:space="preserve">    </w:t>
    </w:r>
    <w:r>
      <w:rPr>
        <w:rFonts w:hint="default" w:ascii="Bell MT" w:hAnsi="Bell MT"/>
        <w:b/>
        <w:sz w:val="40"/>
        <w:szCs w:val="40"/>
        <w:lang w:val="pt-BR"/>
      </w:rPr>
      <w:t xml:space="preserve">                PREF</w:t>
    </w:r>
    <w:r>
      <w:rPr>
        <w:rFonts w:ascii="Bell MT" w:hAnsi="Bell MT"/>
        <w:b/>
        <w:sz w:val="40"/>
        <w:szCs w:val="40"/>
      </w:rPr>
      <w:t>EITURA MUNICIPAL DE QUATÁ</w:t>
    </w:r>
  </w:p>
  <w:p w14:paraId="7A75E542">
    <w:pPr>
      <w:pStyle w:val="11"/>
      <w:rPr>
        <w:rFonts w:hint="default"/>
        <w:lang w:val="pt-BR"/>
      </w:rPr>
    </w:pPr>
    <w:r>
      <w:rPr>
        <w:rFonts w:ascii="Bell MT" w:hAnsi="Bell MT"/>
        <w:b/>
        <w:bCs/>
        <w:szCs w:val="24"/>
      </w:rPr>
      <w:t xml:space="preserve">                        </w:t>
    </w:r>
    <w:r>
      <w:rPr>
        <w:rFonts w:hint="default" w:ascii="Bell MT" w:hAnsi="Bell MT"/>
        <w:b/>
        <w:bCs/>
        <w:szCs w:val="24"/>
        <w:lang w:val="pt-BR"/>
      </w:rPr>
      <w:t xml:space="preserve">      </w:t>
    </w:r>
    <w:r>
      <w:rPr>
        <w:rFonts w:ascii="Bell MT" w:hAnsi="Bell MT"/>
        <w:b/>
        <w:bCs/>
        <w:sz w:val="32"/>
        <w:szCs w:val="32"/>
      </w:rPr>
      <w:t>Secretaria</w:t>
    </w:r>
    <w:r>
      <w:rPr>
        <w:rFonts w:hint="default" w:ascii="Bell MT" w:hAnsi="Bell MT"/>
        <w:b/>
        <w:bCs/>
        <w:sz w:val="32"/>
        <w:szCs w:val="32"/>
        <w:lang w:val="pt-BR"/>
      </w:rPr>
      <w:t xml:space="preserve"> de Infraestrutura, Urbanização e Serviços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CD"/>
    <w:rsid w:val="000061F5"/>
    <w:rsid w:val="0000792C"/>
    <w:rsid w:val="00007DF2"/>
    <w:rsid w:val="000264B7"/>
    <w:rsid w:val="000510BB"/>
    <w:rsid w:val="00051272"/>
    <w:rsid w:val="000741B0"/>
    <w:rsid w:val="000809AB"/>
    <w:rsid w:val="000935DA"/>
    <w:rsid w:val="000C6315"/>
    <w:rsid w:val="000C6C7B"/>
    <w:rsid w:val="000D2081"/>
    <w:rsid w:val="000D4FD0"/>
    <w:rsid w:val="000E6146"/>
    <w:rsid w:val="00121A94"/>
    <w:rsid w:val="001445F8"/>
    <w:rsid w:val="001475B7"/>
    <w:rsid w:val="001B27F2"/>
    <w:rsid w:val="001D7293"/>
    <w:rsid w:val="001F2201"/>
    <w:rsid w:val="00203616"/>
    <w:rsid w:val="00290B7A"/>
    <w:rsid w:val="002E2C80"/>
    <w:rsid w:val="003245B2"/>
    <w:rsid w:val="00324CE1"/>
    <w:rsid w:val="0032617E"/>
    <w:rsid w:val="00377C92"/>
    <w:rsid w:val="00385A15"/>
    <w:rsid w:val="00385E71"/>
    <w:rsid w:val="00386516"/>
    <w:rsid w:val="003B59E1"/>
    <w:rsid w:val="003E69E2"/>
    <w:rsid w:val="003F2EA8"/>
    <w:rsid w:val="00417683"/>
    <w:rsid w:val="00442979"/>
    <w:rsid w:val="00447B12"/>
    <w:rsid w:val="00487FEC"/>
    <w:rsid w:val="004A3DCD"/>
    <w:rsid w:val="004B7A1C"/>
    <w:rsid w:val="004E1150"/>
    <w:rsid w:val="005626EB"/>
    <w:rsid w:val="00586AE6"/>
    <w:rsid w:val="005A595E"/>
    <w:rsid w:val="005C35BC"/>
    <w:rsid w:val="005E78F9"/>
    <w:rsid w:val="00613CF7"/>
    <w:rsid w:val="006160A2"/>
    <w:rsid w:val="00641D83"/>
    <w:rsid w:val="00647537"/>
    <w:rsid w:val="00653C32"/>
    <w:rsid w:val="0066201A"/>
    <w:rsid w:val="006909AD"/>
    <w:rsid w:val="0070129F"/>
    <w:rsid w:val="00725CF1"/>
    <w:rsid w:val="00747171"/>
    <w:rsid w:val="007A1E16"/>
    <w:rsid w:val="007A642B"/>
    <w:rsid w:val="007C14BE"/>
    <w:rsid w:val="007C3096"/>
    <w:rsid w:val="007C44C1"/>
    <w:rsid w:val="007E34AD"/>
    <w:rsid w:val="007E44E7"/>
    <w:rsid w:val="007F1347"/>
    <w:rsid w:val="00871757"/>
    <w:rsid w:val="008731BC"/>
    <w:rsid w:val="00892680"/>
    <w:rsid w:val="008A28F5"/>
    <w:rsid w:val="008B1402"/>
    <w:rsid w:val="008B46AB"/>
    <w:rsid w:val="008C0541"/>
    <w:rsid w:val="008E6CE5"/>
    <w:rsid w:val="009104B0"/>
    <w:rsid w:val="00914DB3"/>
    <w:rsid w:val="00934B9A"/>
    <w:rsid w:val="0096380C"/>
    <w:rsid w:val="00963DD9"/>
    <w:rsid w:val="00974040"/>
    <w:rsid w:val="00977CFE"/>
    <w:rsid w:val="009D08E2"/>
    <w:rsid w:val="009E3CEE"/>
    <w:rsid w:val="009F44B8"/>
    <w:rsid w:val="009F67F0"/>
    <w:rsid w:val="00A170B7"/>
    <w:rsid w:val="00A86FC4"/>
    <w:rsid w:val="00A93770"/>
    <w:rsid w:val="00AA55E8"/>
    <w:rsid w:val="00AB2013"/>
    <w:rsid w:val="00AE3636"/>
    <w:rsid w:val="00B012C8"/>
    <w:rsid w:val="00B069C4"/>
    <w:rsid w:val="00B0764D"/>
    <w:rsid w:val="00B37EC1"/>
    <w:rsid w:val="00B553EE"/>
    <w:rsid w:val="00B55419"/>
    <w:rsid w:val="00B67016"/>
    <w:rsid w:val="00B9373F"/>
    <w:rsid w:val="00BA5C8C"/>
    <w:rsid w:val="00BC445B"/>
    <w:rsid w:val="00C039F0"/>
    <w:rsid w:val="00C52822"/>
    <w:rsid w:val="00C55C4A"/>
    <w:rsid w:val="00C647A4"/>
    <w:rsid w:val="00C73739"/>
    <w:rsid w:val="00C86D06"/>
    <w:rsid w:val="00CB658F"/>
    <w:rsid w:val="00CC2383"/>
    <w:rsid w:val="00CC6837"/>
    <w:rsid w:val="00CD6BB8"/>
    <w:rsid w:val="00D01BA9"/>
    <w:rsid w:val="00D30B1C"/>
    <w:rsid w:val="00D56E7D"/>
    <w:rsid w:val="00D91CA0"/>
    <w:rsid w:val="00DD2C43"/>
    <w:rsid w:val="00DD383D"/>
    <w:rsid w:val="00DE7E57"/>
    <w:rsid w:val="00E53D02"/>
    <w:rsid w:val="00E824BC"/>
    <w:rsid w:val="00E84262"/>
    <w:rsid w:val="00E970F1"/>
    <w:rsid w:val="00EA2AF1"/>
    <w:rsid w:val="00ED0892"/>
    <w:rsid w:val="00F0526C"/>
    <w:rsid w:val="00F42988"/>
    <w:rsid w:val="00FB2430"/>
    <w:rsid w:val="00FB462D"/>
    <w:rsid w:val="00FB7038"/>
    <w:rsid w:val="00FD2343"/>
    <w:rsid w:val="00FE29C1"/>
    <w:rsid w:val="08B7185B"/>
    <w:rsid w:val="0ACB07F2"/>
    <w:rsid w:val="0B2515D4"/>
    <w:rsid w:val="0D7E45C0"/>
    <w:rsid w:val="1C6B775E"/>
    <w:rsid w:val="1EE94E0F"/>
    <w:rsid w:val="24AF36ED"/>
    <w:rsid w:val="257A051B"/>
    <w:rsid w:val="2C1E6B20"/>
    <w:rsid w:val="33452BAA"/>
    <w:rsid w:val="36D0337F"/>
    <w:rsid w:val="3ECE141C"/>
    <w:rsid w:val="48B57B3B"/>
    <w:rsid w:val="4A9E54E1"/>
    <w:rsid w:val="4C095A4C"/>
    <w:rsid w:val="4FBF4075"/>
    <w:rsid w:val="509016B8"/>
    <w:rsid w:val="55922AF3"/>
    <w:rsid w:val="55CC73D2"/>
    <w:rsid w:val="58F54AE7"/>
    <w:rsid w:val="592E2ECC"/>
    <w:rsid w:val="5935773A"/>
    <w:rsid w:val="5F1A6209"/>
    <w:rsid w:val="64236257"/>
    <w:rsid w:val="645C5BF7"/>
    <w:rsid w:val="652F3637"/>
    <w:rsid w:val="65734CFC"/>
    <w:rsid w:val="6750185C"/>
    <w:rsid w:val="6A302296"/>
    <w:rsid w:val="6AB53970"/>
    <w:rsid w:val="6E8F25DE"/>
    <w:rsid w:val="777F711E"/>
    <w:rsid w:val="780A1A08"/>
    <w:rsid w:val="7B034A66"/>
    <w:rsid w:val="7B901AB7"/>
    <w:rsid w:val="7E044677"/>
    <w:rsid w:val="7E665422"/>
    <w:rsid w:val="7F6C0483"/>
    <w:rsid w:val="7FE2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" w:hAnsi="Arial" w:eastAsia="Times New Roman" w:cs="Times New Roman"/>
      <w:sz w:val="28"/>
      <w:szCs w:val="24"/>
      <w:lang w:val="pt-BR" w:eastAsia="pt-BR" w:bidi="ar-SA"/>
    </w:rPr>
  </w:style>
  <w:style w:type="paragraph" w:styleId="2">
    <w:name w:val="heading 4"/>
    <w:basedOn w:val="1"/>
    <w:next w:val="1"/>
    <w:link w:val="15"/>
    <w:qFormat/>
    <w:uiPriority w:val="0"/>
    <w:pPr>
      <w:keepNext/>
      <w:ind w:firstLine="3420"/>
      <w:jc w:val="both"/>
      <w:outlineLvl w:val="3"/>
    </w:pPr>
    <w:rPr>
      <w:rFonts w:cs="Arial"/>
      <w:b/>
      <w:u w:val="single"/>
    </w:rPr>
  </w:style>
  <w:style w:type="paragraph" w:styleId="3">
    <w:name w:val="heading 5"/>
    <w:basedOn w:val="1"/>
    <w:next w:val="1"/>
    <w:link w:val="16"/>
    <w:qFormat/>
    <w:uiPriority w:val="0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page number"/>
    <w:basedOn w:val="4"/>
    <w:qFormat/>
    <w:uiPriority w:val="0"/>
  </w:style>
  <w:style w:type="paragraph" w:styleId="8">
    <w:name w:val="Body Text Indent 2"/>
    <w:basedOn w:val="1"/>
    <w:link w:val="20"/>
    <w:qFormat/>
    <w:uiPriority w:val="0"/>
    <w:pPr>
      <w:spacing w:after="120" w:line="480" w:lineRule="auto"/>
      <w:ind w:left="283"/>
    </w:pPr>
    <w:rPr>
      <w:rFonts w:ascii="Times New Roman" w:hAnsi="Times New Roman"/>
      <w:sz w:val="24"/>
    </w:rPr>
  </w:style>
  <w:style w:type="paragraph" w:styleId="9">
    <w:name w:val="HTML Preformatted"/>
    <w:basedOn w:val="1"/>
    <w:link w:val="22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0">
    <w:name w:val="Body Text 2"/>
    <w:basedOn w:val="1"/>
    <w:link w:val="21"/>
    <w:qFormat/>
    <w:uiPriority w:val="0"/>
    <w:pPr>
      <w:spacing w:after="120" w:line="480" w:lineRule="auto"/>
    </w:pPr>
    <w:rPr>
      <w:rFonts w:ascii="Times New Roman" w:hAnsi="Times New Roman"/>
      <w:sz w:val="24"/>
    </w:rPr>
  </w:style>
  <w:style w:type="paragraph" w:styleId="11">
    <w:name w:val="header"/>
    <w:basedOn w:val="1"/>
    <w:link w:val="17"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2">
    <w:name w:val="footer"/>
    <w:basedOn w:val="1"/>
    <w:link w:val="18"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3">
    <w:name w:val="Body Text Indent"/>
    <w:basedOn w:val="1"/>
    <w:link w:val="19"/>
    <w:qFormat/>
    <w:uiPriority w:val="0"/>
    <w:pPr>
      <w:spacing w:line="480" w:lineRule="auto"/>
      <w:ind w:firstLine="3419"/>
      <w:jc w:val="both"/>
    </w:pPr>
    <w:rPr>
      <w:rFonts w:ascii="Univers" w:hAnsi="Univers"/>
      <w:sz w:val="24"/>
    </w:rPr>
  </w:style>
  <w:style w:type="table" w:styleId="14">
    <w:name w:val="Table Grid"/>
    <w:basedOn w:val="5"/>
    <w:qFormat/>
    <w:uiPriority w:val="39"/>
    <w:pPr>
      <w:spacing w:after="0" w:line="240" w:lineRule="auto"/>
    </w:pPr>
    <w:rPr>
      <w:kern w:val="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Título 4 Char"/>
    <w:basedOn w:val="4"/>
    <w:link w:val="2"/>
    <w:qFormat/>
    <w:uiPriority w:val="0"/>
    <w:rPr>
      <w:rFonts w:ascii="Arial" w:hAnsi="Arial" w:eastAsia="Times New Roman" w:cs="Arial"/>
      <w:b/>
      <w:sz w:val="28"/>
      <w:szCs w:val="24"/>
      <w:u w:val="single"/>
      <w:lang w:eastAsia="pt-BR"/>
    </w:rPr>
  </w:style>
  <w:style w:type="character" w:customStyle="1" w:styleId="16">
    <w:name w:val="Título 5 Char"/>
    <w:basedOn w:val="4"/>
    <w:link w:val="3"/>
    <w:qFormat/>
    <w:uiPriority w:val="0"/>
    <w:rPr>
      <w:rFonts w:ascii="Times New Roman" w:hAnsi="Times New Roman" w:eastAsia="Times New Roman" w:cs="Times New Roman"/>
      <w:b/>
      <w:bCs/>
      <w:i/>
      <w:iCs/>
      <w:sz w:val="26"/>
      <w:szCs w:val="26"/>
      <w:lang w:eastAsia="pt-BR"/>
    </w:rPr>
  </w:style>
  <w:style w:type="character" w:customStyle="1" w:styleId="17">
    <w:name w:val="Cabeçalho Char"/>
    <w:basedOn w:val="4"/>
    <w:link w:val="11"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18">
    <w:name w:val="Rodapé Char"/>
    <w:basedOn w:val="4"/>
    <w:link w:val="12"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19">
    <w:name w:val="Recuo de corpo de texto Char"/>
    <w:basedOn w:val="4"/>
    <w:link w:val="13"/>
    <w:qFormat/>
    <w:uiPriority w:val="0"/>
    <w:rPr>
      <w:rFonts w:ascii="Univers" w:hAnsi="Univers" w:eastAsia="Times New Roman" w:cs="Times New Roman"/>
      <w:sz w:val="24"/>
      <w:szCs w:val="24"/>
      <w:lang w:eastAsia="pt-BR"/>
    </w:rPr>
  </w:style>
  <w:style w:type="character" w:customStyle="1" w:styleId="20">
    <w:name w:val="Recuo de corpo de texto 2 Char"/>
    <w:basedOn w:val="4"/>
    <w:link w:val="8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1">
    <w:name w:val="Corpo de texto 2 Char"/>
    <w:basedOn w:val="4"/>
    <w:link w:val="10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2">
    <w:name w:val="Pré-formatação HTML Char"/>
    <w:basedOn w:val="4"/>
    <w:link w:val="9"/>
    <w:qFormat/>
    <w:uiPriority w:val="0"/>
    <w:rPr>
      <w:rFonts w:ascii="Courier New" w:hAnsi="Courier New" w:eastAsia="Times New Roman" w:cs="Courier New"/>
      <w:sz w:val="20"/>
      <w:szCs w:val="20"/>
      <w:lang w:eastAsia="pt-BR"/>
    </w:rPr>
  </w:style>
  <w:style w:type="character" w:customStyle="1" w:styleId="23">
    <w:name w:val="fontstyle01"/>
    <w:basedOn w:val="4"/>
    <w:qFormat/>
    <w:uiPriority w:val="0"/>
    <w:rPr>
      <w:rFonts w:hint="default" w:ascii="CIDFont+F4" w:hAnsi="CIDFont+F4"/>
      <w:color w:val="000000"/>
      <w:sz w:val="24"/>
      <w:szCs w:val="24"/>
    </w:rPr>
  </w:style>
  <w:style w:type="character" w:customStyle="1" w:styleId="24">
    <w:name w:val="fontstyle21"/>
    <w:basedOn w:val="4"/>
    <w:qFormat/>
    <w:uiPriority w:val="0"/>
    <w:rPr>
      <w:rFonts w:hint="default" w:ascii="Helvetica-Bold" w:hAnsi="Helvetica-Bold"/>
      <w:b/>
      <w:bCs/>
      <w:color w:val="000000"/>
      <w:sz w:val="26"/>
      <w:szCs w:val="26"/>
    </w:rPr>
  </w:style>
  <w:style w:type="paragraph" w:customStyle="1" w:styleId="25">
    <w:name w:val="Text body"/>
    <w:basedOn w:val="1"/>
    <w:qFormat/>
    <w:uiPriority w:val="0"/>
    <w:pPr>
      <w:widowControl w:val="0"/>
      <w:suppressAutoHyphens/>
      <w:autoSpaceDN w:val="0"/>
      <w:spacing w:after="120"/>
    </w:pPr>
    <w:rPr>
      <w:rFonts w:ascii="Times New Roman" w:hAnsi="Times New Roman" w:eastAsia="Arial Unicode MS" w:cs="Tahoma"/>
      <w:kern w:val="3"/>
      <w:sz w:val="24"/>
      <w:lang w:eastAsia="zh-CN"/>
    </w:rPr>
  </w:style>
  <w:style w:type="paragraph" w:styleId="26">
    <w:name w:val="List Paragraph"/>
    <w:basedOn w:val="1"/>
    <w:qFormat/>
    <w:uiPriority w:val="34"/>
    <w:pPr>
      <w:suppressAutoHyphens/>
      <w:spacing w:line="100" w:lineRule="atLeast"/>
      <w:ind w:left="720"/>
      <w:contextualSpacing/>
    </w:pPr>
    <w:rPr>
      <w:rFonts w:ascii="Times New Roman" w:hAnsi="Times New Roman"/>
      <w:sz w:val="24"/>
    </w:rPr>
  </w:style>
  <w:style w:type="paragraph" w:customStyle="1" w:styleId="27">
    <w:name w:val="Standard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SimSun" w:cs="Tahoma"/>
      <w:kern w:val="3"/>
      <w:sz w:val="24"/>
      <w:szCs w:val="24"/>
      <w:lang w:val="pt-BR" w:eastAsia="zh-CN" w:bidi="hi-IN"/>
    </w:rPr>
  </w:style>
  <w:style w:type="paragraph" w:customStyle="1" w:styleId="28">
    <w:name w:val="WW-Corpo de texto 3"/>
    <w:basedOn w:val="1"/>
    <w:qFormat/>
    <w:uiPriority w:val="0"/>
    <w:pPr>
      <w:jc w:val="both"/>
    </w:pPr>
    <w:rPr>
      <w:rFonts w:ascii="Times New Roman" w:hAnsi="Times New Roman"/>
      <w:sz w:val="24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476</Words>
  <Characters>2892</Characters>
  <Lines>37</Lines>
  <Paragraphs>10</Paragraphs>
  <TotalTime>15</TotalTime>
  <ScaleCrop>false</ScaleCrop>
  <LinksUpToDate>false</LinksUpToDate>
  <CharactersWithSpaces>3320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2023-11-01T13:12:00Z</dcterms:created>
  <dc:creator>Jefferson</dc:creator>
  <cp:lastModifiedBy>Compras Prefeitura</cp:lastModifiedBy>
  <cp:lastPrinted>2025-03-26T13:02:09Z</cp:lastPrinted>
  <dcterms:modified xsi:type="dcterms:W3CDTF">2025-03-26T13:05:02Z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1046-12.2.0.20326</vt:lpwstr>
  </property>
  <property fmtid="{D5CDD505-2E9C-101B-9397-08002B2CF9AE}" pid="3" name="ICV">
    <vt:lpwstr>F3DFD0B3B6D14A52BE368832D7895E82_13</vt:lpwstr>
  </property>
</Properties>
</file>