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33A629">
      <w:pPr>
        <w:shd w:val="clear" w:color="auto" w:fill="D8D8D8" w:themeFill="background1" w:themeFillShade="D9"/>
        <w:jc w:val="center"/>
        <w:rPr>
          <w:rFonts w:ascii="Times New Roman" w:hAnsi="Times New Roman" w:eastAsiaTheme="minorHAnsi"/>
          <w:b/>
          <w:sz w:val="24"/>
          <w:lang w:eastAsia="en-US"/>
        </w:rPr>
      </w:pPr>
      <w:r>
        <w:rPr>
          <w:rFonts w:ascii="Times New Roman" w:hAnsi="Times New Roman" w:eastAsiaTheme="minorHAnsi"/>
          <w:b/>
          <w:sz w:val="24"/>
          <w:lang w:eastAsia="en-US"/>
        </w:rPr>
        <w:t>TERMO DE REFERÊNCIA COM FUNDAMENTO NA LEI FEDERAL Nº 14.133/2021</w:t>
      </w:r>
    </w:p>
    <w:p w14:paraId="007495C7">
      <w:pPr>
        <w:jc w:val="both"/>
        <w:rPr>
          <w:rFonts w:ascii="Times New Roman" w:hAnsi="Times New Roman"/>
          <w:sz w:val="24"/>
          <w:lang w:val="fr-FR"/>
        </w:rPr>
      </w:pPr>
    </w:p>
    <w:tbl>
      <w:tblPr>
        <w:tblStyle w:val="6"/>
        <w:tblW w:w="99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5"/>
        <w:gridCol w:w="7763"/>
      </w:tblGrid>
      <w:tr w14:paraId="2177C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5" w:type="dxa"/>
            <w:shd w:val="clear" w:color="auto" w:fill="auto"/>
          </w:tcPr>
          <w:p w14:paraId="13A2A9FE">
            <w:pPr>
              <w:jc w:val="both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>Órgão Requerente</w:t>
            </w:r>
          </w:p>
        </w:tc>
        <w:tc>
          <w:tcPr>
            <w:tcW w:w="7763" w:type="dxa"/>
            <w:shd w:val="clear" w:color="auto" w:fill="auto"/>
          </w:tcPr>
          <w:p w14:paraId="62603FAD">
            <w:pPr>
              <w:jc w:val="both"/>
              <w:rPr>
                <w:rFonts w:hint="default" w:ascii="Times New Roman" w:hAnsi="Times New Roman"/>
                <w:b/>
                <w:sz w:val="24"/>
                <w:lang w:val="pt-B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 xml:space="preserve">SECRETARIA </w:t>
            </w:r>
            <w:r>
              <w:rPr>
                <w:rFonts w:hint="default" w:ascii="Times New Roman" w:hAnsi="Times New Roman"/>
                <w:b/>
                <w:sz w:val="24"/>
                <w:lang w:val="pt-BR"/>
              </w:rPr>
              <w:t>DE AGRICULTURA E MEIO AMBIENTE</w:t>
            </w:r>
          </w:p>
        </w:tc>
      </w:tr>
      <w:tr w14:paraId="089B2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5" w:type="dxa"/>
            <w:shd w:val="clear" w:color="auto" w:fill="auto"/>
          </w:tcPr>
          <w:p w14:paraId="0A8E1A48">
            <w:pPr>
              <w:jc w:val="both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>Responsável</w:t>
            </w:r>
          </w:p>
        </w:tc>
        <w:tc>
          <w:tcPr>
            <w:tcW w:w="7763" w:type="dxa"/>
            <w:shd w:val="clear" w:color="auto" w:fill="auto"/>
          </w:tcPr>
          <w:p w14:paraId="0892F3AF">
            <w:pPr>
              <w:jc w:val="both"/>
              <w:rPr>
                <w:rFonts w:hint="default" w:ascii="Times New Roman" w:hAnsi="Times New Roman"/>
                <w:b/>
                <w:sz w:val="24"/>
                <w:lang w:val="pt-BR"/>
              </w:rPr>
            </w:pPr>
            <w:r>
              <w:rPr>
                <w:rFonts w:hint="default" w:ascii="Times New Roman" w:hAnsi="Times New Roman"/>
                <w:b/>
                <w:sz w:val="24"/>
                <w:lang w:val="pt-BR"/>
              </w:rPr>
              <w:t xml:space="preserve">Edilson Valejo </w:t>
            </w:r>
          </w:p>
        </w:tc>
      </w:tr>
      <w:tr w14:paraId="19E18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5" w:type="dxa"/>
            <w:shd w:val="clear" w:color="auto" w:fill="auto"/>
          </w:tcPr>
          <w:p w14:paraId="42D5A32A">
            <w:pPr>
              <w:jc w:val="both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ascii="Times New Roman" w:hAnsi="Times New Roman"/>
                <w:b/>
                <w:sz w:val="24"/>
                <w:lang w:val="fr-FR"/>
              </w:rPr>
              <w:t>E-mail</w:t>
            </w:r>
          </w:p>
        </w:tc>
        <w:tc>
          <w:tcPr>
            <w:tcW w:w="7763" w:type="dxa"/>
            <w:shd w:val="clear" w:color="auto" w:fill="auto"/>
          </w:tcPr>
          <w:p w14:paraId="18E164B7">
            <w:pPr>
              <w:jc w:val="both"/>
              <w:rPr>
                <w:rFonts w:ascii="Times New Roman" w:hAnsi="Times New Roman"/>
                <w:b/>
                <w:sz w:val="24"/>
                <w:lang w:val="fr-FR"/>
              </w:rPr>
            </w:pPr>
            <w:r>
              <w:rPr>
                <w:rFonts w:hint="default" w:ascii="Times New Roman" w:hAnsi="Times New Roman"/>
                <w:b/>
                <w:sz w:val="24"/>
                <w:lang w:val="pt-BR"/>
              </w:rPr>
              <w:t>meioambiente</w:t>
            </w:r>
            <w:r>
              <w:rPr>
                <w:rFonts w:ascii="Times New Roman" w:hAnsi="Times New Roman"/>
                <w:b/>
                <w:sz w:val="24"/>
                <w:lang w:val="fr-FR"/>
              </w:rPr>
              <w:t>@quata.sp.gov.br</w:t>
            </w:r>
          </w:p>
        </w:tc>
      </w:tr>
    </w:tbl>
    <w:p w14:paraId="5D91825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1- </w:t>
      </w:r>
      <w:r>
        <w:rPr>
          <w:rFonts w:ascii="Times New Roman" w:hAnsi="Times New Roman"/>
          <w:b/>
          <w:bCs/>
          <w:sz w:val="24"/>
        </w:rPr>
        <w:t>Definição do objeto:</w:t>
      </w:r>
      <w:r>
        <w:rPr>
          <w:rFonts w:hint="default" w:ascii="Times New Roman" w:hAnsi="Times New Roman"/>
          <w:b/>
          <w:bCs/>
          <w:sz w:val="24"/>
          <w:lang w:val="pt-BR"/>
        </w:rPr>
        <w:t xml:space="preserve"> </w:t>
      </w:r>
      <w:r>
        <w:rPr>
          <w:rFonts w:hint="default" w:ascii="Times New Roman" w:hAnsi="Times New Roman"/>
          <w:b w:val="0"/>
          <w:bCs w:val="0"/>
          <w:sz w:val="24"/>
          <w:lang w:val="pt-BR"/>
        </w:rPr>
        <w:t>solicitamos</w:t>
      </w:r>
      <w:r>
        <w:rPr>
          <w:rFonts w:hint="default" w:ascii="Times New Roman" w:hAnsi="Times New Roman"/>
          <w:b/>
          <w:bCs/>
          <w:sz w:val="24"/>
          <w:lang w:val="pt-BR"/>
        </w:rPr>
        <w:t xml:space="preserve"> </w:t>
      </w:r>
      <w:r>
        <w:rPr>
          <w:rFonts w:ascii="Times New Roman" w:hAnsi="Times New Roman"/>
          <w:bCs/>
          <w:sz w:val="24"/>
        </w:rPr>
        <w:t>compra</w:t>
      </w:r>
      <w:r>
        <w:rPr>
          <w:rFonts w:hint="default" w:ascii="Times New Roman" w:hAnsi="Times New Roman"/>
          <w:bCs/>
          <w:sz w:val="24"/>
          <w:lang w:val="pt-BR"/>
        </w:rPr>
        <w:t xml:space="preserve"> direta de </w:t>
      </w:r>
      <w:r>
        <w:rPr>
          <w:rFonts w:hint="default" w:ascii="Times New Roman" w:hAnsi="Times New Roman"/>
          <w:b/>
          <w:bCs w:val="0"/>
          <w:sz w:val="24"/>
          <w:lang w:val="pt-BR"/>
        </w:rPr>
        <w:t>MÓVEIS E EQUIPAMENTOS ELETRODOMÉSTICOS</w:t>
      </w:r>
      <w:r>
        <w:rPr>
          <w:rFonts w:hint="default" w:ascii="Times New Roman" w:hAnsi="Times New Roman"/>
          <w:bCs/>
          <w:sz w:val="24"/>
          <w:lang w:val="pt-BR"/>
        </w:rPr>
        <w:t xml:space="preserve"> para o Convênio do  Cozinhalimento, </w:t>
      </w:r>
      <w:r>
        <w:rPr>
          <w:rFonts w:ascii="Times New Roman" w:hAnsi="Times New Roman"/>
          <w:sz w:val="24"/>
        </w:rPr>
        <w:t>conforme exposto abaixo:</w:t>
      </w:r>
    </w:p>
    <w:tbl>
      <w:tblPr>
        <w:tblStyle w:val="6"/>
        <w:tblpPr w:leftFromText="180" w:rightFromText="180" w:vertAnchor="text" w:horzAnchor="page" w:tblpX="508" w:tblpY="290"/>
        <w:tblOverlap w:val="never"/>
        <w:tblW w:w="107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69"/>
        <w:gridCol w:w="996"/>
        <w:gridCol w:w="3310"/>
        <w:gridCol w:w="556"/>
        <w:gridCol w:w="569"/>
        <w:gridCol w:w="996"/>
        <w:gridCol w:w="1009"/>
        <w:gridCol w:w="2767"/>
      </w:tblGrid>
      <w:tr w14:paraId="0CA58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76" w:hRule="atLeast"/>
        </w:trPr>
        <w:tc>
          <w:tcPr>
            <w:tcW w:w="569" w:type="dxa"/>
            <w:shd w:val="clear" w:color="auto" w:fill="auto"/>
          </w:tcPr>
          <w:p w14:paraId="456EFC27">
            <w:pPr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996" w:type="dxa"/>
          </w:tcPr>
          <w:p w14:paraId="7DE8E8E0">
            <w:pPr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3310" w:type="dxa"/>
            <w:shd w:val="clear" w:color="auto" w:fill="auto"/>
          </w:tcPr>
          <w:p w14:paraId="5A434CCE">
            <w:pPr>
              <w:jc w:val="both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PRODUTO/DESCRIÇÃO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val="pt-BR"/>
              </w:rPr>
              <w:t xml:space="preserve">  </w:t>
            </w:r>
          </w:p>
        </w:tc>
        <w:tc>
          <w:tcPr>
            <w:tcW w:w="556" w:type="dxa"/>
            <w:shd w:val="clear" w:color="auto" w:fill="auto"/>
          </w:tcPr>
          <w:p w14:paraId="189B84A3">
            <w:pPr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569" w:type="dxa"/>
          </w:tcPr>
          <w:p w14:paraId="59DA3869">
            <w:pPr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val="pt-BR"/>
              </w:rPr>
              <w:t>QTD</w:t>
            </w:r>
          </w:p>
        </w:tc>
        <w:tc>
          <w:tcPr>
            <w:tcW w:w="996" w:type="dxa"/>
          </w:tcPr>
          <w:p w14:paraId="7F07F7BE">
            <w:pPr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val="pt-BR"/>
              </w:rPr>
              <w:t>VALOR UNITÁRIO</w:t>
            </w:r>
          </w:p>
        </w:tc>
        <w:tc>
          <w:tcPr>
            <w:tcW w:w="1009" w:type="dxa"/>
          </w:tcPr>
          <w:p w14:paraId="183A188B">
            <w:pPr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val="pt-BR"/>
              </w:rPr>
              <w:t>VALOR TOTAL</w:t>
            </w:r>
          </w:p>
        </w:tc>
        <w:tc>
          <w:tcPr>
            <w:tcW w:w="2767" w:type="dxa"/>
          </w:tcPr>
          <w:p w14:paraId="091A3F22">
            <w:pPr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CNAE</w:t>
            </w:r>
          </w:p>
        </w:tc>
      </w:tr>
      <w:tr w14:paraId="0CF5C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22" w:hRule="atLeast"/>
        </w:trPr>
        <w:tc>
          <w:tcPr>
            <w:tcW w:w="569" w:type="dxa"/>
            <w:shd w:val="clear" w:color="auto" w:fill="auto"/>
          </w:tcPr>
          <w:p w14:paraId="1931E8D6">
            <w:pPr>
              <w:jc w:val="center"/>
              <w:rPr>
                <w:rFonts w:hint="default"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3A7DA69D"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bCs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662.001.082</w:t>
            </w:r>
          </w:p>
        </w:tc>
        <w:tc>
          <w:tcPr>
            <w:tcW w:w="3310" w:type="dxa"/>
            <w:shd w:val="clear" w:color="auto" w:fill="auto"/>
            <w:vAlign w:val="top"/>
          </w:tcPr>
          <w:p w14:paraId="5370DB2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default" w:ascii="Times New Roman" w:hAnsi="Times New Roman" w:eastAsia="Arial" w:cs="Times New Roman"/>
                <w:i w:val="0"/>
                <w:iCs w:val="0"/>
                <w:color w:val="auto"/>
                <w:spacing w:val="0"/>
                <w:sz w:val="16"/>
                <w:szCs w:val="16"/>
                <w:shd w:val="clear" w:fill="FFFFFF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Armario industrial de cozinha profissional em aco inox 2 portas medidas minimas: 150cm x 50cm x 100cm</w:t>
            </w:r>
          </w:p>
          <w:p w14:paraId="484A8D1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pt-BR" w:eastAsia="pt-BR" w:bidi="ar-SA"/>
              </w:rPr>
            </w:pPr>
          </w:p>
        </w:tc>
        <w:tc>
          <w:tcPr>
            <w:tcW w:w="556" w:type="dxa"/>
            <w:shd w:val="clear" w:color="auto" w:fill="auto"/>
            <w:vAlign w:val="top"/>
          </w:tcPr>
          <w:p w14:paraId="5A0C2A2E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UN</w:t>
            </w:r>
          </w:p>
        </w:tc>
        <w:tc>
          <w:tcPr>
            <w:tcW w:w="569" w:type="dxa"/>
            <w:shd w:val="clear" w:color="auto" w:fill="auto"/>
            <w:vAlign w:val="top"/>
          </w:tcPr>
          <w:p w14:paraId="6C2AEB0F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2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67E7558C">
            <w:pPr>
              <w:jc w:val="center"/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R$ 5.500,00</w:t>
            </w:r>
          </w:p>
        </w:tc>
        <w:tc>
          <w:tcPr>
            <w:tcW w:w="1009" w:type="dxa"/>
            <w:shd w:val="clear" w:color="auto" w:fill="auto"/>
            <w:vAlign w:val="top"/>
          </w:tcPr>
          <w:p w14:paraId="6633385C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R$ 11.000,00</w:t>
            </w:r>
          </w:p>
        </w:tc>
        <w:tc>
          <w:tcPr>
            <w:tcW w:w="2767" w:type="dxa"/>
          </w:tcPr>
          <w:p w14:paraId="2601BDE3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4"/>
                <w:szCs w:val="14"/>
                <w:lang w:val="pt-BR"/>
              </w:rPr>
              <w:t xml:space="preserve">4649-4/04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  <w:lang w:val="pt-BR"/>
              </w:rPr>
              <w:t>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</w:rPr>
              <w:t>oveis em geral, de qualquer material; comércio atacadista de</w:t>
            </w:r>
          </w:p>
          <w:p w14:paraId="0970A035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  <w:t>4754-7/01 comércio varejista de móveis</w:t>
            </w:r>
          </w:p>
        </w:tc>
      </w:tr>
      <w:tr w14:paraId="5ABDF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93" w:hRule="atLeast"/>
        </w:trPr>
        <w:tc>
          <w:tcPr>
            <w:tcW w:w="569" w:type="dxa"/>
            <w:shd w:val="clear" w:color="auto" w:fill="auto"/>
          </w:tcPr>
          <w:p w14:paraId="2C702F54">
            <w:pPr>
              <w:jc w:val="center"/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  <w:t>2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3F8C7763">
            <w:pPr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608.003.032</w:t>
            </w:r>
          </w:p>
        </w:tc>
        <w:tc>
          <w:tcPr>
            <w:tcW w:w="3310" w:type="dxa"/>
            <w:shd w:val="clear" w:color="auto" w:fill="auto"/>
            <w:vAlign w:val="top"/>
          </w:tcPr>
          <w:p w14:paraId="05107AE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OpenSans" w:cs="Times New Roman"/>
                <w:color w:val="auto"/>
                <w:kern w:val="0"/>
                <w:sz w:val="16"/>
                <w:szCs w:val="16"/>
                <w:lang w:val="pt-BR" w:eastAsia="pt-BR" w:bidi="ar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Balanca digital eletrica com tara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 xml:space="preserve">,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220v, com indicador de peso, capacidade para minimo 6kg x 2g</w:t>
            </w:r>
          </w:p>
        </w:tc>
        <w:tc>
          <w:tcPr>
            <w:tcW w:w="556" w:type="dxa"/>
            <w:shd w:val="clear" w:color="auto" w:fill="auto"/>
            <w:vAlign w:val="top"/>
          </w:tcPr>
          <w:p w14:paraId="74D96FE9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UN</w:t>
            </w:r>
          </w:p>
        </w:tc>
        <w:tc>
          <w:tcPr>
            <w:tcW w:w="569" w:type="dxa"/>
            <w:shd w:val="clear" w:color="auto" w:fill="auto"/>
            <w:vAlign w:val="top"/>
          </w:tcPr>
          <w:p w14:paraId="52BE5B31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1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11ED7E17">
            <w:pPr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  <w:lang w:val="en-US" w:eastAsia="pt-BR" w:bidi="ar-SA"/>
              </w:rPr>
              <w:t>R$ 899,00</w:t>
            </w:r>
          </w:p>
        </w:tc>
        <w:tc>
          <w:tcPr>
            <w:tcW w:w="1009" w:type="dxa"/>
            <w:shd w:val="clear" w:color="auto" w:fill="auto"/>
            <w:vAlign w:val="top"/>
          </w:tcPr>
          <w:p w14:paraId="20CC7EA0">
            <w:pPr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  <w:lang w:val="en-US" w:eastAsia="pt-BR" w:bidi="ar-SA"/>
              </w:rPr>
              <w:t>R$ 899,00</w:t>
            </w:r>
          </w:p>
        </w:tc>
        <w:tc>
          <w:tcPr>
            <w:tcW w:w="2767" w:type="dxa"/>
          </w:tcPr>
          <w:p w14:paraId="3EBB530B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  <w:t>4665-6/00 comércio atacadista de máquinas e equipamentos para uso comercial; partes e peças</w:t>
            </w:r>
          </w:p>
          <w:p w14:paraId="265AFD67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  <w:lang w:val="pt-BR"/>
              </w:rPr>
              <w:t>4663-0/00</w:t>
            </w:r>
          </w:p>
          <w:p w14:paraId="31AE0B26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  <w:lang w:val="pt-BR"/>
              </w:rPr>
              <w:t>B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</w:rPr>
              <w:t>alanças para uso industrial; comércio atacadista de</w:t>
            </w:r>
          </w:p>
          <w:p w14:paraId="7B8F733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4"/>
                <w:szCs w:val="14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  <w:t>4753-9/00 comércio varejista especializado de eletrodomésticos e equipamentos de áudio e vídeo</w:t>
            </w:r>
          </w:p>
        </w:tc>
      </w:tr>
      <w:tr w14:paraId="15475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99" w:hRule="atLeast"/>
        </w:trPr>
        <w:tc>
          <w:tcPr>
            <w:tcW w:w="569" w:type="dxa"/>
            <w:shd w:val="clear" w:color="auto" w:fill="auto"/>
          </w:tcPr>
          <w:p w14:paraId="63179E0C">
            <w:pPr>
              <w:jc w:val="center"/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  <w:t>3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06A4C046"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662.003.038</w:t>
            </w:r>
          </w:p>
        </w:tc>
        <w:tc>
          <w:tcPr>
            <w:tcW w:w="3310" w:type="dxa"/>
            <w:shd w:val="clear" w:color="auto" w:fill="auto"/>
            <w:vAlign w:val="top"/>
          </w:tcPr>
          <w:p w14:paraId="1550D05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Batedeira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planetária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 voltagem 220v pot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ê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ncia 600w capacidade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mínima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5L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 com o bowl em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aço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 inoxid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á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vel</w:t>
            </w:r>
          </w:p>
        </w:tc>
        <w:tc>
          <w:tcPr>
            <w:tcW w:w="556" w:type="dxa"/>
            <w:shd w:val="clear" w:color="auto" w:fill="auto"/>
            <w:vAlign w:val="top"/>
          </w:tcPr>
          <w:p w14:paraId="7AFFC5E8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UN</w:t>
            </w:r>
          </w:p>
        </w:tc>
        <w:tc>
          <w:tcPr>
            <w:tcW w:w="569" w:type="dxa"/>
            <w:shd w:val="clear" w:color="auto" w:fill="auto"/>
            <w:vAlign w:val="top"/>
          </w:tcPr>
          <w:p w14:paraId="0358BB52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3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66D4482F">
            <w:pPr>
              <w:jc w:val="center"/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R$ 1.500,00</w:t>
            </w:r>
          </w:p>
        </w:tc>
        <w:tc>
          <w:tcPr>
            <w:tcW w:w="1009" w:type="dxa"/>
            <w:shd w:val="clear" w:color="auto" w:fill="auto"/>
            <w:vAlign w:val="top"/>
          </w:tcPr>
          <w:p w14:paraId="00663CEB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R$ 4.500,00</w:t>
            </w:r>
          </w:p>
        </w:tc>
        <w:tc>
          <w:tcPr>
            <w:tcW w:w="2767" w:type="dxa"/>
            <w:vAlign w:val="top"/>
          </w:tcPr>
          <w:p w14:paraId="09193E64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  <w:t>4753-9/00 comércio varejista especializado de eletrodomésticos e equipamentos de áudio e vídeo</w:t>
            </w:r>
          </w:p>
          <w:p w14:paraId="1C077FC1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4"/>
                <w:szCs w:val="14"/>
                <w:shd w:val="clear" w:fill="F7F7F7"/>
              </w:rPr>
              <w:t>4649-4/01 Comércio atacadista de equipamentos elétricos de uso pessoal e doméstico</w:t>
            </w:r>
          </w:p>
        </w:tc>
      </w:tr>
      <w:tr w14:paraId="386AA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0" w:hRule="atLeast"/>
        </w:trPr>
        <w:tc>
          <w:tcPr>
            <w:tcW w:w="569" w:type="dxa"/>
            <w:shd w:val="clear" w:color="auto" w:fill="auto"/>
          </w:tcPr>
          <w:p w14:paraId="253CDE1C">
            <w:pPr>
              <w:jc w:val="center"/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  <w:t>4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2352024A"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662.003.037</w:t>
            </w:r>
          </w:p>
        </w:tc>
        <w:tc>
          <w:tcPr>
            <w:tcW w:w="3310" w:type="dxa"/>
            <w:shd w:val="clear" w:color="auto" w:fill="auto"/>
            <w:vAlign w:val="top"/>
          </w:tcPr>
          <w:p w14:paraId="206F070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Forno industrial a gas forno a g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á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s com isolamento t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é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rmico porta do tipo guilhotina, com vidro temperado com marcador de temperatura graduado; com no minimo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1 porta, com grade interna; queimadores com sistema de gaveta , pedra refrat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á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ria que armazena o calor obtendo maior uniformidade no assado. Com cavalete refor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ç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ado para suporte do forno. Medidas: 80 x 60cm.</w:t>
            </w:r>
          </w:p>
        </w:tc>
        <w:tc>
          <w:tcPr>
            <w:tcW w:w="556" w:type="dxa"/>
            <w:shd w:val="clear" w:color="auto" w:fill="auto"/>
            <w:vAlign w:val="top"/>
          </w:tcPr>
          <w:p w14:paraId="5A9BF4D7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UN</w:t>
            </w:r>
          </w:p>
        </w:tc>
        <w:tc>
          <w:tcPr>
            <w:tcW w:w="569" w:type="dxa"/>
            <w:shd w:val="clear" w:color="auto" w:fill="auto"/>
            <w:vAlign w:val="top"/>
          </w:tcPr>
          <w:p w14:paraId="5AFCD61B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en-US" w:eastAsia="pt-BR" w:bidi="ar-SA"/>
              </w:rPr>
              <w:t>3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23AF33B1">
            <w:pPr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R$ 2.500,00</w:t>
            </w:r>
          </w:p>
        </w:tc>
        <w:tc>
          <w:tcPr>
            <w:tcW w:w="1009" w:type="dxa"/>
            <w:shd w:val="clear" w:color="auto" w:fill="auto"/>
            <w:vAlign w:val="top"/>
          </w:tcPr>
          <w:p w14:paraId="779511B8">
            <w:pPr>
              <w:jc w:val="center"/>
              <w:rPr>
                <w:rFonts w:hint="default" w:ascii="Times New Roman" w:hAnsi="Times New Roman" w:eastAsia="Times New Roman" w:cs="Times New Roman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R$ 7.500,00</w:t>
            </w:r>
          </w:p>
        </w:tc>
        <w:tc>
          <w:tcPr>
            <w:tcW w:w="2767" w:type="dxa"/>
          </w:tcPr>
          <w:p w14:paraId="66F3AB4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4"/>
                <w:szCs w:val="1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4"/>
                <w:szCs w:val="14"/>
                <w:u w:val="none"/>
                <w:lang w:val="pt-BR"/>
              </w:rPr>
              <w:t>4649-4/01</w:t>
            </w:r>
          </w:p>
          <w:p w14:paraId="378577C2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DFDFD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DFDFD"/>
                <w:lang w:val="pt-BR"/>
              </w:rPr>
              <w:t>Fo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DFDFD"/>
              </w:rPr>
              <w:t>gões para uso doméstico; comércio atacadista de</w:t>
            </w:r>
          </w:p>
          <w:p w14:paraId="4F9706A7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7F7F7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7F7F7"/>
              </w:rPr>
              <w:fldChar w:fldCharType="begin"/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7F7F7"/>
              </w:rPr>
              <w:instrText xml:space="preserve"> HYPERLINK "https://concla.ibge.gov.br/busca-online-cnae.html?view=subclasse&amp;tipo=cnae&amp;versao=10&amp;subclasse=2821601" </w:instrTex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7F7F7"/>
              </w:rPr>
              <w:fldChar w:fldCharType="separate"/>
            </w:r>
            <w:r>
              <w:rPr>
                <w:rStyle w:val="8"/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7F7F7"/>
              </w:rPr>
              <w:t>2821-6/01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7F7F7"/>
              </w:rPr>
              <w:fldChar w:fldCharType="end"/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7F7F7"/>
              </w:rPr>
              <w:t> </w:t>
            </w:r>
          </w:p>
          <w:p w14:paraId="363765EF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7F7F7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7F7F7"/>
              </w:rPr>
              <w:t>Fabricação de fornos industriais, aparelhos e equipamentos não elétricos para instalações térmicas, peças e acessórios</w:t>
            </w:r>
          </w:p>
          <w:p w14:paraId="4BD9E6C5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7F7F7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7F7F7"/>
                <w:lang w:val="pt-BR"/>
              </w:rPr>
              <w:t>4753-9/00</w:t>
            </w:r>
          </w:p>
          <w:p w14:paraId="0CBE609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4"/>
                <w:szCs w:val="14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9F9F9"/>
                <w:lang w:val="pt-BR"/>
              </w:rPr>
              <w:t>F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u w:val="none"/>
                <w:shd w:val="clear" w:fill="F9F9F9"/>
              </w:rPr>
              <w:t>ogões para uso doméstico; comércio varejista de</w:t>
            </w:r>
          </w:p>
        </w:tc>
      </w:tr>
      <w:tr w14:paraId="00E50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0" w:hRule="atLeast"/>
        </w:trPr>
        <w:tc>
          <w:tcPr>
            <w:tcW w:w="569" w:type="dxa"/>
            <w:shd w:val="clear" w:color="auto" w:fill="auto"/>
          </w:tcPr>
          <w:p w14:paraId="6A3FAC5A">
            <w:pPr>
              <w:jc w:val="center"/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  <w:t>5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5450157C"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662.003.040</w:t>
            </w:r>
          </w:p>
        </w:tc>
        <w:tc>
          <w:tcPr>
            <w:tcW w:w="3310" w:type="dxa"/>
            <w:shd w:val="clear" w:color="auto" w:fill="auto"/>
            <w:vAlign w:val="top"/>
          </w:tcPr>
          <w:p w14:paraId="281C11E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Liquidificador pot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ê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ncia m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í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nima 700w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 xml:space="preserve">baixa rotação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capacidade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ú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til do copo no m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í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nimo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2L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 voltagem 220v copo em inox</w:t>
            </w:r>
          </w:p>
        </w:tc>
        <w:tc>
          <w:tcPr>
            <w:tcW w:w="556" w:type="dxa"/>
            <w:shd w:val="clear" w:color="auto" w:fill="auto"/>
            <w:vAlign w:val="top"/>
          </w:tcPr>
          <w:p w14:paraId="14D99C72">
            <w:pPr>
              <w:jc w:val="center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UN</w:t>
            </w:r>
          </w:p>
        </w:tc>
        <w:tc>
          <w:tcPr>
            <w:tcW w:w="569" w:type="dxa"/>
            <w:shd w:val="clear" w:color="auto" w:fill="auto"/>
            <w:vAlign w:val="top"/>
          </w:tcPr>
          <w:p w14:paraId="7FF8A4BB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1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0B619FA1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en-US" w:eastAsia="pt-BR" w:bidi="ar-SA"/>
              </w:rPr>
              <w:t>R$ 700,00</w:t>
            </w:r>
          </w:p>
        </w:tc>
        <w:tc>
          <w:tcPr>
            <w:tcW w:w="1009" w:type="dxa"/>
            <w:shd w:val="clear" w:color="auto" w:fill="auto"/>
            <w:vAlign w:val="top"/>
          </w:tcPr>
          <w:p w14:paraId="0780E345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en-US" w:eastAsia="pt-BR" w:bidi="ar-SA"/>
              </w:rPr>
              <w:t>R$ 700,00</w:t>
            </w:r>
          </w:p>
        </w:tc>
        <w:tc>
          <w:tcPr>
            <w:tcW w:w="2767" w:type="dxa"/>
          </w:tcPr>
          <w:p w14:paraId="08EC8678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  <w:t>4753-9/00 comércio varejista especializado de eletrodomésticos e equipamentos de áudio e vídeo</w:t>
            </w:r>
          </w:p>
          <w:p w14:paraId="02EA28B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4"/>
                <w:szCs w:val="14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4"/>
                <w:szCs w:val="14"/>
                <w:shd w:val="clear" w:fill="F7F7F7"/>
              </w:rPr>
              <w:t>4649-4/01 Comércio atacadista de equipamentos elétricos de uso pessoal e doméstico</w:t>
            </w:r>
          </w:p>
        </w:tc>
      </w:tr>
      <w:tr w14:paraId="62640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0" w:hRule="atLeast"/>
        </w:trPr>
        <w:tc>
          <w:tcPr>
            <w:tcW w:w="569" w:type="dxa"/>
            <w:shd w:val="clear" w:color="auto" w:fill="auto"/>
          </w:tcPr>
          <w:p w14:paraId="04AAA81B">
            <w:pPr>
              <w:jc w:val="center"/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  <w:t>6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3C4D4C5E"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662.001.081</w:t>
            </w:r>
          </w:p>
        </w:tc>
        <w:tc>
          <w:tcPr>
            <w:tcW w:w="3310" w:type="dxa"/>
            <w:shd w:val="clear" w:color="auto" w:fill="auto"/>
            <w:vAlign w:val="top"/>
          </w:tcPr>
          <w:p w14:paraId="4D3E026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OpenSans" w:cs="Times New Roman"/>
                <w:color w:val="auto"/>
                <w:kern w:val="0"/>
                <w:sz w:val="16"/>
                <w:szCs w:val="16"/>
                <w:lang w:val="pt-BR" w:eastAsia="pt-BR" w:bidi="ar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Mesa em aco inoxid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á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vel com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paneleiro fechado - medidas m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í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nimas de: 120cm x 60cm x 80cm</w:t>
            </w:r>
          </w:p>
        </w:tc>
        <w:tc>
          <w:tcPr>
            <w:tcW w:w="556" w:type="dxa"/>
            <w:shd w:val="clear" w:color="auto" w:fill="auto"/>
            <w:vAlign w:val="top"/>
          </w:tcPr>
          <w:p w14:paraId="0E544FDF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UN</w:t>
            </w:r>
          </w:p>
        </w:tc>
        <w:tc>
          <w:tcPr>
            <w:tcW w:w="569" w:type="dxa"/>
            <w:shd w:val="clear" w:color="auto" w:fill="auto"/>
            <w:vAlign w:val="top"/>
          </w:tcPr>
          <w:p w14:paraId="174EE1DA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5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0752A6CE">
            <w:pPr>
              <w:jc w:val="center"/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R$ 2.380,00</w:t>
            </w:r>
          </w:p>
        </w:tc>
        <w:tc>
          <w:tcPr>
            <w:tcW w:w="1009" w:type="dxa"/>
            <w:shd w:val="clear" w:color="auto" w:fill="auto"/>
            <w:vAlign w:val="top"/>
          </w:tcPr>
          <w:p w14:paraId="12F9B1AA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R$ 11.900,00</w:t>
            </w:r>
          </w:p>
        </w:tc>
        <w:tc>
          <w:tcPr>
            <w:tcW w:w="2767" w:type="dxa"/>
            <w:vAlign w:val="top"/>
          </w:tcPr>
          <w:p w14:paraId="671252D0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4"/>
                <w:szCs w:val="14"/>
                <w:lang w:val="pt-BR"/>
              </w:rPr>
              <w:t xml:space="preserve">4649-4/04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  <w:lang w:val="pt-BR"/>
              </w:rPr>
              <w:t>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</w:rPr>
              <w:t>oveis em geral, de qualquer material; comércio atacadista de</w:t>
            </w:r>
          </w:p>
          <w:p w14:paraId="414B8DEB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  <w:t>4754-7/01 comércio varejista de móveis</w:t>
            </w:r>
          </w:p>
        </w:tc>
      </w:tr>
      <w:tr w14:paraId="76290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0" w:hRule="atLeast"/>
        </w:trPr>
        <w:tc>
          <w:tcPr>
            <w:tcW w:w="569" w:type="dxa"/>
            <w:shd w:val="clear" w:color="auto" w:fill="auto"/>
          </w:tcPr>
          <w:p w14:paraId="0FB70E09">
            <w:pPr>
              <w:jc w:val="center"/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  <w:t>7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128686C8"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662.001.083</w:t>
            </w:r>
          </w:p>
        </w:tc>
        <w:tc>
          <w:tcPr>
            <w:tcW w:w="3310" w:type="dxa"/>
            <w:shd w:val="clear" w:color="auto" w:fill="auto"/>
            <w:vAlign w:val="top"/>
          </w:tcPr>
          <w:p w14:paraId="0227378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imSu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Prateleira superior lisa, 1.00mt x 0,40m com borda, maos francesas de apoio, inteiramente em aco inox, devendo conter os acessorios necess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á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rios para a instala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çã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o </w:t>
            </w:r>
          </w:p>
          <w:p w14:paraId="6483D50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OpenSans" w:cs="Times New Roman"/>
                <w:color w:val="auto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Entregar instalada</w:t>
            </w:r>
          </w:p>
        </w:tc>
        <w:tc>
          <w:tcPr>
            <w:tcW w:w="556" w:type="dxa"/>
            <w:shd w:val="clear" w:color="auto" w:fill="auto"/>
            <w:vAlign w:val="top"/>
          </w:tcPr>
          <w:p w14:paraId="0D36D5FC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UN</w:t>
            </w:r>
          </w:p>
        </w:tc>
        <w:tc>
          <w:tcPr>
            <w:tcW w:w="569" w:type="dxa"/>
            <w:shd w:val="clear" w:color="auto" w:fill="auto"/>
            <w:vAlign w:val="top"/>
          </w:tcPr>
          <w:p w14:paraId="5B2201AB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en-US" w:eastAsia="pt-BR" w:bidi="ar-SA"/>
              </w:rPr>
              <w:t>6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0392BD44">
            <w:pPr>
              <w:jc w:val="center"/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R$ 800,00</w:t>
            </w:r>
          </w:p>
        </w:tc>
        <w:tc>
          <w:tcPr>
            <w:tcW w:w="1009" w:type="dxa"/>
            <w:shd w:val="clear" w:color="auto" w:fill="auto"/>
            <w:vAlign w:val="top"/>
          </w:tcPr>
          <w:p w14:paraId="04F05C16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R$ 4.800,00</w:t>
            </w:r>
          </w:p>
        </w:tc>
        <w:tc>
          <w:tcPr>
            <w:tcW w:w="2767" w:type="dxa"/>
            <w:vAlign w:val="top"/>
          </w:tcPr>
          <w:p w14:paraId="641A7D32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4"/>
                <w:szCs w:val="14"/>
                <w:lang w:val="pt-BR"/>
              </w:rPr>
              <w:t xml:space="preserve">4649-4/04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  <w:lang w:val="pt-BR"/>
              </w:rPr>
              <w:t>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9F9F9"/>
              </w:rPr>
              <w:t>oveis em geral, de qualquer material; comércio atacadista de</w:t>
            </w:r>
          </w:p>
          <w:p w14:paraId="6B8C955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14"/>
                <w:szCs w:val="14"/>
                <w:lang w:val="pt-B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  <w:t>4754-7/01 comércio varejista de móveis</w:t>
            </w:r>
          </w:p>
        </w:tc>
      </w:tr>
      <w:tr w14:paraId="7B1B0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24" w:hRule="atLeast"/>
        </w:trPr>
        <w:tc>
          <w:tcPr>
            <w:tcW w:w="569" w:type="dxa"/>
            <w:shd w:val="clear" w:color="auto" w:fill="auto"/>
          </w:tcPr>
          <w:p w14:paraId="179786DA">
            <w:pPr>
              <w:jc w:val="center"/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sz w:val="16"/>
                <w:szCs w:val="16"/>
                <w:lang w:val="pt-BR"/>
              </w:rPr>
              <w:t>8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7A8A3378"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Times New Roman" w:cs="Times New Roman"/>
                <w:bCs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662.025.001</w:t>
            </w:r>
          </w:p>
        </w:tc>
        <w:tc>
          <w:tcPr>
            <w:tcW w:w="3310" w:type="dxa"/>
            <w:shd w:val="clear" w:color="auto" w:fill="auto"/>
            <w:vAlign w:val="top"/>
          </w:tcPr>
          <w:p w14:paraId="3D1DEB5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OpenSans" w:cs="Times New Roman"/>
                <w:color w:val="auto"/>
                <w:kern w:val="0"/>
                <w:sz w:val="16"/>
                <w:szCs w:val="16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 xml:space="preserve">Purificador de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>á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gua de parede temperatura da água natural e gelada tipo: Residencial ideal para 21 pessoas capacidade total: 2,18 capacidade água gelada: 1,24l por hora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  <w:lang w:val="pt-B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16"/>
                <w:szCs w:val="16"/>
              </w:rPr>
              <w:t>tipo de refrigeração por compressor com bandeja removivel acompanha refil tipo c+3 com garantia de 1 ano voltagem: 220v medidas aproximadas: Altura 41cm largura 31,2cm profundidade: 35,7cm peso: 10,6kg vazão de 60 litros hora consumo de 11kwh/mes potencia 90w temperatura de resfriamento: 10ºc termostato externo com regulagem com proteção ipx4 refil girou/trocou na cor preta ou branca</w:t>
            </w:r>
          </w:p>
        </w:tc>
        <w:tc>
          <w:tcPr>
            <w:tcW w:w="556" w:type="dxa"/>
            <w:shd w:val="clear" w:color="auto" w:fill="auto"/>
            <w:vAlign w:val="top"/>
          </w:tcPr>
          <w:p w14:paraId="532826EF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UN</w:t>
            </w:r>
          </w:p>
        </w:tc>
        <w:tc>
          <w:tcPr>
            <w:tcW w:w="569" w:type="dxa"/>
            <w:shd w:val="clear" w:color="auto" w:fill="auto"/>
            <w:vAlign w:val="top"/>
          </w:tcPr>
          <w:p w14:paraId="0B517CAF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en-US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en-US" w:eastAsia="pt-BR" w:bidi="ar-SA"/>
              </w:rPr>
              <w:t>1</w:t>
            </w:r>
          </w:p>
        </w:tc>
        <w:tc>
          <w:tcPr>
            <w:tcW w:w="996" w:type="dxa"/>
            <w:shd w:val="clear" w:color="auto" w:fill="auto"/>
            <w:vAlign w:val="top"/>
          </w:tcPr>
          <w:p w14:paraId="01DBD873">
            <w:pPr>
              <w:jc w:val="center"/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R$ 1.000,00</w:t>
            </w:r>
          </w:p>
        </w:tc>
        <w:tc>
          <w:tcPr>
            <w:tcW w:w="1009" w:type="dxa"/>
            <w:shd w:val="clear" w:color="auto" w:fill="auto"/>
            <w:vAlign w:val="top"/>
          </w:tcPr>
          <w:p w14:paraId="1CFB5C99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16"/>
                <w:szCs w:val="16"/>
                <w:lang w:val="pt-BR" w:eastAsia="pt-BR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6"/>
                <w:szCs w:val="16"/>
                <w:lang w:val="pt-BR"/>
              </w:rPr>
              <w:t>R$ 1.000,00</w:t>
            </w:r>
          </w:p>
        </w:tc>
        <w:tc>
          <w:tcPr>
            <w:tcW w:w="2767" w:type="dxa"/>
            <w:shd w:val="clear" w:color="auto" w:fill="auto"/>
            <w:vAlign w:val="top"/>
          </w:tcPr>
          <w:p w14:paraId="56AB86D2">
            <w:p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auto"/>
                <w:spacing w:val="0"/>
                <w:sz w:val="14"/>
                <w:szCs w:val="14"/>
                <w:shd w:val="clear" w:fill="F7F7F7"/>
              </w:rPr>
              <w:t>4753-9/00 comércio varejista especializado de eletrodomésticos e equipamentos de áudio e vídeo</w:t>
            </w:r>
          </w:p>
          <w:p w14:paraId="17E0EA37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14"/>
                <w:szCs w:val="14"/>
                <w:lang w:val="pt-BR" w:eastAsia="pt-BR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14"/>
                <w:szCs w:val="14"/>
                <w:shd w:val="clear" w:fill="F7F7F7"/>
              </w:rPr>
              <w:t>4649-4/01 Comércio atacadista de equipamentos elétricos de uso pessoal e doméstico</w:t>
            </w:r>
          </w:p>
        </w:tc>
      </w:tr>
    </w:tbl>
    <w:p w14:paraId="49B49207">
      <w:pPr>
        <w:jc w:val="both"/>
        <w:rPr>
          <w:bCs/>
          <w:sz w:val="24"/>
        </w:rPr>
      </w:pPr>
    </w:p>
    <w:p w14:paraId="43F29E3D">
      <w:pPr>
        <w:jc w:val="both"/>
        <w:rPr>
          <w:rFonts w:hint="default" w:ascii="Times New Roman" w:hAnsi="Times New Roman"/>
          <w:b w:val="0"/>
          <w:bCs/>
          <w:sz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1.2. Classificação do objeto</w:t>
      </w:r>
      <w:r>
        <w:rPr>
          <w:rFonts w:hint="default" w:ascii="Times New Roman" w:hAnsi="Times New Roman" w:cs="Times New Roman"/>
          <w:bCs/>
          <w:sz w:val="24"/>
          <w:szCs w:val="24"/>
        </w:rPr>
        <w:t>:</w:t>
      </w:r>
      <w:r>
        <w:rPr>
          <w:rFonts w:hint="default" w:ascii="Times New Roman" w:hAnsi="Times New Roman" w:cs="Times New Roman"/>
          <w:bCs/>
          <w:color w:val="FF0000"/>
          <w:sz w:val="24"/>
          <w:szCs w:val="24"/>
        </w:rPr>
        <w:t xml:space="preserve"> </w:t>
      </w:r>
      <w:r>
        <w:rPr>
          <w:rFonts w:hint="default" w:ascii="Times New Roman" w:hAnsi="Times New Roman"/>
          <w:b w:val="0"/>
          <w:bCs/>
          <w:sz w:val="24"/>
          <w:lang w:val="pt-BR"/>
        </w:rPr>
        <w:t>MÓVEIS E EQUIPAMENTOS ELETRODOMÉSTICOS.</w:t>
      </w:r>
    </w:p>
    <w:p w14:paraId="0747C901">
      <w:pPr>
        <w:jc w:val="both"/>
        <w:rPr>
          <w:rFonts w:hint="default" w:ascii="Times New Roman" w:hAnsi="Times New Roman"/>
          <w:b w:val="0"/>
          <w:bCs/>
          <w:sz w:val="24"/>
          <w:lang w:val="pt-BR"/>
        </w:rPr>
      </w:pPr>
    </w:p>
    <w:p w14:paraId="3F681B83">
      <w:pPr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1.3. Critério de Julgamento</w:t>
      </w:r>
      <w:r>
        <w:rPr>
          <w:rFonts w:hint="default" w:ascii="Times New Roman" w:hAnsi="Times New Roman" w:cs="Times New Roman"/>
          <w:sz w:val="24"/>
          <w:szCs w:val="24"/>
        </w:rPr>
        <w:t>: Menor Preço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unitário</w:t>
      </w:r>
      <w:r>
        <w:rPr>
          <w:rFonts w:hint="default" w:ascii="Times New Roman" w:hAnsi="Times New Roman" w:cs="Times New Roman"/>
          <w:sz w:val="24"/>
          <w:szCs w:val="24"/>
        </w:rPr>
        <w:t>, conforme artigo 34 da lei 14.133/2021</w:t>
      </w:r>
    </w:p>
    <w:p w14:paraId="2A463F55"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</w:p>
    <w:p w14:paraId="17C89942">
      <w:pPr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1.4. Justificativa para dispensa dos documentos solicitados</w:t>
      </w:r>
      <w:r>
        <w:rPr>
          <w:rFonts w:hint="default" w:ascii="Times New Roman" w:hAnsi="Times New Roman" w:cs="Times New Roman"/>
          <w:bCs/>
          <w:sz w:val="24"/>
          <w:szCs w:val="24"/>
        </w:rPr>
        <w:t>: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  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>É dispensado o Projeto básico e análise de risco, por se tratar de aquisição de móveis e eletrodomésticos.</w:t>
      </w:r>
    </w:p>
    <w:p w14:paraId="353E41AF">
      <w:pPr>
        <w:jc w:val="both"/>
        <w:rPr>
          <w:rFonts w:hint="default" w:ascii="Times New Roman" w:hAnsi="Times New Roman"/>
          <w:bCs/>
          <w:sz w:val="24"/>
          <w:lang w:val="pt-BR"/>
        </w:rPr>
      </w:pPr>
    </w:p>
    <w:p w14:paraId="0CC53209">
      <w:pPr>
        <w:pStyle w:val="29"/>
        <w:numPr>
          <w:ilvl w:val="0"/>
          <w:numId w:val="0"/>
        </w:numPr>
        <w:tabs>
          <w:tab w:val="left" w:pos="1048"/>
        </w:tabs>
        <w:spacing w:before="0" w:after="0" w:line="240" w:lineRule="auto"/>
        <w:ind w:right="485" w:rightChars="0"/>
        <w:jc w:val="both"/>
        <w:rPr>
          <w:rFonts w:hint="default" w:ascii="Times New Roman" w:hAnsi="Times New Roman" w:cs="Times New Roman"/>
          <w:bCs/>
          <w:color w:val="FF0000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1.5. Valor total: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</w:rPr>
        <w:t xml:space="preserve"> </w:t>
      </w:r>
      <w:r>
        <w:rPr>
          <w:rFonts w:hint="default" w:cs="Times New Roman"/>
          <w:sz w:val="24"/>
          <w:szCs w:val="24"/>
          <w:lang w:val="pt-BR"/>
        </w:rPr>
        <w:t>O v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a</w:t>
      </w:r>
      <w:r>
        <w:rPr>
          <w:rFonts w:hint="default" w:ascii="Times New Roman" w:hAnsi="Times New Roman" w:cs="Times New Roman"/>
          <w:sz w:val="24"/>
          <w:szCs w:val="24"/>
        </w:rPr>
        <w:t>lor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total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40"/>
          <w:sz w:val="24"/>
          <w:szCs w:val="24"/>
          <w:lang w:val="pt-BR"/>
        </w:rPr>
        <w:t xml:space="preserve">estimado </w:t>
      </w:r>
      <w:r>
        <w:rPr>
          <w:rFonts w:hint="default" w:ascii="Times New Roman" w:hAnsi="Times New Roman" w:cs="Times New Roman"/>
          <w:sz w:val="24"/>
          <w:szCs w:val="24"/>
        </w:rPr>
        <w:t>para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a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execução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do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objeto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descrito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0C0C0C"/>
          <w:sz w:val="24"/>
          <w:szCs w:val="24"/>
        </w:rPr>
        <w:t>acima</w:t>
      </w:r>
      <w:r>
        <w:rPr>
          <w:rFonts w:hint="default" w:ascii="Times New Roman" w:hAnsi="Times New Roman" w:cs="Times New Roman"/>
          <w:color w:val="0C0C0C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0E0E0E"/>
          <w:sz w:val="24"/>
          <w:szCs w:val="24"/>
        </w:rPr>
        <w:t>é</w:t>
      </w:r>
      <w:r>
        <w:rPr>
          <w:rFonts w:hint="default" w:ascii="Times New Roman" w:hAnsi="Times New Roman" w:cs="Times New Roman"/>
          <w:color w:val="0E0E0E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131313"/>
          <w:sz w:val="24"/>
          <w:szCs w:val="24"/>
        </w:rPr>
        <w:t xml:space="preserve">de </w:t>
      </w:r>
      <w:r>
        <w:rPr>
          <w:rFonts w:hint="default" w:cs="Times New Roman"/>
          <w:color w:val="131313"/>
          <w:sz w:val="24"/>
          <w:szCs w:val="24"/>
          <w:lang w:val="pt-BR"/>
        </w:rPr>
        <w:t xml:space="preserve">aproximadamente </w:t>
      </w:r>
      <w:r>
        <w:rPr>
          <w:rFonts w:hint="default" w:ascii="Times New Roman" w:hAnsi="Times New Roman" w:cs="Times New Roman"/>
          <w:color w:val="131313"/>
          <w:sz w:val="24"/>
          <w:szCs w:val="24"/>
          <w:lang w:val="pt-BR"/>
        </w:rPr>
        <w:t xml:space="preserve">R$ </w:t>
      </w:r>
      <w:r>
        <w:rPr>
          <w:rFonts w:hint="default" w:cs="Times New Roman"/>
          <w:color w:val="131313"/>
          <w:sz w:val="24"/>
          <w:szCs w:val="24"/>
          <w:lang w:val="pt-BR"/>
        </w:rPr>
        <w:t>42.299</w:t>
      </w:r>
      <w:r>
        <w:rPr>
          <w:rFonts w:hint="default" w:ascii="Times New Roman" w:hAnsi="Times New Roman" w:cs="Times New Roman"/>
          <w:color w:val="131313"/>
          <w:sz w:val="24"/>
          <w:szCs w:val="24"/>
          <w:lang w:val="pt-BR"/>
        </w:rPr>
        <w:t>,00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cs="Times New Roman"/>
          <w:spacing w:val="-4"/>
          <w:sz w:val="24"/>
          <w:szCs w:val="24"/>
          <w:lang w:val="pt-BR"/>
        </w:rPr>
        <w:t xml:space="preserve">(quarenta e dois mil e duzentos e noventa e nove reais) </w:t>
      </w:r>
      <w:r>
        <w:rPr>
          <w:rFonts w:hint="default" w:ascii="Times New Roman" w:hAnsi="Times New Roman" w:cs="Times New Roman"/>
          <w:sz w:val="24"/>
          <w:szCs w:val="24"/>
        </w:rPr>
        <w:t>considerando os</w:t>
      </w:r>
      <w:r>
        <w:rPr>
          <w:rFonts w:hint="default"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111111"/>
          <w:sz w:val="24"/>
          <w:szCs w:val="24"/>
        </w:rPr>
        <w:t>valores</w:t>
      </w:r>
      <w:r>
        <w:rPr>
          <w:rFonts w:hint="default" w:ascii="Times New Roman" w:hAnsi="Times New Roman" w:cs="Times New Roman"/>
          <w:color w:val="111111"/>
          <w:spacing w:val="-8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obtidos</w:t>
      </w:r>
      <w:r>
        <w:rPr>
          <w:rFonts w:hint="default"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na</w:t>
      </w:r>
      <w:r>
        <w:rPr>
          <w:rFonts w:hint="default"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pesquisa</w:t>
      </w:r>
      <w:r>
        <w:rPr>
          <w:rFonts w:hint="default"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111111"/>
          <w:sz w:val="24"/>
          <w:szCs w:val="24"/>
        </w:rPr>
        <w:t>de</w:t>
      </w:r>
      <w:r>
        <w:rPr>
          <w:rFonts w:hint="default" w:ascii="Times New Roman" w:hAnsi="Times New Roman" w:cs="Times New Roman"/>
          <w:color w:val="111111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mercado</w:t>
      </w:r>
      <w:r>
        <w:rPr>
          <w:rFonts w:hint="default" w:cs="Times New Roman"/>
          <w:sz w:val="24"/>
          <w:szCs w:val="24"/>
          <w:lang w:val="pt-BR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em empresas da região </w:t>
      </w:r>
      <w:r>
        <w:rPr>
          <w:rFonts w:hint="default" w:cs="Times New Roman"/>
          <w:sz w:val="24"/>
          <w:szCs w:val="24"/>
          <w:lang w:val="pt-BR"/>
        </w:rPr>
        <w:t xml:space="preserve">praticantes desse segmento, considerando também sites eletrônicos,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chegando a um valor</w:t>
      </w:r>
      <w:r>
        <w:rPr>
          <w:rFonts w:hint="default"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conforme descrito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.</w:t>
      </w:r>
    </w:p>
    <w:p w14:paraId="7CC28512">
      <w:pPr>
        <w:jc w:val="both"/>
        <w:rPr>
          <w:rFonts w:hint="default" w:ascii="Times New Roman" w:hAnsi="Times New Roman" w:cs="Times New Roman"/>
          <w:bCs/>
          <w:color w:val="FF0000"/>
          <w:sz w:val="24"/>
          <w:szCs w:val="24"/>
          <w:lang w:val="pt-BR"/>
        </w:rPr>
      </w:pPr>
    </w:p>
    <w:p w14:paraId="7F0AA319">
      <w:pPr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1.6. Registro de Preços: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(  ) SIM    (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x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 ) NÃO </w:t>
      </w:r>
    </w:p>
    <w:p w14:paraId="08BAEC8C">
      <w:pPr>
        <w:jc w:val="both"/>
        <w:rPr>
          <w:rFonts w:hint="default" w:ascii="Times New Roman" w:hAnsi="Times New Roman" w:cs="Times New Roman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Compra direta</w:t>
      </w:r>
    </w:p>
    <w:p w14:paraId="2DB1D66D">
      <w:pPr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 </w:t>
      </w:r>
    </w:p>
    <w:p w14:paraId="37D39087">
      <w:pPr>
        <w:numPr>
          <w:ilvl w:val="0"/>
          <w:numId w:val="1"/>
        </w:numPr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Justificativa: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A compra direta de </w:t>
      </w:r>
      <w:r>
        <w:rPr>
          <w:rFonts w:hint="default" w:ascii="Times New Roman" w:hAnsi="Times New Roman"/>
          <w:b/>
          <w:bCs w:val="0"/>
          <w:sz w:val="24"/>
          <w:lang w:val="pt-BR"/>
        </w:rPr>
        <w:t>MÓVEIS E EQUIPAMENTOS ELETRODOMÉSTICOS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para o Cozinhalimento </w:t>
      </w:r>
      <w:r>
        <w:rPr>
          <w:rFonts w:hint="default" w:ascii="Times New Roman" w:hAnsi="Times New Roman" w:eastAsia="SimSun" w:cs="Times New Roman"/>
          <w:sz w:val="24"/>
          <w:szCs w:val="24"/>
        </w:rPr>
        <w:t>justifica-se pela necessidade de atender ao convênio do Cozinhalimento, firmado entre a Secretaria de Agricultura e Meio Ambiente do Município de Quatá e o Governo do Estado de São Paulo.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A escolha pela compra direta se baseia em fatores de urgência e necessidade de agilidade para o cumprimento das metas estabelecidas no convênio, com o intuito de não comprometer o cronograma de implementação das ações previstas.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 xml:space="preserve">Os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pt-BR"/>
        </w:rPr>
        <w:t>itens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 xml:space="preserve"> solicitados são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pt-BR"/>
        </w:rPr>
        <w:t xml:space="preserve"> para o cumprimento do convênio, d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essa forma, permitindo que a cozinha esteja pronta para iniciar suas atividades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pt-BR"/>
        </w:rPr>
        <w:t xml:space="preserve"> e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 xml:space="preserve"> atend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pt-BR"/>
        </w:rPr>
        <w:t>a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pt-BR"/>
        </w:rPr>
        <w:t xml:space="preserve">aos objetivos do programa (capacitação de agentes multiplicadores das ações de segurança alimentar e nutricional sustentável nos municípios conveniados; conscientizar práticas alimentares saudáveis e equilibradas; realizar cursos, palestras, treinamentos e eventos educativos visando a educação nutricional, o combate ao desperdício, a manipulação adequada e o incentivo ao empreendedorismo; promover o desenvolvimento local, com cursos e palestras que ofereçam capacitação e geração de renda),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garantindo a correta aplicação dos recursos do convênio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pt-BR"/>
        </w:rPr>
        <w:t xml:space="preserve">.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Portanto, a aquisição dos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/>
          <w:b/>
          <w:bCs w:val="0"/>
          <w:sz w:val="24"/>
          <w:lang w:val="pt-BR"/>
        </w:rPr>
        <w:t xml:space="preserve">MÓVEIS E EQUIPAMENTOS ELETRODOMÉSTICOS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 xml:space="preserve">por meio de compra direta é justificada pela urgência, pela necessidade de cumprimento das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pt-BR"/>
        </w:rPr>
        <w:t xml:space="preserve">exigências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 xml:space="preserve">do convênio e pela garantia de melhores condições de trabalho e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pt-BR"/>
        </w:rPr>
        <w:t xml:space="preserve">atendimento aos objetivos 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</w:rPr>
        <w:t>do programa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pt-BR"/>
        </w:rPr>
        <w:t xml:space="preserve"> Cozinhalimento.</w:t>
      </w:r>
    </w:p>
    <w:p w14:paraId="7598C872"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D28B71C"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3- Dotação orçamentária (Lei de responsabilidade fiscal LC101/00 art. 16 em especial) </w:t>
      </w:r>
    </w:p>
    <w:p w14:paraId="3E05812B"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 w:val="0"/>
          <w:color w:val="auto"/>
          <w:sz w:val="24"/>
          <w:szCs w:val="24"/>
        </w:rPr>
      </w:pP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4306"/>
        <w:gridCol w:w="4268"/>
      </w:tblGrid>
      <w:tr w14:paraId="210AF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8" w:type="dxa"/>
            <w:shd w:val="clear" w:color="auto" w:fill="auto"/>
          </w:tcPr>
          <w:p w14:paraId="743919D9">
            <w:pPr>
              <w:jc w:val="both"/>
              <w:rPr>
                <w:rFonts w:hint="default" w:ascii="Times New Roman" w:hAnsi="Times New Roman" w:cs="Times New Roman"/>
                <w:b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color w:val="auto"/>
                <w:sz w:val="24"/>
                <w:szCs w:val="24"/>
              </w:rPr>
              <w:t>Ficha</w:t>
            </w:r>
          </w:p>
        </w:tc>
        <w:tc>
          <w:tcPr>
            <w:tcW w:w="4306" w:type="dxa"/>
            <w:shd w:val="clear" w:color="auto" w:fill="auto"/>
          </w:tcPr>
          <w:p w14:paraId="4DA181C2">
            <w:pPr>
              <w:jc w:val="both"/>
              <w:rPr>
                <w:rFonts w:hint="default" w:ascii="Times New Roman" w:hAnsi="Times New Roman" w:cs="Times New Roman"/>
                <w:b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color w:val="auto"/>
                <w:sz w:val="24"/>
                <w:szCs w:val="24"/>
              </w:rPr>
              <w:t>Programática</w:t>
            </w:r>
          </w:p>
        </w:tc>
        <w:tc>
          <w:tcPr>
            <w:tcW w:w="4268" w:type="dxa"/>
            <w:shd w:val="clear" w:color="auto" w:fill="auto"/>
          </w:tcPr>
          <w:p w14:paraId="47FBC6EB">
            <w:pPr>
              <w:jc w:val="both"/>
              <w:rPr>
                <w:rFonts w:hint="default" w:ascii="Times New Roman" w:hAnsi="Times New Roman" w:cs="Times New Roman"/>
                <w:b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color w:val="auto"/>
                <w:sz w:val="24"/>
                <w:szCs w:val="24"/>
              </w:rPr>
              <w:t>Fonte</w:t>
            </w:r>
          </w:p>
        </w:tc>
      </w:tr>
      <w:tr w14:paraId="4C2F4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8" w:type="dxa"/>
            <w:shd w:val="clear" w:color="auto" w:fill="auto"/>
          </w:tcPr>
          <w:p w14:paraId="4E2E3184">
            <w:pPr>
              <w:jc w:val="both"/>
              <w:rPr>
                <w:rFonts w:hint="default" w:ascii="Times New Roman" w:hAnsi="Times New Roman" w:cs="Times New Roman"/>
                <w:bCs/>
                <w:color w:val="auto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 w:val="24"/>
                <w:szCs w:val="24"/>
                <w:lang w:val="pt-BR"/>
              </w:rPr>
              <w:t>614</w:t>
            </w:r>
          </w:p>
        </w:tc>
        <w:tc>
          <w:tcPr>
            <w:tcW w:w="4306" w:type="dxa"/>
            <w:shd w:val="clear" w:color="auto" w:fill="auto"/>
          </w:tcPr>
          <w:p w14:paraId="4DFB98CE">
            <w:pPr>
              <w:jc w:val="both"/>
              <w:rPr>
                <w:rFonts w:hint="default" w:ascii="Times New Roman" w:hAnsi="Times New Roman" w:cs="Times New Roman"/>
                <w:bCs/>
                <w:color w:val="auto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 w:val="24"/>
                <w:szCs w:val="24"/>
                <w:lang w:val="pt-BR"/>
              </w:rPr>
              <w:t xml:space="preserve">Cozinha piloto alimento </w:t>
            </w:r>
          </w:p>
          <w:p w14:paraId="43F06ED9">
            <w:pPr>
              <w:jc w:val="both"/>
              <w:rPr>
                <w:rFonts w:hint="default" w:ascii="Times New Roman" w:hAnsi="Times New Roman" w:cs="Times New Roman"/>
                <w:bCs/>
                <w:color w:val="auto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 w:val="24"/>
                <w:szCs w:val="24"/>
                <w:lang w:val="pt-BR"/>
              </w:rPr>
              <w:t>(material permanente)</w:t>
            </w:r>
          </w:p>
        </w:tc>
        <w:tc>
          <w:tcPr>
            <w:tcW w:w="4268" w:type="dxa"/>
            <w:shd w:val="clear" w:color="auto" w:fill="auto"/>
          </w:tcPr>
          <w:p w14:paraId="58158229">
            <w:pPr>
              <w:jc w:val="both"/>
              <w:rPr>
                <w:rFonts w:hint="default" w:ascii="Times New Roman" w:hAnsi="Times New Roman" w:cs="Times New Roman"/>
                <w:bCs/>
                <w:color w:val="auto"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 w:val="24"/>
                <w:szCs w:val="24"/>
                <w:lang w:val="pt-BR"/>
              </w:rPr>
              <w:t>Convênio (recurso estadual)</w:t>
            </w:r>
          </w:p>
        </w:tc>
      </w:tr>
    </w:tbl>
    <w:p w14:paraId="3698F8F6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5CCFED5">
      <w:pPr>
        <w:jc w:val="both"/>
        <w:rPr>
          <w:rFonts w:hint="default" w:ascii="Times New Roman" w:hAnsi="Times New Roman" w:cs="Times New Roman"/>
          <w:b w:val="0"/>
          <w:bCs w:val="0"/>
          <w:color w:val="FF0000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3.1. Origem do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 xml:space="preserve">recurso: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pt-BR"/>
        </w:rPr>
        <w:t>repasse esfera Estadual.</w:t>
      </w:r>
    </w:p>
    <w:p w14:paraId="0F175B3D">
      <w:pPr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</w:p>
    <w:p w14:paraId="04592A04">
      <w:pPr>
        <w:jc w:val="both"/>
        <w:rPr>
          <w:rFonts w:hint="default" w:ascii="Times New Roman" w:hAnsi="Times New Roman"/>
          <w:sz w:val="24"/>
          <w:lang w:val="pt-B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4- Condições de habilitação: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pt-BR"/>
        </w:rPr>
        <w:t>E</w:t>
      </w:r>
      <w:r>
        <w:rPr>
          <w:rFonts w:hint="default" w:ascii="Times New Roman" w:hAnsi="Times New Roman" w:cs="Times New Roman"/>
          <w:sz w:val="24"/>
          <w:szCs w:val="24"/>
        </w:rPr>
        <w:t>mpresa deve estar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apta</w:t>
      </w:r>
      <w:r>
        <w:rPr>
          <w:rFonts w:hint="default" w:ascii="Times New Roman" w:hAnsi="Times New Roman" w:cs="Times New Roman"/>
          <w:sz w:val="24"/>
          <w:szCs w:val="24"/>
        </w:rPr>
        <w:t xml:space="preserve"> para contratação públic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a, com</w:t>
      </w:r>
      <w:r>
        <w:rPr>
          <w:rFonts w:hint="default" w:ascii="Times New Roman" w:hAnsi="Times New Roman"/>
          <w:sz w:val="24"/>
          <w:lang w:val="pt-BR"/>
        </w:rPr>
        <w:t xml:space="preserve"> CNPJ ativo e possuir CNAE compatível com o produto/serviço solicitado (conforme item 1)</w:t>
      </w:r>
    </w:p>
    <w:p w14:paraId="2FA0555F">
      <w:pPr>
        <w:jc w:val="both"/>
        <w:rPr>
          <w:rFonts w:ascii="Times New Roman" w:hAnsi="Times New Roman"/>
          <w:b/>
          <w:bCs/>
          <w:sz w:val="24"/>
        </w:rPr>
      </w:pPr>
    </w:p>
    <w:p w14:paraId="4F089C5E">
      <w:pPr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5- Condições de execução do objeto: </w:t>
      </w:r>
    </w:p>
    <w:p w14:paraId="28FE346C">
      <w:pPr>
        <w:jc w:val="both"/>
        <w:rPr>
          <w:rFonts w:hint="default" w:ascii="Times New Roman" w:hAnsi="Times New Roman"/>
          <w:color w:val="auto"/>
          <w:sz w:val="24"/>
          <w:lang w:val="pt-BR"/>
        </w:rPr>
      </w:pPr>
      <w:r>
        <w:rPr>
          <w:rFonts w:ascii="Times New Roman" w:hAnsi="Times New Roman"/>
          <w:b/>
          <w:bCs/>
          <w:sz w:val="24"/>
        </w:rPr>
        <w:t xml:space="preserve">5.1 – Prazo e forma de entrega/execução:  </w:t>
      </w:r>
      <w:r>
        <w:rPr>
          <w:rFonts w:ascii="Times New Roman" w:hAnsi="Times New Roman"/>
          <w:color w:val="auto"/>
          <w:sz w:val="24"/>
        </w:rPr>
        <w:t xml:space="preserve">Os produtos devem </w:t>
      </w:r>
      <w:r>
        <w:rPr>
          <w:rFonts w:hint="default" w:ascii="Times New Roman" w:hAnsi="Times New Roman"/>
          <w:color w:val="auto"/>
          <w:sz w:val="24"/>
          <w:lang w:val="pt-BR"/>
        </w:rPr>
        <w:t>ser novos e atender ao descritivo de cada produto listado no Item 1 deste documento. A entrega será única, imediata e  TOTAL do empenho por conta da contratada, no prazo  máximo de 15 dias úteis  a partir do recebimento do empenho.</w:t>
      </w:r>
    </w:p>
    <w:p w14:paraId="66AB9E6E">
      <w:pPr>
        <w:jc w:val="both"/>
        <w:rPr>
          <w:rFonts w:hint="default" w:ascii="Times New Roman" w:hAnsi="Times New Roman"/>
          <w:color w:val="auto"/>
          <w:sz w:val="24"/>
          <w:lang w:val="pt-BR"/>
        </w:rPr>
      </w:pPr>
      <w:r>
        <w:rPr>
          <w:rFonts w:hint="default" w:ascii="Times New Roman" w:hAnsi="Times New Roman"/>
          <w:color w:val="auto"/>
          <w:sz w:val="24"/>
          <w:lang w:val="pt-BR"/>
        </w:rPr>
        <w:t xml:space="preserve">O empenho deverá acompanhar a respectiva nota fiscal eletrônica com informações de dados bancários para pagamento. Os produtos que não atenderem às especificações descritas neste termo serão recusados no ato da entrega e terão prazo de 15 dias úteis para nova entrega.  </w:t>
      </w:r>
    </w:p>
    <w:p w14:paraId="685BD78B"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/>
        <w:jc w:val="both"/>
        <w:textAlignment w:val="auto"/>
        <w:rPr>
          <w:rFonts w:hint="default" w:ascii="Times New Roman" w:hAnsi="Times New Roman"/>
          <w:color w:val="auto"/>
          <w:sz w:val="24"/>
          <w:lang w:val="pt-BR"/>
        </w:rPr>
      </w:pPr>
      <w:r>
        <w:rPr>
          <w:rFonts w:hint="default" w:ascii="Times New Roman" w:hAnsi="Times New Roman"/>
          <w:color w:val="auto"/>
          <w:sz w:val="24"/>
          <w:lang w:val="pt-BR"/>
        </w:rPr>
        <w:t xml:space="preserve">No caso do item 9 (prateleira), além da entrega, a contratada ficará responsável pela instalação/fixação da mesma no local da cozinha piloto, </w:t>
      </w:r>
      <w:r>
        <w:rPr>
          <w:rFonts w:hint="default"/>
          <w:color w:val="auto"/>
          <w:sz w:val="24"/>
          <w:lang w:val="pt-BR"/>
        </w:rPr>
        <w:t xml:space="preserve">no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pt-BR"/>
        </w:rPr>
        <w:t xml:space="preserve">prédio da Secretaria de Agricultura e Meio Ambiente (Sindicato Rural) localizado na </w:t>
      </w:r>
      <w:r>
        <w:rPr>
          <w:rStyle w:val="7"/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Rua Tertuliano Roncada, 285 -</w:t>
      </w:r>
      <w:r>
        <w:rPr>
          <w:rStyle w:val="7"/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pt-BR"/>
        </w:rPr>
        <w:t xml:space="preserve"> bairro</w:t>
      </w:r>
      <w:r>
        <w:rPr>
          <w:rStyle w:val="7"/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Pedregal</w:t>
      </w:r>
      <w:r>
        <w:rPr>
          <w:rStyle w:val="7"/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pt-BR"/>
        </w:rPr>
        <w:t xml:space="preserve">, esquina com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pt-BR"/>
        </w:rPr>
        <w:t xml:space="preserve">Anel Viário Jenny Guerra Pereira dos Santo -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Quatá - SP, 19780-000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pt-BR"/>
        </w:rPr>
        <w:t>).</w:t>
      </w:r>
    </w:p>
    <w:p w14:paraId="7292B467">
      <w:pPr>
        <w:jc w:val="both"/>
        <w:rPr>
          <w:rFonts w:ascii="Times New Roman" w:hAnsi="Times New Roman"/>
          <w:b/>
          <w:bCs/>
          <w:sz w:val="24"/>
        </w:rPr>
      </w:pPr>
    </w:p>
    <w:p w14:paraId="402C635F">
      <w:pPr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5.2 – Local de entrega/execução, responsável pelo recebimento do objeto: </w:t>
      </w:r>
    </w:p>
    <w:p w14:paraId="5EF12550"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/>
        <w:jc w:val="both"/>
        <w:textAlignment w:val="auto"/>
        <w:rPr>
          <w:rFonts w:hint="default" w:ascii="Times New Roman" w:hAnsi="Times New Roman"/>
          <w:b/>
          <w:bCs/>
          <w:color w:val="auto"/>
          <w:sz w:val="24"/>
          <w:lang w:val="pt-BR"/>
        </w:rPr>
      </w:pPr>
      <w:r>
        <w:rPr>
          <w:rFonts w:hint="default" w:ascii="Times New Roman" w:hAnsi="Times New Roman"/>
          <w:iCs/>
          <w:color w:val="auto"/>
          <w:sz w:val="24"/>
          <w:lang w:val="pt-BR"/>
        </w:rPr>
        <w:t>A entrega deve ser feita no A</w:t>
      </w:r>
      <w:r>
        <w:rPr>
          <w:rFonts w:ascii="Times New Roman" w:hAnsi="Times New Roman"/>
          <w:iCs/>
          <w:color w:val="auto"/>
          <w:sz w:val="24"/>
        </w:rPr>
        <w:t xml:space="preserve">lmoxarifado </w:t>
      </w:r>
      <w:r>
        <w:rPr>
          <w:rFonts w:hint="default" w:ascii="Times New Roman" w:hAnsi="Times New Roman"/>
          <w:iCs/>
          <w:color w:val="auto"/>
          <w:sz w:val="24"/>
          <w:lang w:val="pt-BR"/>
        </w:rPr>
        <w:t>M</w:t>
      </w:r>
      <w:r>
        <w:rPr>
          <w:rFonts w:ascii="Times New Roman" w:hAnsi="Times New Roman"/>
          <w:iCs/>
          <w:color w:val="auto"/>
          <w:sz w:val="24"/>
        </w:rPr>
        <w:t>unicipal,</w:t>
      </w:r>
      <w:r>
        <w:rPr>
          <w:rFonts w:hint="default" w:ascii="Times New Roman" w:hAnsi="Times New Roman"/>
          <w:iCs/>
          <w:color w:val="auto"/>
          <w:sz w:val="24"/>
          <w:lang w:val="pt-BR"/>
        </w:rPr>
        <w:t xml:space="preserve"> localizado na rua: Carlos Bleinroth S/N, em frente ao portal do Cristo na entrada da cidade, Quatá - SP - CEP: 19.780.025 - em dias úteis, obedecendo o caldendário municipal, das 7:00h às 11horas e de 13h às 16h. Responsável pelo recebimento: José Airton Vieira de Jesus - Almoxarife. Quantos aos itens que necessitam de instalação, a execução será no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pt-BR"/>
        </w:rPr>
        <w:t xml:space="preserve">prédio da Secretaria de Agricultura e Meio Ambiente (Sindicato Rural) localizado na </w:t>
      </w:r>
      <w:r>
        <w:rPr>
          <w:rStyle w:val="7"/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Rua Tertuliano Roncada, 285 -</w:t>
      </w:r>
      <w:r>
        <w:rPr>
          <w:rStyle w:val="7"/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pt-BR"/>
        </w:rPr>
        <w:t xml:space="preserve"> bairro</w:t>
      </w:r>
      <w:r>
        <w:rPr>
          <w:rStyle w:val="7"/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Pedregal</w:t>
      </w:r>
      <w:r>
        <w:rPr>
          <w:rStyle w:val="7"/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pt-BR"/>
        </w:rPr>
        <w:t xml:space="preserve">, esquina com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pt-BR"/>
        </w:rPr>
        <w:t xml:space="preserve">Anel Viário Jenny Guerra Pereira dos Santo -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Quatá - SP, 19780-000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pt-BR"/>
        </w:rPr>
        <w:t>)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pt-BR"/>
        </w:rPr>
        <w:t>, a responsável por acompanhar será Aline josé da Silva - Diretora de Agricultura e Meio Ambiente.</w:t>
      </w:r>
      <w:r>
        <w:rPr>
          <w:rFonts w:hint="default" w:ascii="Times New Roman" w:hAnsi="Times New Roman"/>
          <w:iCs/>
          <w:color w:val="auto"/>
          <w:sz w:val="24"/>
          <w:lang w:val="pt-BR"/>
        </w:rPr>
        <w:t xml:space="preserve"> </w:t>
      </w:r>
    </w:p>
    <w:p w14:paraId="52886F7F">
      <w:pPr>
        <w:jc w:val="both"/>
        <w:rPr>
          <w:rFonts w:ascii="Times New Roman" w:hAnsi="Times New Roman"/>
          <w:iCs/>
          <w:color w:val="FF0000"/>
          <w:sz w:val="24"/>
        </w:rPr>
      </w:pPr>
    </w:p>
    <w:p w14:paraId="38387617">
      <w:pPr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5.3 – Condições de garantia e assistência técnica: </w:t>
      </w:r>
    </w:p>
    <w:p w14:paraId="273E66A0">
      <w:pPr>
        <w:jc w:val="both"/>
        <w:rPr>
          <w:rFonts w:hint="default" w:ascii="Times New Roman" w:hAnsi="Times New Roman"/>
          <w:sz w:val="24"/>
          <w:lang w:val="pt-BR"/>
        </w:rPr>
      </w:pPr>
      <w:r>
        <w:rPr>
          <w:rFonts w:hint="default" w:ascii="Times New Roman" w:hAnsi="Times New Roman"/>
          <w:sz w:val="24"/>
          <w:lang w:val="pt-BR"/>
        </w:rPr>
        <w:t>Garantia: devem ser cobertas as garantias legais (90 dias) para cada item, de acordo com a legislação brasileira do código de defesa do consumidor, ou então a garantia contratual de 12 meses, cabendo à empresa garantir o cumprimento em eventual necessidade de uso da garantia, com a troca do produto e/ou a assistência técnica garantida sem ônus à contratante.</w:t>
      </w:r>
    </w:p>
    <w:p w14:paraId="49D6D9D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Data de Fabricação:</w:t>
      </w:r>
      <w:r>
        <w:rPr>
          <w:rFonts w:hint="default" w:ascii="Times New Roman" w:hAnsi="Times New Roman"/>
          <w:sz w:val="24"/>
          <w:lang w:val="pt-BR"/>
        </w:rPr>
        <w:t xml:space="preserve"> devem estar devidamente identificadas e </w:t>
      </w:r>
      <w:r>
        <w:rPr>
          <w:rFonts w:ascii="Times New Roman" w:hAnsi="Times New Roman"/>
          <w:sz w:val="24"/>
        </w:rPr>
        <w:t>visível para facilitar a conferência.</w:t>
      </w:r>
    </w:p>
    <w:p w14:paraId="3F4D1707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Substituição em Caso de não conformidade:</w:t>
      </w:r>
    </w:p>
    <w:p w14:paraId="170F546B">
      <w:pPr>
        <w:jc w:val="both"/>
        <w:rPr>
          <w:rFonts w:hint="default" w:ascii="Times New Roman" w:hAnsi="Times New Roman"/>
          <w:color w:val="auto"/>
          <w:sz w:val="24"/>
          <w:lang w:val="pt-BR"/>
        </w:rPr>
      </w:pPr>
      <w:r>
        <w:rPr>
          <w:rFonts w:hint="default" w:ascii="Times New Roman" w:hAnsi="Times New Roman"/>
          <w:color w:val="auto"/>
          <w:sz w:val="24"/>
          <w:lang w:val="pt-BR"/>
        </w:rPr>
        <w:t xml:space="preserve">Os produtos que não atenderem às especificações descritas neste termo serão recusados no ato da entrega e terão prazo de 15 dias úteis para nova entrega.  </w:t>
      </w:r>
    </w:p>
    <w:p w14:paraId="0E7F4FDD">
      <w:pPr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>O fornecedor deve ser notificado imediatamente em caso de produtos fora da conformidade</w:t>
      </w:r>
      <w:r>
        <w:rPr>
          <w:rFonts w:ascii="Times New Roman" w:hAnsi="Times New Roman"/>
          <w:b/>
          <w:bCs/>
          <w:sz w:val="24"/>
        </w:rPr>
        <w:t>.</w:t>
      </w:r>
    </w:p>
    <w:p w14:paraId="371B5837">
      <w:pPr>
        <w:jc w:val="both"/>
        <w:rPr>
          <w:rFonts w:ascii="Times New Roman" w:hAnsi="Times New Roman"/>
          <w:b/>
          <w:bCs/>
          <w:sz w:val="24"/>
        </w:rPr>
      </w:pPr>
    </w:p>
    <w:p w14:paraId="60D1EF09">
      <w:pPr>
        <w:jc w:val="both"/>
        <w:rPr>
          <w:rFonts w:hint="default" w:ascii="Times New Roman" w:hAnsi="Times New Roman"/>
          <w:b w:val="0"/>
          <w:bCs w:val="0"/>
          <w:color w:val="auto"/>
          <w:sz w:val="24"/>
          <w:lang w:val="pt-BR"/>
        </w:rPr>
      </w:pPr>
      <w:r>
        <w:rPr>
          <w:rFonts w:ascii="Times New Roman" w:hAnsi="Times New Roman"/>
          <w:b/>
          <w:bCs/>
          <w:sz w:val="24"/>
        </w:rPr>
        <w:t>5.4 – Prazo de vigência da contratação:</w:t>
      </w:r>
      <w:r>
        <w:rPr>
          <w:rFonts w:hint="default" w:ascii="Times New Roman" w:hAnsi="Times New Roman"/>
          <w:b/>
          <w:bCs/>
          <w:sz w:val="24"/>
          <w:lang w:val="pt-BR"/>
        </w:rPr>
        <w:t xml:space="preserve"> </w:t>
      </w:r>
      <w:r>
        <w:rPr>
          <w:rFonts w:hint="default" w:ascii="Times New Roman" w:hAnsi="Times New Roman"/>
          <w:b w:val="0"/>
          <w:bCs w:val="0"/>
          <w:color w:val="auto"/>
          <w:sz w:val="24"/>
          <w:lang w:val="pt-BR"/>
        </w:rPr>
        <w:t xml:space="preserve">Parcela única, total do empenho, vigência máxima de 45 dias. </w:t>
      </w:r>
    </w:p>
    <w:p w14:paraId="0365D068">
      <w:pPr>
        <w:jc w:val="both"/>
        <w:rPr>
          <w:rFonts w:hint="default" w:ascii="Times New Roman" w:hAnsi="Times New Roman"/>
          <w:b/>
          <w:bCs/>
          <w:sz w:val="24"/>
          <w:lang w:val="pt-BR"/>
        </w:rPr>
      </w:pPr>
    </w:p>
    <w:p w14:paraId="5B09B208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5.5 – Demais informações necessárias para execução do objeto: </w:t>
      </w:r>
      <w:r>
        <w:rPr>
          <w:rFonts w:ascii="Times New Roman" w:hAnsi="Times New Roman"/>
          <w:sz w:val="24"/>
        </w:rPr>
        <w:t>não há</w:t>
      </w:r>
    </w:p>
    <w:p w14:paraId="49F9DCC1">
      <w:pPr>
        <w:jc w:val="both"/>
        <w:rPr>
          <w:rFonts w:ascii="Times New Roman" w:hAnsi="Times New Roman"/>
          <w:b/>
          <w:bCs/>
          <w:sz w:val="24"/>
        </w:rPr>
      </w:pPr>
    </w:p>
    <w:p w14:paraId="3108CFD8">
      <w:pPr>
        <w:autoSpaceDE w:val="0"/>
        <w:autoSpaceDN w:val="0"/>
        <w:adjustRightInd w:val="0"/>
        <w:jc w:val="both"/>
        <w:rPr>
          <w:rFonts w:hint="default" w:ascii="Times New Roman" w:hAnsi="Times New Roman"/>
          <w:bCs/>
          <w:sz w:val="24"/>
          <w:lang w:val="pt-BR"/>
        </w:rPr>
      </w:pPr>
      <w:r>
        <w:rPr>
          <w:rFonts w:ascii="Times New Roman" w:hAnsi="Times New Roman"/>
          <w:b/>
          <w:sz w:val="24"/>
        </w:rPr>
        <w:t xml:space="preserve">6- Obrigações da contratada: </w:t>
      </w:r>
    </w:p>
    <w:p w14:paraId="0E128E55">
      <w:pPr>
        <w:tabs>
          <w:tab w:val="left" w:pos="6825"/>
        </w:tabs>
        <w:jc w:val="both"/>
        <w:rPr>
          <w:rFonts w:ascii="Times New Roman" w:hAnsi="Times New Roman" w:eastAsia="SimSun"/>
          <w:sz w:val="24"/>
        </w:rPr>
      </w:pPr>
      <w:r>
        <w:rPr>
          <w:rFonts w:ascii="Times New Roman" w:hAnsi="Times New Roman" w:eastAsia="SimSun"/>
          <w:sz w:val="24"/>
        </w:rPr>
        <w:t xml:space="preserve">A Contratada deve cumprir todas as obrigações constantes deste Termo de Referência e sua proposta, assumindo como exclusivamente seus os riscos e as despesas decorrentes da boa e perfeita execução do objeto e, ainda: </w:t>
      </w:r>
    </w:p>
    <w:p w14:paraId="78EB16C3">
      <w:pPr>
        <w:tabs>
          <w:tab w:val="left" w:pos="6825"/>
        </w:tabs>
        <w:jc w:val="both"/>
        <w:rPr>
          <w:rFonts w:ascii="Times New Roman" w:hAnsi="Times New Roman" w:eastAsia="SimSun"/>
          <w:sz w:val="24"/>
        </w:rPr>
      </w:pPr>
      <w:r>
        <w:rPr>
          <w:rFonts w:hint="default" w:ascii="Times New Roman" w:hAnsi="Times New Roman" w:eastAsia="SimSun"/>
          <w:sz w:val="24"/>
          <w:lang w:val="pt-BR"/>
        </w:rPr>
        <w:t xml:space="preserve">- </w:t>
      </w:r>
      <w:r>
        <w:rPr>
          <w:rFonts w:ascii="Times New Roman" w:hAnsi="Times New Roman" w:eastAsia="SimSun"/>
          <w:sz w:val="24"/>
        </w:rPr>
        <w:t xml:space="preserve">Efetuar a entrega do objeto em perfeitas condições, conforme especificações, prazo e local constantes no Termo de Referência e sua proposta, acompanhado da respectiva nota fiscal, na qual constarão as indicações referentes a marca. </w:t>
      </w:r>
    </w:p>
    <w:p w14:paraId="6DD52668">
      <w:pPr>
        <w:tabs>
          <w:tab w:val="left" w:pos="6825"/>
        </w:tabs>
        <w:jc w:val="both"/>
        <w:rPr>
          <w:rFonts w:ascii="Times New Roman" w:hAnsi="Times New Roman" w:eastAsia="SimSun"/>
          <w:sz w:val="24"/>
        </w:rPr>
      </w:pPr>
      <w:r>
        <w:rPr>
          <w:rFonts w:hint="default" w:ascii="Times New Roman" w:hAnsi="Times New Roman" w:eastAsia="SimSun"/>
          <w:sz w:val="24"/>
          <w:lang w:val="pt-BR"/>
        </w:rPr>
        <w:t xml:space="preserve">- </w:t>
      </w:r>
      <w:r>
        <w:rPr>
          <w:rFonts w:ascii="Times New Roman" w:hAnsi="Times New Roman" w:eastAsia="SimSun"/>
          <w:sz w:val="24"/>
        </w:rPr>
        <w:t xml:space="preserve">Responsabilizar-se pelos vícios e danos decorrentes do objeto, de acordo com os artigos 12, 13 e 17 a 27, do Código de Defesa do Consumidor (Lei no 8.078, de 1990); </w:t>
      </w:r>
    </w:p>
    <w:p w14:paraId="252F4F75">
      <w:pPr>
        <w:tabs>
          <w:tab w:val="left" w:pos="6825"/>
        </w:tabs>
        <w:jc w:val="both"/>
        <w:rPr>
          <w:rFonts w:ascii="Times New Roman" w:hAnsi="Times New Roman" w:eastAsia="SimSun"/>
          <w:sz w:val="24"/>
        </w:rPr>
      </w:pPr>
      <w:r>
        <w:rPr>
          <w:rFonts w:hint="default" w:ascii="Times New Roman" w:hAnsi="Times New Roman" w:eastAsia="SimSun"/>
          <w:sz w:val="24"/>
          <w:lang w:val="pt-BR"/>
        </w:rPr>
        <w:t xml:space="preserve">- </w:t>
      </w:r>
      <w:r>
        <w:rPr>
          <w:rFonts w:ascii="Times New Roman" w:hAnsi="Times New Roman" w:eastAsia="SimSun"/>
          <w:sz w:val="24"/>
        </w:rPr>
        <w:t xml:space="preserve">Substituir, reparar ou corrigir, às suas expensas, no prazo fixado neste Termo de Referencia, o objeto com avarias ou defeitos; </w:t>
      </w:r>
    </w:p>
    <w:p w14:paraId="3583A1DB">
      <w:pPr>
        <w:tabs>
          <w:tab w:val="left" w:pos="6825"/>
        </w:tabs>
        <w:jc w:val="both"/>
        <w:rPr>
          <w:rFonts w:ascii="Times New Roman" w:hAnsi="Times New Roman" w:eastAsia="SimSun"/>
          <w:sz w:val="24"/>
        </w:rPr>
      </w:pPr>
      <w:r>
        <w:rPr>
          <w:rFonts w:hint="default" w:ascii="Times New Roman" w:hAnsi="Times New Roman" w:eastAsia="SimSun"/>
          <w:sz w:val="24"/>
          <w:lang w:val="pt-BR"/>
        </w:rPr>
        <w:t xml:space="preserve">- </w:t>
      </w:r>
      <w:r>
        <w:rPr>
          <w:rFonts w:ascii="Times New Roman" w:hAnsi="Times New Roman" w:eastAsia="SimSun"/>
          <w:sz w:val="24"/>
        </w:rPr>
        <w:t xml:space="preserve">Comunicar à Contratante, no prazo máximo de 24 (vinte e quatro) horas que antecede a data da entrega, os motivos que impossibilitem o cumprimento do prazo previsto, com a devida comprovação;  </w:t>
      </w:r>
    </w:p>
    <w:p w14:paraId="15E52089">
      <w:pPr>
        <w:tabs>
          <w:tab w:val="left" w:pos="6825"/>
        </w:tabs>
        <w:jc w:val="both"/>
        <w:rPr>
          <w:rFonts w:ascii="Times New Roman" w:hAnsi="Times New Roman" w:eastAsia="SimSun"/>
          <w:sz w:val="24"/>
        </w:rPr>
      </w:pPr>
      <w:r>
        <w:rPr>
          <w:rFonts w:hint="default" w:ascii="Times New Roman" w:hAnsi="Times New Roman" w:eastAsia="SimSun"/>
          <w:sz w:val="24"/>
          <w:lang w:val="pt-BR"/>
        </w:rPr>
        <w:t>-</w:t>
      </w:r>
      <w:r>
        <w:rPr>
          <w:rFonts w:ascii="Times New Roman" w:hAnsi="Times New Roman" w:eastAsia="SimSun"/>
          <w:sz w:val="24"/>
        </w:rPr>
        <w:t xml:space="preserve"> Emitir Nota Fiscal correspondente à sede ou filial da empresa que apresentou a documentação na fase de </w:t>
      </w:r>
      <w:r>
        <w:rPr>
          <w:rFonts w:hint="default" w:ascii="Times New Roman" w:hAnsi="Times New Roman" w:eastAsia="SimSun"/>
          <w:sz w:val="24"/>
          <w:lang w:val="pt-BR"/>
        </w:rPr>
        <w:t>cotação;</w:t>
      </w:r>
      <w:r>
        <w:rPr>
          <w:rFonts w:ascii="Times New Roman" w:hAnsi="Times New Roman" w:eastAsia="SimSun"/>
          <w:sz w:val="24"/>
        </w:rPr>
        <w:t xml:space="preserve"> </w:t>
      </w:r>
    </w:p>
    <w:p w14:paraId="1FB6885A">
      <w:pPr>
        <w:tabs>
          <w:tab w:val="left" w:pos="6825"/>
        </w:tabs>
        <w:jc w:val="both"/>
        <w:rPr>
          <w:rFonts w:hint="default" w:ascii="Times New Roman" w:hAnsi="Times New Roman" w:eastAsia="SimSun"/>
          <w:sz w:val="24"/>
          <w:lang w:val="pt-BR"/>
        </w:rPr>
      </w:pPr>
      <w:r>
        <w:rPr>
          <w:rFonts w:ascii="Times New Roman" w:hAnsi="Times New Roman" w:eastAsia="SimSun"/>
          <w:sz w:val="24"/>
        </w:rPr>
        <w:t>6.1.8. Fornecer dados bancários para o pagamento da nota fisca</w:t>
      </w:r>
      <w:r>
        <w:rPr>
          <w:rFonts w:hint="default" w:ascii="Times New Roman" w:hAnsi="Times New Roman" w:eastAsia="SimSun"/>
          <w:sz w:val="24"/>
          <w:lang w:val="pt-BR"/>
        </w:rPr>
        <w:t>l</w:t>
      </w:r>
      <w:r>
        <w:rPr>
          <w:rFonts w:ascii="Times New Roman" w:hAnsi="Times New Roman" w:eastAsia="SimSun"/>
          <w:sz w:val="24"/>
        </w:rPr>
        <w:t xml:space="preserve"> ocorrer por transferência eletrônica</w:t>
      </w:r>
      <w:r>
        <w:rPr>
          <w:rFonts w:hint="default" w:ascii="Times New Roman" w:hAnsi="Times New Roman" w:eastAsia="SimSun"/>
          <w:sz w:val="24"/>
          <w:lang w:val="pt-BR"/>
        </w:rPr>
        <w:t xml:space="preserve"> </w:t>
      </w:r>
      <w:r>
        <w:rPr>
          <w:rFonts w:ascii="Times New Roman" w:hAnsi="Times New Roman" w:eastAsia="SimSun"/>
          <w:sz w:val="24"/>
        </w:rPr>
        <w:t>identificada</w:t>
      </w:r>
      <w:r>
        <w:rPr>
          <w:rFonts w:hint="default" w:ascii="Times New Roman" w:hAnsi="Times New Roman" w:eastAsia="SimSun"/>
          <w:sz w:val="24"/>
          <w:lang w:val="pt-BR"/>
        </w:rPr>
        <w:t xml:space="preserve"> em até 30 DIAS.</w:t>
      </w:r>
    </w:p>
    <w:p w14:paraId="5AECF24F">
      <w:pPr>
        <w:tabs>
          <w:tab w:val="left" w:pos="6825"/>
        </w:tabs>
        <w:jc w:val="both"/>
        <w:rPr>
          <w:rFonts w:hint="default" w:ascii="Times New Roman" w:hAnsi="Times New Roman" w:eastAsia="SimSun"/>
          <w:sz w:val="24"/>
          <w:lang w:val="pt-BR"/>
        </w:rPr>
      </w:pPr>
    </w:p>
    <w:p w14:paraId="3899A6C8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7- Gestão e Fiscalização:</w:t>
      </w:r>
    </w:p>
    <w:p w14:paraId="296B2CEF">
      <w:pPr>
        <w:jc w:val="both"/>
        <w:rPr>
          <w:rFonts w:hint="default" w:ascii="Times New Roman" w:hAnsi="Times New Roman"/>
          <w:bCs/>
          <w:color w:val="auto"/>
          <w:sz w:val="24"/>
          <w:lang w:val="pt-BR"/>
        </w:rPr>
      </w:pPr>
      <w:r>
        <w:rPr>
          <w:rFonts w:hint="default" w:ascii="Times New Roman" w:hAnsi="Times New Roman"/>
          <w:bCs/>
          <w:color w:val="auto"/>
          <w:sz w:val="24"/>
          <w:lang w:val="pt-BR"/>
        </w:rPr>
        <w:t>Gestão: Edilson Valejo - Secretário de Agricultura e Meio Ambiente</w:t>
      </w:r>
    </w:p>
    <w:p w14:paraId="7739B36A">
      <w:pPr>
        <w:jc w:val="both"/>
        <w:rPr>
          <w:rFonts w:ascii="Times New Roman" w:hAnsi="Times New Roman"/>
          <w:bCs/>
          <w:sz w:val="24"/>
        </w:rPr>
      </w:pPr>
      <w:r>
        <w:rPr>
          <w:rFonts w:hint="default" w:ascii="Times New Roman" w:hAnsi="Times New Roman"/>
          <w:bCs/>
          <w:color w:val="auto"/>
          <w:sz w:val="24"/>
          <w:lang w:val="pt-BR"/>
        </w:rPr>
        <w:t>Fiscalização</w:t>
      </w:r>
      <w:r>
        <w:rPr>
          <w:rFonts w:hint="default" w:ascii="Times New Roman" w:hAnsi="Times New Roman"/>
          <w:b w:val="0"/>
          <w:bCs/>
          <w:color w:val="auto"/>
          <w:sz w:val="24"/>
          <w:lang w:val="pt-BR"/>
        </w:rPr>
        <w:t xml:space="preserve">: </w:t>
      </w:r>
      <w:r>
        <w:rPr>
          <w:rFonts w:hint="default" w:ascii="Times New Roman" w:hAnsi="Times New Roman"/>
          <w:bCs/>
          <w:color w:val="auto"/>
          <w:sz w:val="24"/>
          <w:lang w:val="pt-BR"/>
        </w:rPr>
        <w:t>Jaqueline Cardoso Figueira de Oliveira - Nutricionista</w:t>
      </w:r>
    </w:p>
    <w:p w14:paraId="24B4887F">
      <w:pPr>
        <w:numPr>
          <w:ilvl w:val="0"/>
          <w:numId w:val="0"/>
        </w:numPr>
        <w:jc w:val="both"/>
        <w:rPr>
          <w:rFonts w:hint="default" w:ascii="Times New Roman" w:hAnsi="Times New Roman"/>
          <w:b/>
          <w:sz w:val="24"/>
          <w:lang w:val="pt-BR"/>
        </w:rPr>
      </w:pPr>
    </w:p>
    <w:p w14:paraId="6F74ABFF">
      <w:pPr>
        <w:numPr>
          <w:ilvl w:val="0"/>
          <w:numId w:val="2"/>
        </w:num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Outras informações:</w:t>
      </w:r>
    </w:p>
    <w:p w14:paraId="1B8F53A0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hint="default" w:ascii="Times New Roman" w:hAnsi="Times New Roman"/>
          <w:b w:val="0"/>
          <w:bCs/>
          <w:sz w:val="24"/>
          <w:szCs w:val="24"/>
          <w:lang w:val="pt-BR"/>
        </w:rPr>
        <w:t>O pagamento será realizado no prazo de até 30 (trinta) dias contados a partir do recebimento definitivo do objeto, através de ordem bancária, para crédito em banco, agência e conta corrente jurídica indicada pela contratada.</w:t>
      </w:r>
    </w:p>
    <w:p w14:paraId="4BC28405">
      <w:pPr>
        <w:jc w:val="both"/>
        <w:rPr>
          <w:rFonts w:hint="default" w:ascii="Times New Roman" w:hAnsi="Times New Roman" w:eastAsia="SimSun" w:cs="Times New Roman"/>
          <w:sz w:val="24"/>
        </w:rPr>
      </w:pPr>
      <w:r>
        <w:rPr>
          <w:rFonts w:hint="default" w:ascii="Times New Roman" w:hAnsi="Times New Roman" w:eastAsia="SimSun" w:cs="Times New Roman"/>
          <w:sz w:val="24"/>
        </w:rPr>
        <w:t xml:space="preserve">Email para contato: 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"mailto:compras@quata.sp.gov.br"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Style w:val="8"/>
          <w:rFonts w:hint="default" w:ascii="Times New Roman" w:hAnsi="Times New Roman" w:eastAsia="SimSun" w:cs="Times New Roman"/>
          <w:sz w:val="24"/>
          <w:lang w:val="pt-BR"/>
        </w:rPr>
        <w:t>secretariaagricultura</w:t>
      </w:r>
      <w:r>
        <w:rPr>
          <w:rStyle w:val="8"/>
          <w:rFonts w:hint="default" w:ascii="Times New Roman" w:hAnsi="Times New Roman" w:eastAsia="SimSun" w:cs="Times New Roman"/>
          <w:sz w:val="24"/>
        </w:rPr>
        <w:t>@quata.sp.gov.br</w:t>
      </w:r>
      <w:r>
        <w:rPr>
          <w:rStyle w:val="8"/>
          <w:rFonts w:hint="default" w:ascii="Times New Roman" w:hAnsi="Times New Roman" w:eastAsia="SimSun" w:cs="Times New Roman"/>
          <w:sz w:val="24"/>
        </w:rPr>
        <w:fldChar w:fldCharType="end"/>
      </w:r>
      <w:r>
        <w:rPr>
          <w:rFonts w:hint="default" w:ascii="Times New Roman" w:hAnsi="Times New Roman" w:eastAsia="SimSun" w:cs="Times New Roman"/>
          <w:sz w:val="24"/>
        </w:rPr>
        <w:t xml:space="preserve"> </w:t>
      </w:r>
    </w:p>
    <w:p w14:paraId="7FC21C4E">
      <w:pPr>
        <w:numPr>
          <w:ilvl w:val="0"/>
          <w:numId w:val="0"/>
        </w:numPr>
        <w:spacing w:after="0" w:line="240" w:lineRule="auto"/>
        <w:jc w:val="both"/>
        <w:rPr>
          <w:rFonts w:hint="default" w:ascii="Times New Roman" w:hAnsi="Times New Roman" w:cs="Times New Roman"/>
          <w:b w:val="0"/>
          <w:bCs w:val="0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pt-BR"/>
        </w:rPr>
        <w:t>Tel: (</w:t>
      </w:r>
      <w:r>
        <w:rPr>
          <w:rFonts w:hint="default" w:ascii="Times New Roman" w:hAnsi="Times New Roman" w:eastAsia="Calibri" w:cs="Times New Roman"/>
          <w:color w:val="auto"/>
          <w:spacing w:val="0"/>
          <w:position w:val="0"/>
          <w:sz w:val="24"/>
          <w:szCs w:val="24"/>
          <w:shd w:val="clear" w:fill="auto"/>
          <w:lang w:val="pt-BR"/>
        </w:rPr>
        <w:t>18) 997510332</w:t>
      </w:r>
    </w:p>
    <w:p w14:paraId="004F9680">
      <w:pPr>
        <w:jc w:val="both"/>
        <w:rPr>
          <w:rFonts w:hint="default" w:ascii="Times New Roman" w:hAnsi="Times New Roman" w:eastAsia="SimSun" w:cs="Times New Roman"/>
          <w:sz w:val="24"/>
        </w:rPr>
      </w:pPr>
      <w:r>
        <w:rPr>
          <w:rFonts w:hint="default" w:ascii="Times New Roman" w:hAnsi="Times New Roman" w:eastAsia="SimSun" w:cs="Times New Roman"/>
          <w:sz w:val="24"/>
        </w:rPr>
        <w:t xml:space="preserve"> </w:t>
      </w:r>
    </w:p>
    <w:p w14:paraId="146A062E">
      <w:pPr>
        <w:jc w:val="both"/>
        <w:rPr>
          <w:rFonts w:hint="default" w:ascii="Times New Roman" w:hAnsi="Times New Roman" w:cs="Times New Roman"/>
          <w:b/>
          <w:sz w:val="24"/>
        </w:rPr>
      </w:pPr>
    </w:p>
    <w:p w14:paraId="77B48056">
      <w:pPr>
        <w:numPr>
          <w:ilvl w:val="0"/>
          <w:numId w:val="0"/>
        </w:num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pt-BR"/>
        </w:rPr>
      </w:pPr>
    </w:p>
    <w:p w14:paraId="366B2616">
      <w:pPr>
        <w:numPr>
          <w:ilvl w:val="0"/>
          <w:numId w:val="0"/>
        </w:numPr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pt-BR"/>
        </w:rPr>
      </w:pPr>
    </w:p>
    <w:p w14:paraId="0FFCC8CE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Quatá/SP, </w:t>
      </w:r>
      <w:r>
        <w:rPr>
          <w:rFonts w:hint="default" w:ascii="Times New Roman" w:hAnsi="Times New Roman"/>
          <w:sz w:val="24"/>
          <w:lang w:val="pt-BR"/>
        </w:rPr>
        <w:t xml:space="preserve">26 </w:t>
      </w:r>
      <w:r>
        <w:rPr>
          <w:rFonts w:ascii="Times New Roman" w:hAnsi="Times New Roman"/>
          <w:iCs/>
          <w:sz w:val="24"/>
        </w:rPr>
        <w:t xml:space="preserve">de </w:t>
      </w:r>
      <w:r>
        <w:rPr>
          <w:rFonts w:hint="default" w:ascii="Times New Roman" w:hAnsi="Times New Roman"/>
          <w:iCs/>
          <w:sz w:val="24"/>
          <w:lang w:val="pt-BR"/>
        </w:rPr>
        <w:t>Maio</w:t>
      </w:r>
      <w:r>
        <w:rPr>
          <w:rFonts w:ascii="Times New Roman" w:hAnsi="Times New Roman"/>
          <w:iCs/>
          <w:sz w:val="24"/>
        </w:rPr>
        <w:t xml:space="preserve"> de 202</w:t>
      </w:r>
      <w:r>
        <w:rPr>
          <w:rFonts w:hint="default" w:ascii="Times New Roman" w:hAnsi="Times New Roman"/>
          <w:iCs/>
          <w:sz w:val="24"/>
          <w:lang w:val="pt-BR"/>
        </w:rPr>
        <w:t>5</w:t>
      </w:r>
      <w:r>
        <w:rPr>
          <w:rFonts w:ascii="Times New Roman" w:hAnsi="Times New Roman"/>
          <w:sz w:val="24"/>
        </w:rPr>
        <w:t>.</w:t>
      </w:r>
    </w:p>
    <w:p w14:paraId="580A319A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2199640</wp:posOffset>
            </wp:positionH>
            <wp:positionV relativeFrom="paragraph">
              <wp:posOffset>124460</wp:posOffset>
            </wp:positionV>
            <wp:extent cx="2386330" cy="2025015"/>
            <wp:effectExtent l="0" t="0" r="13970" b="13335"/>
            <wp:wrapNone/>
            <wp:docPr id="6" name="Imagem 6" descr="Captura de tela 2025-01-09 142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 descr="Captura de tela 2025-01-09 14292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6330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F379F4">
      <w:pPr>
        <w:jc w:val="center"/>
        <w:rPr>
          <w:rFonts w:ascii="Times New Roman" w:hAnsi="Times New Roman"/>
          <w:sz w:val="24"/>
        </w:rPr>
      </w:pPr>
    </w:p>
    <w:p w14:paraId="1278E598">
      <w:pPr>
        <w:jc w:val="center"/>
        <w:rPr>
          <w:rFonts w:ascii="Times New Roman" w:hAnsi="Times New Roman"/>
          <w:sz w:val="24"/>
        </w:rPr>
      </w:pPr>
    </w:p>
    <w:p w14:paraId="46837444">
      <w:pPr>
        <w:jc w:val="center"/>
        <w:rPr>
          <w:rFonts w:ascii="Times New Roman" w:hAnsi="Times New Roman"/>
          <w:sz w:val="24"/>
        </w:rPr>
      </w:pPr>
    </w:p>
    <w:p w14:paraId="792589B0">
      <w:pPr>
        <w:jc w:val="center"/>
        <w:rPr>
          <w:rFonts w:ascii="Times New Roman" w:hAnsi="Times New Roman"/>
          <w:sz w:val="24"/>
        </w:rPr>
      </w:pPr>
    </w:p>
    <w:p w14:paraId="0D28B19B">
      <w:pPr>
        <w:jc w:val="center"/>
        <w:rPr>
          <w:rFonts w:ascii="Times New Roman" w:hAnsi="Times New Roman"/>
          <w:sz w:val="24"/>
        </w:rPr>
      </w:pPr>
    </w:p>
    <w:p w14:paraId="54DA3F21">
      <w:pPr>
        <w:jc w:val="both"/>
        <w:rPr>
          <w:rFonts w:ascii="Times New Roman" w:hAnsi="Times New Roman"/>
          <w:sz w:val="24"/>
        </w:rPr>
      </w:pPr>
    </w:p>
    <w:p w14:paraId="52A2665B">
      <w:pPr>
        <w:jc w:val="center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______________________________</w:t>
      </w:r>
    </w:p>
    <w:p w14:paraId="4F1E79A5">
      <w:pPr>
        <w:jc w:val="center"/>
        <w:rPr>
          <w:rFonts w:hint="default" w:ascii="Times New Roman" w:hAnsi="Times New Roman"/>
          <w:bCs/>
          <w:color w:val="auto"/>
          <w:sz w:val="24"/>
          <w:lang w:val="pt-BR"/>
        </w:rPr>
      </w:pPr>
      <w:r>
        <w:rPr>
          <w:rFonts w:hint="default" w:ascii="Times New Roman" w:hAnsi="Times New Roman"/>
          <w:bCs/>
          <w:color w:val="auto"/>
          <w:sz w:val="24"/>
          <w:lang w:val="pt-BR"/>
        </w:rPr>
        <w:t>Edilson Valejo</w:t>
      </w:r>
    </w:p>
    <w:p w14:paraId="5569B945">
      <w:pPr>
        <w:jc w:val="center"/>
        <w:rPr>
          <w:rFonts w:hint="default" w:ascii="Times New Roman" w:hAnsi="Times New Roman"/>
          <w:b/>
          <w:sz w:val="24"/>
          <w:lang w:val="pt-BR"/>
        </w:rPr>
      </w:pPr>
      <w:r>
        <w:rPr>
          <w:rFonts w:ascii="Times New Roman" w:hAnsi="Times New Roman"/>
          <w:b/>
          <w:sz w:val="24"/>
        </w:rPr>
        <w:t>Secretári</w:t>
      </w:r>
      <w:r>
        <w:rPr>
          <w:rFonts w:hint="default" w:ascii="Times New Roman" w:hAnsi="Times New Roman"/>
          <w:b/>
          <w:sz w:val="24"/>
          <w:lang w:val="pt-BR"/>
        </w:rPr>
        <w:t>o</w:t>
      </w:r>
      <w:r>
        <w:rPr>
          <w:rFonts w:ascii="Times New Roman" w:hAnsi="Times New Roman"/>
          <w:b/>
          <w:sz w:val="24"/>
        </w:rPr>
        <w:t xml:space="preserve"> Municipal de </w:t>
      </w:r>
      <w:r>
        <w:rPr>
          <w:rFonts w:ascii="Times New Roman" w:hAnsi="Times New Roman"/>
          <w:b/>
          <w:sz w:val="24"/>
          <w:lang w:val="pt-BR"/>
        </w:rPr>
        <w:t>Agricultura</w:t>
      </w:r>
      <w:r>
        <w:rPr>
          <w:rFonts w:hint="default" w:ascii="Times New Roman" w:hAnsi="Times New Roman"/>
          <w:b/>
          <w:sz w:val="24"/>
          <w:lang w:val="pt-BR"/>
        </w:rPr>
        <w:t xml:space="preserve"> e Meio Ambiente</w:t>
      </w:r>
    </w:p>
    <w:p w14:paraId="6789832B">
      <w:pPr>
        <w:jc w:val="center"/>
        <w:rPr>
          <w:rFonts w:ascii="Times New Roman" w:hAnsi="Times New Roman"/>
          <w:sz w:val="24"/>
        </w:rPr>
      </w:pPr>
    </w:p>
    <w:p w14:paraId="37CED398">
      <w:pPr>
        <w:jc w:val="center"/>
        <w:rPr>
          <w:rFonts w:ascii="Times New Roman" w:hAnsi="Times New Roman"/>
          <w:sz w:val="24"/>
        </w:rPr>
      </w:pPr>
    </w:p>
    <w:p w14:paraId="13FC4DE3">
      <w:pPr>
        <w:jc w:val="center"/>
        <w:rPr>
          <w:rFonts w:ascii="Times New Roman" w:hAnsi="Times New Roman"/>
          <w:sz w:val="24"/>
        </w:rPr>
      </w:pPr>
      <w:r>
        <w:rPr>
          <w:rFonts w:hint="default" w:ascii="Times New Roman" w:hAnsi="Times New Roman"/>
          <w:bCs/>
          <w:szCs w:val="28"/>
          <w:lang w:val="pt-B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2618105</wp:posOffset>
            </wp:positionH>
            <wp:positionV relativeFrom="paragraph">
              <wp:posOffset>45085</wp:posOffset>
            </wp:positionV>
            <wp:extent cx="1350010" cy="622935"/>
            <wp:effectExtent l="0" t="0" r="2540" b="5715"/>
            <wp:wrapNone/>
            <wp:docPr id="33" name="Imagem 33" descr="jaque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m 33" descr="jaquelin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5001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72F213">
      <w:pPr>
        <w:jc w:val="both"/>
        <w:rPr>
          <w:rFonts w:ascii="Times New Roman" w:hAnsi="Times New Roman"/>
          <w:sz w:val="24"/>
        </w:rPr>
      </w:pPr>
    </w:p>
    <w:p w14:paraId="70A3341E">
      <w:pPr>
        <w:jc w:val="center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______________________________</w:t>
      </w:r>
    </w:p>
    <w:p w14:paraId="6DC6990F">
      <w:pPr>
        <w:jc w:val="center"/>
        <w:rPr>
          <w:rFonts w:ascii="Times New Roman" w:hAnsi="Times New Roman"/>
          <w:b/>
          <w:sz w:val="24"/>
        </w:rPr>
      </w:pPr>
      <w:r>
        <w:rPr>
          <w:rFonts w:hint="default" w:ascii="Times New Roman" w:hAnsi="Times New Roman"/>
          <w:bCs/>
          <w:sz w:val="24"/>
          <w:lang w:val="pt-BR"/>
        </w:rPr>
        <w:t>Jaqueline Cardoso Figueira de Oliveira</w:t>
      </w:r>
    </w:p>
    <w:p w14:paraId="3F97932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Nutricionista</w:t>
      </w:r>
    </w:p>
    <w:p w14:paraId="34F6216E">
      <w:pPr>
        <w:jc w:val="center"/>
        <w:rPr>
          <w:rFonts w:ascii="Times New Roman" w:hAnsi="Times New Roman"/>
          <w:bCs/>
          <w:sz w:val="24"/>
        </w:rPr>
      </w:pPr>
    </w:p>
    <w:p w14:paraId="5D49C4FF">
      <w:pPr>
        <w:jc w:val="center"/>
        <w:rPr>
          <w:rFonts w:ascii="Times New Roman" w:hAnsi="Times New Roman"/>
          <w:bCs/>
          <w:sz w:val="24"/>
        </w:rPr>
      </w:pPr>
      <w:bookmarkStart w:id="0" w:name="_GoBack"/>
      <w:bookmarkEnd w:id="0"/>
      <w:r>
        <w:rPr>
          <w:rFonts w:hint="default" w:ascii="Times New Roman" w:hAnsi="Times New Roman"/>
          <w:sz w:val="24"/>
          <w:szCs w:val="24"/>
          <w:lang w:val="pt-B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2167890</wp:posOffset>
            </wp:positionH>
            <wp:positionV relativeFrom="paragraph">
              <wp:posOffset>50165</wp:posOffset>
            </wp:positionV>
            <wp:extent cx="2329815" cy="1019175"/>
            <wp:effectExtent l="0" t="0" r="13335" b="9525"/>
            <wp:wrapNone/>
            <wp:docPr id="3" name="Imagem 3" descr="Captura de tela 2024-03-08 121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Captura de tela 2024-03-08 1210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981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7EF32E">
      <w:pPr>
        <w:jc w:val="center"/>
        <w:rPr>
          <w:rFonts w:ascii="Times New Roman" w:hAnsi="Times New Roman"/>
          <w:bCs/>
          <w:sz w:val="24"/>
        </w:rPr>
      </w:pPr>
    </w:p>
    <w:p w14:paraId="7A418130">
      <w:pPr>
        <w:jc w:val="center"/>
        <w:rPr>
          <w:rFonts w:ascii="Times New Roman" w:hAnsi="Times New Roman"/>
          <w:bCs/>
          <w:sz w:val="24"/>
        </w:rPr>
      </w:pPr>
    </w:p>
    <w:p w14:paraId="0D28F02E"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______________________________________</w:t>
      </w:r>
    </w:p>
    <w:p w14:paraId="10F95468">
      <w:pPr>
        <w:jc w:val="center"/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Aline josé da Silva </w:t>
      </w:r>
    </w:p>
    <w:p w14:paraId="67DBC8CF">
      <w:pPr>
        <w:jc w:val="center"/>
        <w:rPr>
          <w:rFonts w:hint="default" w:ascii="Times New Roman" w:hAnsi="Times New Roman" w:eastAsia="Calibri" w:cs="Times New Roman"/>
          <w:color w:val="auto"/>
          <w:spacing w:val="0"/>
          <w:position w:val="0"/>
          <w:sz w:val="24"/>
          <w:szCs w:val="24"/>
          <w:shd w:val="clear" w:fill="auto"/>
          <w:lang w:val="pt-BR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 Diretora </w:t>
      </w:r>
      <w:r>
        <w:rPr>
          <w:rFonts w:hint="default" w:ascii="Times New Roman" w:hAnsi="Times New Roman" w:eastAsia="Calibri" w:cs="Times New Roman"/>
          <w:color w:val="auto"/>
          <w:spacing w:val="0"/>
          <w:position w:val="0"/>
          <w:sz w:val="24"/>
          <w:szCs w:val="24"/>
          <w:shd w:val="clear" w:fill="auto"/>
          <w:lang w:val="pt-BR"/>
        </w:rPr>
        <w:t>de Agricultura e Meio Ambiente</w:t>
      </w:r>
    </w:p>
    <w:p w14:paraId="44CA814D">
      <w:pPr>
        <w:jc w:val="center"/>
        <w:rPr>
          <w:rFonts w:ascii="Times New Roman" w:hAnsi="Times New Roman"/>
          <w:bCs/>
          <w:sz w:val="24"/>
        </w:rPr>
      </w:pPr>
    </w:p>
    <w:p w14:paraId="00E829B4">
      <w:pPr>
        <w:jc w:val="center"/>
        <w:rPr>
          <w:rFonts w:ascii="Times New Roman" w:hAnsi="Times New Roman"/>
          <w:szCs w:val="28"/>
        </w:rPr>
      </w:pPr>
    </w:p>
    <w:p w14:paraId="65947F6F">
      <w:pPr>
        <w:jc w:val="center"/>
        <w:rPr>
          <w:rFonts w:ascii="Times New Roman" w:hAnsi="Times New Roman"/>
          <w:szCs w:val="28"/>
        </w:rPr>
      </w:pPr>
    </w:p>
    <w:p w14:paraId="1A2C219E">
      <w:pPr>
        <w:jc w:val="center"/>
        <w:rPr>
          <w:rFonts w:ascii="Times New Roman" w:hAnsi="Times New Roman"/>
          <w:szCs w:val="28"/>
        </w:rPr>
      </w:pPr>
    </w:p>
    <w:p w14:paraId="56CB17AE">
      <w:pPr>
        <w:rPr>
          <w:rFonts w:ascii="Times New Roman" w:hAnsi="Times New Roman"/>
          <w:szCs w:val="28"/>
        </w:rPr>
      </w:pPr>
    </w:p>
    <w:sectPr>
      <w:headerReference r:id="rId5" w:type="default"/>
      <w:footerReference r:id="rId6" w:type="default"/>
      <w:footerReference r:id="rId7" w:type="even"/>
      <w:pgSz w:w="11907" w:h="16840"/>
      <w:pgMar w:top="720" w:right="720" w:bottom="720" w:left="720" w:header="567" w:footer="56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Univers">
    <w:panose1 w:val="020B0603020202030204"/>
    <w:charset w:val="00"/>
    <w:family w:val="swiss"/>
    <w:pitch w:val="default"/>
    <w:sig w:usb0="00000287" w:usb1="00000000" w:usb2="00000000" w:usb3="00000000" w:csb0="0000009F" w:csb1="00000000"/>
  </w:font>
  <w:font w:name="CIDFont+F4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-Bold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Open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ell MT">
    <w:altName w:val="PMingLiU-ExtB"/>
    <w:panose1 w:val="02020503060305020303"/>
    <w:charset w:val="00"/>
    <w:family w:val="roman"/>
    <w:pitch w:val="default"/>
    <w:sig w:usb0="00000000" w:usb1="00000000" w:usb2="00000000" w:usb3="00000000" w:csb0="200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6284B0">
    <w:pPr>
      <w:pStyle w:val="15"/>
      <w:framePr w:wrap="around" w:vAnchor="text" w:hAnchor="margin" w:xAlign="right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separate"/>
    </w:r>
    <w:r>
      <w:rPr>
        <w:rStyle w:val="9"/>
      </w:rPr>
      <w:t>1</w:t>
    </w:r>
    <w:r>
      <w:rPr>
        <w:rStyle w:val="9"/>
      </w:rPr>
      <w:fldChar w:fldCharType="end"/>
    </w:r>
  </w:p>
  <w:p w14:paraId="50892289">
    <w:pPr>
      <w:pStyle w:val="15"/>
      <w:ind w:right="360"/>
      <w:jc w:val="center"/>
      <w:rPr>
        <w:rFonts w:ascii="Verdana" w:hAnsi="Verdana"/>
        <w:b/>
        <w:bCs/>
        <w:sz w:val="22"/>
      </w:rPr>
    </w:pPr>
    <w:r>
      <w:rPr>
        <w:rFonts w:ascii="Verdana" w:hAnsi="Verdana"/>
        <w:b/>
        <w:bCs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-42545</wp:posOffset>
              </wp:positionH>
              <wp:positionV relativeFrom="paragraph">
                <wp:posOffset>45720</wp:posOffset>
              </wp:positionV>
              <wp:extent cx="6286500" cy="800100"/>
              <wp:effectExtent l="0" t="0" r="4445" b="190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A49983">
                          <w:pPr>
                            <w:jc w:val="center"/>
                            <w:rPr>
                              <w:rFonts w:ascii="Verdana" w:hAnsi="Verdana"/>
                              <w:b/>
                              <w:bCs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3.35pt;margin-top:3.6pt;height:63pt;width:495pt;z-index:251659264;mso-width-relative:page;mso-height-relative:page;" filled="f" stroked="f" coordsize="21600,21600" o:gfxdata="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Jnn/M7XAAAACAEAAA8AAAAAAAAAAQAgAAAAIgAA&#10;AGRycy9kb3ducmV2LnhtbFBLAQIUABQAAAAIAIdO4kCuKXSmCQIAABoEAAAOAAAAAAAAAAEAIAAA&#10;ACYBAABkcnMvZTJvRG9jLnhtbFBLBQYAAAAABgAGAFkBAAChBQAAAAA=&#10;">
              <v:fill on="f" focussize="0,0"/>
              <v:stroke on="f"/>
              <v:imagedata o:title=""/>
              <o:lock v:ext="edit" aspectratio="f"/>
              <v:textbox>
                <w:txbxContent>
                  <w:p w14:paraId="3CA49983">
                    <w:pPr>
                      <w:jc w:val="center"/>
                      <w:rPr>
                        <w:rFonts w:ascii="Verdana" w:hAnsi="Verdana"/>
                        <w:b/>
                        <w:bCs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b/>
        <w:bCs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8F403A">
    <w:pPr>
      <w:pStyle w:val="15"/>
      <w:framePr w:wrap="around" w:vAnchor="text" w:hAnchor="margin" w:xAlign="right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 w14:paraId="1C9FA4A0">
    <w:pPr>
      <w:pStyle w:val="1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76A86E">
    <w:pPr>
      <w:framePr w:hSpace="142" w:wrap="auto" w:vAnchor="text" w:hAnchor="page" w:x="1189" w:y="-226"/>
    </w:pPr>
  </w:p>
  <w:p w14:paraId="7A2835DC">
    <w:pPr>
      <w:tabs>
        <w:tab w:val="center" w:pos="4252"/>
        <w:tab w:val="right" w:pos="8504"/>
      </w:tabs>
      <w:jc w:val="center"/>
      <w:rPr>
        <w:rFonts w:ascii="Bell MT" w:hAnsi="Bell MT"/>
        <w:b/>
        <w:color w:val="auto"/>
        <w:sz w:val="40"/>
        <w:szCs w:val="40"/>
      </w:rPr>
    </w:pPr>
    <w:r>
      <w:pict>
        <v:shape id="_x0000_s4097" o:spid="_x0000_s4097" o:spt="75" type="#_x0000_t75" style="position:absolute;left:0pt;margin-left:-11.1pt;margin-top:-21.2pt;height:69.45pt;width:76.75pt;z-index:-251656192;mso-width-relative:page;mso-height-relative:page;" o:ole="t" filled="f" o:preferrelative="t" stroked="f" coordsize="21600,21600">
          <v:path/>
          <v:fill on="f" focussize="0,0"/>
          <v:stroke on="f"/>
          <v:imagedata r:id="rId2" o:title=""/>
          <o:lock v:ext="edit" aspectratio="t"/>
        </v:shape>
        <o:OLEObject Type="Embed" ProgID="PBrush" ShapeID="_x0000_s4097" DrawAspect="Content" ObjectID="_1468075725" r:id="rId1">
          <o:LockedField>false</o:LockedField>
        </o:OLEObject>
      </w:pict>
    </w:r>
    <w:r>
      <w:rPr>
        <w:rFonts w:ascii="Bell MT" w:hAnsi="Bell MT"/>
        <w:b/>
        <w:color w:val="auto"/>
        <w:sz w:val="40"/>
        <w:szCs w:val="40"/>
      </w:rPr>
      <w:t>PREFEITURA MUNICIPAL DE QUATÁ</w:t>
    </w:r>
  </w:p>
  <w:p w14:paraId="62FADD4B">
    <w:pPr>
      <w:pStyle w:val="14"/>
      <w:jc w:val="center"/>
      <w:rPr>
        <w:rFonts w:hint="default" w:ascii="Bell MT" w:hAnsi="Bell MT"/>
        <w:b/>
        <w:bCs/>
        <w:color w:val="auto"/>
        <w:sz w:val="24"/>
        <w:szCs w:val="24"/>
        <w:lang w:val="pt-BR"/>
      </w:rPr>
    </w:pPr>
    <w:r>
      <w:rPr>
        <w:rFonts w:ascii="Bell MT" w:hAnsi="Bell MT"/>
        <w:b/>
        <w:bCs/>
        <w:color w:val="auto"/>
        <w:sz w:val="32"/>
        <w:szCs w:val="32"/>
      </w:rPr>
      <w:t xml:space="preserve">SECRETARIA </w:t>
    </w:r>
    <w:r>
      <w:rPr>
        <w:rFonts w:hint="default" w:ascii="Bell MT" w:hAnsi="Bell MT"/>
        <w:b/>
        <w:bCs/>
        <w:color w:val="auto"/>
        <w:sz w:val="32"/>
        <w:szCs w:val="32"/>
        <w:lang w:val="pt-BR"/>
      </w:rPr>
      <w:t>DE AGRICULTURA E MEIO AMBIENTE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8DA5AE"/>
    <w:multiLevelType w:val="singleLevel"/>
    <w:tmpl w:val="A78DA5AE"/>
    <w:lvl w:ilvl="0" w:tentative="0">
      <w:start w:val="2"/>
      <w:numFmt w:val="decimal"/>
      <w:suff w:val="space"/>
      <w:lvlText w:val="%1-"/>
      <w:lvlJc w:val="left"/>
      <w:rPr>
        <w:rFonts w:hint="default"/>
        <w:b/>
        <w:bCs/>
      </w:rPr>
    </w:lvl>
  </w:abstractNum>
  <w:abstractNum w:abstractNumId="1">
    <w:nsid w:val="2F947914"/>
    <w:multiLevelType w:val="singleLevel"/>
    <w:tmpl w:val="2F947914"/>
    <w:lvl w:ilvl="0" w:tentative="0">
      <w:start w:val="8"/>
      <w:numFmt w:val="decimal"/>
      <w:suff w:val="nothing"/>
      <w:lvlText w:val="%1-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CD"/>
    <w:rsid w:val="000061F5"/>
    <w:rsid w:val="000076C6"/>
    <w:rsid w:val="0000792C"/>
    <w:rsid w:val="00007DF2"/>
    <w:rsid w:val="00012993"/>
    <w:rsid w:val="000264B7"/>
    <w:rsid w:val="00027A2F"/>
    <w:rsid w:val="0004195C"/>
    <w:rsid w:val="00047294"/>
    <w:rsid w:val="000510BB"/>
    <w:rsid w:val="00051272"/>
    <w:rsid w:val="000613C9"/>
    <w:rsid w:val="000741B0"/>
    <w:rsid w:val="00077E06"/>
    <w:rsid w:val="000809AB"/>
    <w:rsid w:val="000935DA"/>
    <w:rsid w:val="000C6315"/>
    <w:rsid w:val="000C6C7B"/>
    <w:rsid w:val="000D2081"/>
    <w:rsid w:val="000D4FD0"/>
    <w:rsid w:val="000E6146"/>
    <w:rsid w:val="00121A94"/>
    <w:rsid w:val="001445F8"/>
    <w:rsid w:val="001475B7"/>
    <w:rsid w:val="001B27F2"/>
    <w:rsid w:val="001D7293"/>
    <w:rsid w:val="001F2201"/>
    <w:rsid w:val="00203616"/>
    <w:rsid w:val="00234225"/>
    <w:rsid w:val="00266CE7"/>
    <w:rsid w:val="00290B7A"/>
    <w:rsid w:val="002B7C78"/>
    <w:rsid w:val="002E2C80"/>
    <w:rsid w:val="00322278"/>
    <w:rsid w:val="003245B2"/>
    <w:rsid w:val="00324CE1"/>
    <w:rsid w:val="0032617E"/>
    <w:rsid w:val="003367E3"/>
    <w:rsid w:val="00354684"/>
    <w:rsid w:val="00377C92"/>
    <w:rsid w:val="00385A15"/>
    <w:rsid w:val="00385E71"/>
    <w:rsid w:val="00386516"/>
    <w:rsid w:val="003B59E1"/>
    <w:rsid w:val="003E69E2"/>
    <w:rsid w:val="003F2EA8"/>
    <w:rsid w:val="00417683"/>
    <w:rsid w:val="00442979"/>
    <w:rsid w:val="00445841"/>
    <w:rsid w:val="00447B12"/>
    <w:rsid w:val="00453C74"/>
    <w:rsid w:val="00473CD4"/>
    <w:rsid w:val="00487FEC"/>
    <w:rsid w:val="004A3DCD"/>
    <w:rsid w:val="004B7A1C"/>
    <w:rsid w:val="004C5227"/>
    <w:rsid w:val="004E1150"/>
    <w:rsid w:val="005626EB"/>
    <w:rsid w:val="00586AE6"/>
    <w:rsid w:val="005A595E"/>
    <w:rsid w:val="005C35BC"/>
    <w:rsid w:val="005E78F9"/>
    <w:rsid w:val="00613CF7"/>
    <w:rsid w:val="006160A2"/>
    <w:rsid w:val="006249BC"/>
    <w:rsid w:val="00641D83"/>
    <w:rsid w:val="00647537"/>
    <w:rsid w:val="006521A5"/>
    <w:rsid w:val="00653C32"/>
    <w:rsid w:val="0066201A"/>
    <w:rsid w:val="00675536"/>
    <w:rsid w:val="006909AD"/>
    <w:rsid w:val="006C34FA"/>
    <w:rsid w:val="0070129F"/>
    <w:rsid w:val="00725CF1"/>
    <w:rsid w:val="00747171"/>
    <w:rsid w:val="007A1E16"/>
    <w:rsid w:val="007A642B"/>
    <w:rsid w:val="007A6A6D"/>
    <w:rsid w:val="007C14BE"/>
    <w:rsid w:val="007C3096"/>
    <w:rsid w:val="007C44C1"/>
    <w:rsid w:val="007E34AD"/>
    <w:rsid w:val="007E44E7"/>
    <w:rsid w:val="007F1347"/>
    <w:rsid w:val="00836860"/>
    <w:rsid w:val="00846E40"/>
    <w:rsid w:val="00871757"/>
    <w:rsid w:val="008731BC"/>
    <w:rsid w:val="008858CE"/>
    <w:rsid w:val="00892680"/>
    <w:rsid w:val="008A28F5"/>
    <w:rsid w:val="008B1402"/>
    <w:rsid w:val="008B46AB"/>
    <w:rsid w:val="008C0541"/>
    <w:rsid w:val="008E6CE5"/>
    <w:rsid w:val="00903089"/>
    <w:rsid w:val="009104B0"/>
    <w:rsid w:val="0091053A"/>
    <w:rsid w:val="00910DEC"/>
    <w:rsid w:val="00914DB3"/>
    <w:rsid w:val="00934B9A"/>
    <w:rsid w:val="0096380C"/>
    <w:rsid w:val="00963DD9"/>
    <w:rsid w:val="00974040"/>
    <w:rsid w:val="00977CFE"/>
    <w:rsid w:val="009D08E2"/>
    <w:rsid w:val="009E3CEE"/>
    <w:rsid w:val="009F44B8"/>
    <w:rsid w:val="009F67F0"/>
    <w:rsid w:val="00A170B7"/>
    <w:rsid w:val="00A22E88"/>
    <w:rsid w:val="00A86FC4"/>
    <w:rsid w:val="00A93770"/>
    <w:rsid w:val="00AA55E8"/>
    <w:rsid w:val="00AB2013"/>
    <w:rsid w:val="00AC3825"/>
    <w:rsid w:val="00AE3636"/>
    <w:rsid w:val="00B012C8"/>
    <w:rsid w:val="00B01A30"/>
    <w:rsid w:val="00B069C4"/>
    <w:rsid w:val="00B0764D"/>
    <w:rsid w:val="00B37EC1"/>
    <w:rsid w:val="00B553EE"/>
    <w:rsid w:val="00B55419"/>
    <w:rsid w:val="00B575EE"/>
    <w:rsid w:val="00B67016"/>
    <w:rsid w:val="00B9373F"/>
    <w:rsid w:val="00BA5C8C"/>
    <w:rsid w:val="00BC445B"/>
    <w:rsid w:val="00BE0DA1"/>
    <w:rsid w:val="00C039F0"/>
    <w:rsid w:val="00C22C06"/>
    <w:rsid w:val="00C266D3"/>
    <w:rsid w:val="00C52822"/>
    <w:rsid w:val="00C55C4A"/>
    <w:rsid w:val="00C647A4"/>
    <w:rsid w:val="00C73739"/>
    <w:rsid w:val="00C86D06"/>
    <w:rsid w:val="00C9478D"/>
    <w:rsid w:val="00CB658F"/>
    <w:rsid w:val="00CB6B1D"/>
    <w:rsid w:val="00CC2383"/>
    <w:rsid w:val="00CC51CC"/>
    <w:rsid w:val="00CC6837"/>
    <w:rsid w:val="00CD6BB8"/>
    <w:rsid w:val="00D01BA9"/>
    <w:rsid w:val="00D30B1C"/>
    <w:rsid w:val="00D56E7D"/>
    <w:rsid w:val="00D8673C"/>
    <w:rsid w:val="00D91610"/>
    <w:rsid w:val="00D91CA0"/>
    <w:rsid w:val="00DD2C43"/>
    <w:rsid w:val="00DD383D"/>
    <w:rsid w:val="00DE7E57"/>
    <w:rsid w:val="00E53D02"/>
    <w:rsid w:val="00E667E4"/>
    <w:rsid w:val="00E824BC"/>
    <w:rsid w:val="00E84262"/>
    <w:rsid w:val="00E970F1"/>
    <w:rsid w:val="00EA2AF1"/>
    <w:rsid w:val="00ED0892"/>
    <w:rsid w:val="00EE2CB9"/>
    <w:rsid w:val="00F0526C"/>
    <w:rsid w:val="00F255E7"/>
    <w:rsid w:val="00F266EF"/>
    <w:rsid w:val="00F42988"/>
    <w:rsid w:val="00FB2430"/>
    <w:rsid w:val="00FB462D"/>
    <w:rsid w:val="00FB7038"/>
    <w:rsid w:val="00FD2343"/>
    <w:rsid w:val="00FE29C1"/>
    <w:rsid w:val="0CA1087A"/>
    <w:rsid w:val="0F1D512A"/>
    <w:rsid w:val="10690C06"/>
    <w:rsid w:val="13E9651C"/>
    <w:rsid w:val="143811B7"/>
    <w:rsid w:val="17327E04"/>
    <w:rsid w:val="183C6D51"/>
    <w:rsid w:val="19EF0580"/>
    <w:rsid w:val="1CA7251F"/>
    <w:rsid w:val="20492EA0"/>
    <w:rsid w:val="26134306"/>
    <w:rsid w:val="30AB7C27"/>
    <w:rsid w:val="33856EC6"/>
    <w:rsid w:val="36963AF7"/>
    <w:rsid w:val="37203BAB"/>
    <w:rsid w:val="3791530C"/>
    <w:rsid w:val="3AD37F3D"/>
    <w:rsid w:val="40535591"/>
    <w:rsid w:val="484569C2"/>
    <w:rsid w:val="484617A2"/>
    <w:rsid w:val="56D651F5"/>
    <w:rsid w:val="58FB6DA5"/>
    <w:rsid w:val="61912FBF"/>
    <w:rsid w:val="624918FA"/>
    <w:rsid w:val="683B7B81"/>
    <w:rsid w:val="6A4014EE"/>
    <w:rsid w:val="73C10864"/>
    <w:rsid w:val="748914DD"/>
    <w:rsid w:val="75670789"/>
    <w:rsid w:val="7931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" w:hAnsi="Arial" w:eastAsia="Times New Roman" w:cs="Times New Roman"/>
      <w:sz w:val="28"/>
      <w:szCs w:val="24"/>
      <w:lang w:val="pt-BR" w:eastAsia="pt-BR" w:bidi="ar-SA"/>
    </w:rPr>
  </w:style>
  <w:style w:type="paragraph" w:styleId="2">
    <w:name w:val="heading 1"/>
    <w:next w:val="1"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4"/>
    <w:basedOn w:val="1"/>
    <w:next w:val="1"/>
    <w:link w:val="18"/>
    <w:qFormat/>
    <w:uiPriority w:val="0"/>
    <w:pPr>
      <w:keepNext/>
      <w:ind w:firstLine="3420"/>
      <w:jc w:val="both"/>
      <w:outlineLvl w:val="3"/>
    </w:pPr>
    <w:rPr>
      <w:rFonts w:cs="Arial"/>
      <w:b/>
      <w:u w:val="single"/>
    </w:rPr>
  </w:style>
  <w:style w:type="paragraph" w:styleId="4">
    <w:name w:val="heading 5"/>
    <w:basedOn w:val="1"/>
    <w:next w:val="1"/>
    <w:link w:val="19"/>
    <w:qFormat/>
    <w:uiPriority w:val="0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0"/>
    <w:rPr>
      <w:i/>
      <w:iCs/>
    </w:rPr>
  </w:style>
  <w:style w:type="character" w:styleId="8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styleId="9">
    <w:name w:val="page number"/>
    <w:basedOn w:val="5"/>
    <w:qFormat/>
    <w:uiPriority w:val="0"/>
  </w:style>
  <w:style w:type="paragraph" w:styleId="10">
    <w:name w:val="Body Text Indent 2"/>
    <w:basedOn w:val="1"/>
    <w:link w:val="23"/>
    <w:qFormat/>
    <w:uiPriority w:val="0"/>
    <w:pPr>
      <w:spacing w:after="120" w:line="480" w:lineRule="auto"/>
      <w:ind w:left="283"/>
    </w:pPr>
    <w:rPr>
      <w:rFonts w:ascii="Times New Roman" w:hAnsi="Times New Roman"/>
      <w:sz w:val="24"/>
    </w:rPr>
  </w:style>
  <w:style w:type="paragraph" w:styleId="11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12">
    <w:name w:val="HTML Preformatted"/>
    <w:basedOn w:val="1"/>
    <w:link w:val="25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3">
    <w:name w:val="Body Text 2"/>
    <w:basedOn w:val="1"/>
    <w:link w:val="24"/>
    <w:qFormat/>
    <w:uiPriority w:val="0"/>
    <w:pPr>
      <w:spacing w:after="120" w:line="480" w:lineRule="auto"/>
    </w:pPr>
    <w:rPr>
      <w:rFonts w:ascii="Times New Roman" w:hAnsi="Times New Roman"/>
      <w:sz w:val="24"/>
    </w:rPr>
  </w:style>
  <w:style w:type="paragraph" w:styleId="14">
    <w:name w:val="header"/>
    <w:basedOn w:val="1"/>
    <w:link w:val="20"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5">
    <w:name w:val="footer"/>
    <w:basedOn w:val="1"/>
    <w:link w:val="21"/>
    <w:qFormat/>
    <w:uiPriority w:val="0"/>
    <w:pPr>
      <w:tabs>
        <w:tab w:val="center" w:pos="4419"/>
        <w:tab w:val="right" w:pos="8838"/>
      </w:tabs>
    </w:pPr>
    <w:rPr>
      <w:szCs w:val="20"/>
    </w:rPr>
  </w:style>
  <w:style w:type="paragraph" w:styleId="16">
    <w:name w:val="Body Text Indent"/>
    <w:basedOn w:val="1"/>
    <w:link w:val="22"/>
    <w:qFormat/>
    <w:uiPriority w:val="0"/>
    <w:pPr>
      <w:spacing w:line="480" w:lineRule="auto"/>
      <w:ind w:firstLine="3419"/>
      <w:jc w:val="both"/>
    </w:pPr>
    <w:rPr>
      <w:rFonts w:ascii="Univers" w:hAnsi="Univers"/>
      <w:sz w:val="24"/>
    </w:rPr>
  </w:style>
  <w:style w:type="table" w:styleId="17">
    <w:name w:val="Table Grid"/>
    <w:basedOn w:val="6"/>
    <w:qFormat/>
    <w:uiPriority w:val="39"/>
    <w:pPr>
      <w:spacing w:after="0" w:line="240" w:lineRule="auto"/>
    </w:pPr>
    <w:rPr>
      <w:kern w:val="2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Título 4 Char"/>
    <w:basedOn w:val="5"/>
    <w:link w:val="3"/>
    <w:qFormat/>
    <w:uiPriority w:val="0"/>
    <w:rPr>
      <w:rFonts w:ascii="Arial" w:hAnsi="Arial" w:eastAsia="Times New Roman" w:cs="Arial"/>
      <w:b/>
      <w:sz w:val="28"/>
      <w:szCs w:val="24"/>
      <w:u w:val="single"/>
      <w:lang w:eastAsia="pt-BR"/>
    </w:rPr>
  </w:style>
  <w:style w:type="character" w:customStyle="1" w:styleId="19">
    <w:name w:val="Título 5 Char"/>
    <w:basedOn w:val="5"/>
    <w:link w:val="4"/>
    <w:qFormat/>
    <w:uiPriority w:val="0"/>
    <w:rPr>
      <w:rFonts w:ascii="Times New Roman" w:hAnsi="Times New Roman" w:eastAsia="Times New Roman" w:cs="Times New Roman"/>
      <w:b/>
      <w:bCs/>
      <w:i/>
      <w:iCs/>
      <w:sz w:val="26"/>
      <w:szCs w:val="26"/>
      <w:lang w:eastAsia="pt-BR"/>
    </w:rPr>
  </w:style>
  <w:style w:type="character" w:customStyle="1" w:styleId="20">
    <w:name w:val="Cabeçalho Char"/>
    <w:basedOn w:val="5"/>
    <w:link w:val="14"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21">
    <w:name w:val="Rodapé Char"/>
    <w:basedOn w:val="5"/>
    <w:link w:val="15"/>
    <w:qFormat/>
    <w:uiPriority w:val="0"/>
    <w:rPr>
      <w:rFonts w:ascii="Arial" w:hAnsi="Arial" w:eastAsia="Times New Roman" w:cs="Times New Roman"/>
      <w:sz w:val="28"/>
      <w:szCs w:val="20"/>
      <w:lang w:eastAsia="pt-BR"/>
    </w:rPr>
  </w:style>
  <w:style w:type="character" w:customStyle="1" w:styleId="22">
    <w:name w:val="Recuo de corpo de texto Char"/>
    <w:basedOn w:val="5"/>
    <w:link w:val="16"/>
    <w:qFormat/>
    <w:uiPriority w:val="0"/>
    <w:rPr>
      <w:rFonts w:ascii="Univers" w:hAnsi="Univers" w:eastAsia="Times New Roman" w:cs="Times New Roman"/>
      <w:sz w:val="24"/>
      <w:szCs w:val="24"/>
      <w:lang w:eastAsia="pt-BR"/>
    </w:rPr>
  </w:style>
  <w:style w:type="character" w:customStyle="1" w:styleId="23">
    <w:name w:val="Recuo de corpo de texto 2 Char"/>
    <w:basedOn w:val="5"/>
    <w:link w:val="10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4">
    <w:name w:val="Corpo de texto 2 Char"/>
    <w:basedOn w:val="5"/>
    <w:link w:val="13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5">
    <w:name w:val="Pré-formatação HTML Char"/>
    <w:basedOn w:val="5"/>
    <w:link w:val="12"/>
    <w:qFormat/>
    <w:uiPriority w:val="0"/>
    <w:rPr>
      <w:rFonts w:ascii="Courier New" w:hAnsi="Courier New" w:eastAsia="Times New Roman" w:cs="Courier New"/>
      <w:sz w:val="20"/>
      <w:szCs w:val="20"/>
      <w:lang w:eastAsia="pt-BR"/>
    </w:rPr>
  </w:style>
  <w:style w:type="character" w:customStyle="1" w:styleId="26">
    <w:name w:val="fontstyle01"/>
    <w:basedOn w:val="5"/>
    <w:qFormat/>
    <w:uiPriority w:val="0"/>
    <w:rPr>
      <w:rFonts w:hint="default" w:ascii="CIDFont+F4" w:hAnsi="CIDFont+F4"/>
      <w:color w:val="000000"/>
      <w:sz w:val="24"/>
      <w:szCs w:val="24"/>
    </w:rPr>
  </w:style>
  <w:style w:type="character" w:customStyle="1" w:styleId="27">
    <w:name w:val="fontstyle21"/>
    <w:basedOn w:val="5"/>
    <w:qFormat/>
    <w:uiPriority w:val="0"/>
    <w:rPr>
      <w:rFonts w:hint="default" w:ascii="Helvetica-Bold" w:hAnsi="Helvetica-Bold"/>
      <w:b/>
      <w:bCs/>
      <w:color w:val="000000"/>
      <w:sz w:val="26"/>
      <w:szCs w:val="26"/>
    </w:rPr>
  </w:style>
  <w:style w:type="paragraph" w:customStyle="1" w:styleId="28">
    <w:name w:val="Text body"/>
    <w:basedOn w:val="1"/>
    <w:qFormat/>
    <w:uiPriority w:val="0"/>
    <w:pPr>
      <w:widowControl w:val="0"/>
      <w:suppressAutoHyphens/>
      <w:autoSpaceDN w:val="0"/>
      <w:spacing w:after="120"/>
    </w:pPr>
    <w:rPr>
      <w:rFonts w:ascii="Times New Roman" w:hAnsi="Times New Roman" w:eastAsia="Arial Unicode MS" w:cs="Tahoma"/>
      <w:kern w:val="3"/>
      <w:sz w:val="24"/>
      <w:lang w:eastAsia="zh-CN"/>
    </w:rPr>
  </w:style>
  <w:style w:type="paragraph" w:styleId="29">
    <w:name w:val="List Paragraph"/>
    <w:basedOn w:val="1"/>
    <w:qFormat/>
    <w:uiPriority w:val="34"/>
    <w:pPr>
      <w:suppressAutoHyphens/>
      <w:spacing w:line="100" w:lineRule="atLeast"/>
      <w:ind w:left="720"/>
      <w:contextualSpacing/>
    </w:pPr>
    <w:rPr>
      <w:rFonts w:ascii="Times New Roman" w:hAnsi="Times New Roman"/>
      <w:sz w:val="24"/>
    </w:rPr>
  </w:style>
  <w:style w:type="paragraph" w:customStyle="1" w:styleId="30">
    <w:name w:val="Standard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SimSun" w:cs="Tahoma"/>
      <w:kern w:val="3"/>
      <w:sz w:val="24"/>
      <w:szCs w:val="24"/>
      <w:lang w:val="pt-BR" w:eastAsia="zh-CN" w:bidi="hi-IN"/>
    </w:rPr>
  </w:style>
  <w:style w:type="paragraph" w:customStyle="1" w:styleId="31">
    <w:name w:val="WW-Corpo de texto 3"/>
    <w:basedOn w:val="1"/>
    <w:qFormat/>
    <w:uiPriority w:val="0"/>
    <w:pPr>
      <w:jc w:val="both"/>
    </w:pPr>
    <w:rPr>
      <w:rFonts w:ascii="Times New Roman" w:hAnsi="Times New Roman"/>
      <w:sz w:val="24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509</Words>
  <Characters>2752</Characters>
  <Lines>22</Lines>
  <Paragraphs>6</Paragraphs>
  <TotalTime>0</TotalTime>
  <ScaleCrop>false</ScaleCrop>
  <LinksUpToDate>false</LinksUpToDate>
  <CharactersWithSpaces>3255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2024-01-15T10:32:00Z</dcterms:created>
  <dc:creator>Jefferson</dc:creator>
  <cp:lastModifiedBy>User</cp:lastModifiedBy>
  <cp:lastPrinted>2025-01-09T11:34:00Z</cp:lastPrinted>
  <dcterms:modified xsi:type="dcterms:W3CDTF">2025-06-30T18:13:56Z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D737199255724C478857E64177CA49DD_13</vt:lpwstr>
  </property>
</Properties>
</file>