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B682E2" w14:textId="77777777" w:rsidR="000A12B5" w:rsidRDefault="000A12B5" w:rsidP="000A12B5">
      <w:pPr>
        <w:spacing w:after="0" w:line="240" w:lineRule="auto"/>
        <w:jc w:val="center"/>
        <w:rPr>
          <w:rFonts w:ascii="Arial" w:hAnsi="Arial" w:cs="Arial"/>
          <w:b/>
          <w:szCs w:val="24"/>
        </w:rPr>
      </w:pPr>
    </w:p>
    <w:p w14:paraId="7FC7D145" w14:textId="77777777" w:rsidR="000A12B5" w:rsidRDefault="000A12B5" w:rsidP="000A12B5">
      <w:pPr>
        <w:spacing w:line="360" w:lineRule="auto"/>
        <w:jc w:val="center"/>
        <w:rPr>
          <w:rFonts w:ascii="Arial" w:hAnsi="Arial" w:cs="Arial"/>
          <w:b/>
          <w:sz w:val="24"/>
          <w:szCs w:val="24"/>
        </w:rPr>
      </w:pPr>
      <w:r>
        <w:rPr>
          <w:rFonts w:ascii="Arial" w:hAnsi="Arial" w:cs="Arial"/>
          <w:b/>
          <w:sz w:val="24"/>
          <w:szCs w:val="24"/>
        </w:rPr>
        <w:t>JUSTIFICATIVA</w:t>
      </w:r>
    </w:p>
    <w:p w14:paraId="2FB4349C" w14:textId="77777777" w:rsidR="000A12B5" w:rsidRDefault="000A12B5" w:rsidP="000A12B5">
      <w:pPr>
        <w:spacing w:line="360" w:lineRule="auto"/>
        <w:jc w:val="both"/>
        <w:rPr>
          <w:rFonts w:ascii="Arial" w:hAnsi="Arial" w:cs="Arial"/>
          <w:b/>
          <w:sz w:val="24"/>
          <w:szCs w:val="24"/>
        </w:rPr>
      </w:pPr>
    </w:p>
    <w:p w14:paraId="2F5317EB" w14:textId="77777777" w:rsidR="000A12B5" w:rsidRDefault="000A12B5" w:rsidP="000A12B5">
      <w:pPr>
        <w:pStyle w:val="Corpodetexto3"/>
        <w:spacing w:after="200" w:line="360" w:lineRule="auto"/>
        <w:jc w:val="both"/>
        <w:outlineLvl w:val="0"/>
        <w:rPr>
          <w:rFonts w:ascii="Arial" w:hAnsi="Arial" w:cs="Arial"/>
          <w:b/>
          <w:color w:val="auto"/>
          <w:sz w:val="24"/>
          <w:szCs w:val="24"/>
        </w:rPr>
      </w:pPr>
      <w:r>
        <w:rPr>
          <w:rFonts w:ascii="Arial" w:hAnsi="Arial" w:cs="Arial"/>
          <w:b/>
          <w:color w:val="auto"/>
          <w:sz w:val="24"/>
          <w:szCs w:val="24"/>
        </w:rPr>
        <w:t>I - DA NECESSIDADE DO OBJETO</w:t>
      </w:r>
    </w:p>
    <w:p w14:paraId="21C964A5" w14:textId="49C3CD35" w:rsidR="000A12B5" w:rsidRDefault="000A12B5" w:rsidP="000A12B5">
      <w:pPr>
        <w:pStyle w:val="Corpodetexto3"/>
        <w:widowControl w:val="0"/>
        <w:spacing w:after="200" w:line="360" w:lineRule="auto"/>
        <w:ind w:firstLine="1134"/>
        <w:jc w:val="both"/>
        <w:outlineLvl w:val="0"/>
        <w:rPr>
          <w:rFonts w:ascii="Arial" w:hAnsi="Arial" w:cs="Arial"/>
          <w:bCs/>
          <w:color w:val="auto"/>
          <w:sz w:val="24"/>
          <w:szCs w:val="24"/>
        </w:rPr>
      </w:pPr>
      <w:r>
        <w:rPr>
          <w:rFonts w:ascii="Arial" w:hAnsi="Arial" w:cs="Arial"/>
          <w:color w:val="auto"/>
          <w:sz w:val="24"/>
          <w:szCs w:val="24"/>
        </w:rPr>
        <w:t xml:space="preserve">Trata os presentes autos de procedimento que tem por objeto a contratação de </w:t>
      </w:r>
      <w:r>
        <w:rPr>
          <w:rFonts w:ascii="Arial" w:hAnsi="Arial" w:cs="Arial"/>
          <w:bCs/>
          <w:color w:val="auto"/>
          <w:sz w:val="24"/>
          <w:szCs w:val="24"/>
        </w:rPr>
        <w:t xml:space="preserve">Contratação de atração regional, para apresentação no </w:t>
      </w:r>
      <w:r>
        <w:rPr>
          <w:rFonts w:ascii="Arial" w:hAnsi="Arial" w:cs="Arial"/>
          <w:b/>
          <w:color w:val="auto"/>
          <w:sz w:val="24"/>
          <w:szCs w:val="24"/>
        </w:rPr>
        <w:t>POLO CIDADELA - PALCO 1</w:t>
      </w:r>
      <w:r>
        <w:rPr>
          <w:rFonts w:ascii="Arial" w:hAnsi="Arial" w:cs="Arial"/>
          <w:bCs/>
          <w:color w:val="auto"/>
          <w:sz w:val="24"/>
          <w:szCs w:val="24"/>
        </w:rPr>
        <w:t>, que integra a programação do evento "Mossoró Cidade Junina 2024", a ser realizado no dia 1</w:t>
      </w:r>
      <w:r>
        <w:rPr>
          <w:rFonts w:ascii="Arial" w:hAnsi="Arial" w:cs="Arial"/>
          <w:bCs/>
          <w:color w:val="auto"/>
          <w:sz w:val="24"/>
          <w:szCs w:val="24"/>
        </w:rPr>
        <w:t>5</w:t>
      </w:r>
      <w:r>
        <w:rPr>
          <w:rFonts w:ascii="Arial" w:hAnsi="Arial" w:cs="Arial"/>
          <w:bCs/>
          <w:color w:val="auto"/>
          <w:sz w:val="24"/>
          <w:szCs w:val="24"/>
        </w:rPr>
        <w:t>/06/2024 com duração mínima de apresentação de 01:30h e horário a ser definido pela contratante.</w:t>
      </w:r>
    </w:p>
    <w:p w14:paraId="4626D25A" w14:textId="77777777" w:rsidR="000A12B5" w:rsidRDefault="000A12B5" w:rsidP="000A12B5">
      <w:pPr>
        <w:pStyle w:val="PargrafodaLista"/>
        <w:tabs>
          <w:tab w:val="left" w:pos="567"/>
        </w:tabs>
        <w:spacing w:before="95" w:line="360" w:lineRule="auto"/>
        <w:ind w:left="0"/>
        <w:jc w:val="both"/>
        <w:rPr>
          <w:rFonts w:ascii="Arial" w:hAnsi="Arial" w:cs="Arial"/>
          <w:b/>
        </w:rPr>
      </w:pPr>
      <w:r>
        <w:rPr>
          <w:rFonts w:ascii="Arial" w:hAnsi="Arial" w:cs="Arial"/>
        </w:rPr>
        <w:t xml:space="preserve">             O evento aquece a economia da cidade em vários setores: comércio, hotelaria, gastronomia e trabalhadores informais, que tem uma renda extra no período da festa. O Mossoró Cidade Junina é patrimônio dos mossoroense, símbolo também de criatividade dos empreendedores e artistas locais, consolida-se como estratégia de desenvolvimento econômico e instrumento de preservação das tradições populares, que eleva a autoestima do nosso povo.  O MCJ é um bem cultural local previsto na Lei Nº 2.494 de abril de 2009. </w:t>
      </w:r>
    </w:p>
    <w:p w14:paraId="5A609A50" w14:textId="77777777" w:rsidR="000A12B5" w:rsidRDefault="000A12B5" w:rsidP="000A12B5">
      <w:pPr>
        <w:pStyle w:val="PargrafodaLista"/>
        <w:tabs>
          <w:tab w:val="left" w:pos="567"/>
        </w:tabs>
        <w:spacing w:before="95" w:line="360" w:lineRule="auto"/>
        <w:ind w:left="0"/>
        <w:jc w:val="both"/>
        <w:rPr>
          <w:rFonts w:ascii="Arial" w:hAnsi="Arial" w:cs="Arial"/>
          <w:b/>
        </w:rPr>
      </w:pPr>
      <w:r>
        <w:rPr>
          <w:rFonts w:ascii="Arial" w:hAnsi="Arial" w:cs="Arial"/>
        </w:rPr>
        <w:t xml:space="preserve">           A nossa Constituição Federal, traz em seu artigo 23, inciso V, que é competência comum entre os entes federativos “</w:t>
      </w:r>
      <w:r>
        <w:rPr>
          <w:rFonts w:ascii="Arial" w:hAnsi="Arial" w:cs="Arial"/>
          <w:b/>
        </w:rPr>
        <w:t>proporcionar os meios de acesso à cultura</w:t>
      </w:r>
      <w:r>
        <w:rPr>
          <w:rFonts w:ascii="Arial" w:hAnsi="Arial" w:cs="Arial"/>
        </w:rPr>
        <w:t xml:space="preserve">, à educação, à ciência, à tecnologia, à pesquisa e à inovação”; bem como no artigo 215 “O Estado garantirá a todos o pleno exercício dos direitos culturais e acesso às fontes da cultura nacional, e apoiará e incentivará a valorização e a difusão das manifestações culturais”. </w:t>
      </w:r>
    </w:p>
    <w:p w14:paraId="470CE42D" w14:textId="77777777" w:rsidR="000A12B5" w:rsidRDefault="000A12B5" w:rsidP="000A12B5">
      <w:pPr>
        <w:pStyle w:val="PargrafodaLista"/>
        <w:tabs>
          <w:tab w:val="left" w:pos="567"/>
        </w:tabs>
        <w:spacing w:before="95" w:line="360" w:lineRule="auto"/>
        <w:ind w:left="0"/>
        <w:jc w:val="both"/>
        <w:rPr>
          <w:rFonts w:ascii="Arial" w:hAnsi="Arial" w:cs="Arial"/>
          <w:b/>
        </w:rPr>
      </w:pPr>
      <w:r>
        <w:rPr>
          <w:rFonts w:ascii="Arial" w:hAnsi="Arial" w:cs="Arial"/>
        </w:rPr>
        <w:t xml:space="preserve">           Ainda sobre os benefícios, importante trazer à baila o movimento econômico que os eventos proporcionam, desde os envolvidos diretamente nas festividades, ou seja, aqueles que trabalham na montagem dos palcos, limpezas dos ambientes, trabalhadores que atuam com som, iluminação, entre outros, e ainda os artistas e suas bandas; mas também o avanço financeiro para os hotéis, pousadas, restaurantes, bares, lanchonetes, comércios de </w:t>
      </w:r>
      <w:r>
        <w:rPr>
          <w:rFonts w:ascii="Arial" w:hAnsi="Arial" w:cs="Arial"/>
        </w:rPr>
        <w:lastRenderedPageBreak/>
        <w:t>artesanato, motoristas de táxis e aplicativos.</w:t>
      </w:r>
    </w:p>
    <w:p w14:paraId="549A6884" w14:textId="77777777" w:rsidR="000A12B5" w:rsidRDefault="000A12B5" w:rsidP="000A12B5">
      <w:pPr>
        <w:pStyle w:val="PargrafodaLista"/>
        <w:tabs>
          <w:tab w:val="left" w:pos="567"/>
        </w:tabs>
        <w:spacing w:before="95" w:line="360" w:lineRule="auto"/>
        <w:ind w:left="0"/>
        <w:jc w:val="both"/>
        <w:rPr>
          <w:rFonts w:ascii="Arial" w:hAnsi="Arial" w:cs="Arial"/>
          <w:b/>
        </w:rPr>
      </w:pPr>
      <w:r>
        <w:rPr>
          <w:rFonts w:ascii="Arial" w:hAnsi="Arial" w:cs="Arial"/>
        </w:rPr>
        <w:t xml:space="preserve">        Importante ressaltar, que o calendário de festividades deste município vem sendo formado e fortalecido com os eventos já realizados pela prefeitura de Mossoró. No calendário, o Mossoró Cidade Junina já está firmado como um dos </w:t>
      </w:r>
      <w:r>
        <w:rPr>
          <w:rFonts w:ascii="Arial" w:hAnsi="Arial" w:cs="Arial"/>
          <w:i/>
        </w:rPr>
        <w:t xml:space="preserve">cases </w:t>
      </w:r>
      <w:r>
        <w:rPr>
          <w:rFonts w:ascii="Arial" w:hAnsi="Arial" w:cs="Arial"/>
        </w:rPr>
        <w:t>de sucessos.</w:t>
      </w:r>
    </w:p>
    <w:p w14:paraId="42A86572" w14:textId="77777777" w:rsidR="000A12B5" w:rsidRDefault="000A12B5" w:rsidP="000A12B5">
      <w:pPr>
        <w:pStyle w:val="PargrafodaLista"/>
        <w:tabs>
          <w:tab w:val="left" w:pos="567"/>
        </w:tabs>
        <w:spacing w:before="95" w:line="360" w:lineRule="auto"/>
        <w:ind w:left="0"/>
        <w:jc w:val="both"/>
        <w:rPr>
          <w:rFonts w:ascii="Arial" w:hAnsi="Arial" w:cs="Arial"/>
          <w:b/>
        </w:rPr>
      </w:pPr>
      <w:r>
        <w:rPr>
          <w:rFonts w:ascii="Arial" w:hAnsi="Arial" w:cs="Arial"/>
        </w:rPr>
        <w:t xml:space="preserve">         Restou comprovado nos eventos retromencionados, o sucesso de público, chegando a alcançar a presença de mais de 1 milhão de pessoas durante o evento. Sendo assim, demonstra-se que tanto a população, quanto os turistas, prestigiam as festas realizadas por esta Prefeitura. </w:t>
      </w:r>
    </w:p>
    <w:p w14:paraId="5148A9EB" w14:textId="77777777" w:rsidR="000A12B5" w:rsidRDefault="000A12B5" w:rsidP="000A12B5">
      <w:pPr>
        <w:pStyle w:val="Corpodetexto3"/>
        <w:widowControl w:val="0"/>
        <w:spacing w:line="360" w:lineRule="auto"/>
        <w:jc w:val="both"/>
        <w:outlineLvl w:val="0"/>
        <w:rPr>
          <w:rFonts w:ascii="Arial" w:hAnsi="Arial" w:cs="Arial"/>
          <w:sz w:val="24"/>
          <w:szCs w:val="24"/>
        </w:rPr>
      </w:pPr>
    </w:p>
    <w:p w14:paraId="6BAB7E9A" w14:textId="77777777" w:rsidR="000A12B5" w:rsidRDefault="000A12B5" w:rsidP="000A12B5">
      <w:pPr>
        <w:pStyle w:val="Corpodetexto3"/>
        <w:widowControl w:val="0"/>
        <w:spacing w:line="360" w:lineRule="auto"/>
        <w:jc w:val="both"/>
        <w:outlineLvl w:val="0"/>
        <w:rPr>
          <w:rFonts w:ascii="Arial" w:hAnsi="Arial" w:cs="Arial"/>
          <w:b/>
          <w:sz w:val="24"/>
          <w:szCs w:val="24"/>
        </w:rPr>
      </w:pPr>
      <w:r>
        <w:rPr>
          <w:rFonts w:ascii="Arial" w:hAnsi="Arial" w:cs="Arial"/>
          <w:b/>
          <w:sz w:val="24"/>
          <w:szCs w:val="24"/>
        </w:rPr>
        <w:t>II – DA DISPENSA DE LICITAÇÃO</w:t>
      </w:r>
    </w:p>
    <w:p w14:paraId="2D24B8CE" w14:textId="77777777" w:rsidR="000A12B5" w:rsidRDefault="000A12B5" w:rsidP="000A12B5">
      <w:pPr>
        <w:pStyle w:val="Corpodetexto3"/>
        <w:widowControl w:val="0"/>
        <w:spacing w:line="360" w:lineRule="auto"/>
        <w:ind w:firstLine="1134"/>
        <w:jc w:val="both"/>
        <w:outlineLvl w:val="0"/>
        <w:rPr>
          <w:rFonts w:ascii="Arial" w:hAnsi="Arial" w:cs="Arial"/>
          <w:sz w:val="24"/>
          <w:szCs w:val="24"/>
        </w:rPr>
      </w:pPr>
      <w:r>
        <w:rPr>
          <w:rFonts w:ascii="Arial" w:hAnsi="Arial" w:cs="Arial"/>
          <w:sz w:val="24"/>
          <w:szCs w:val="24"/>
        </w:rPr>
        <w:t>As compras e contratações das entidades públicas seguem obrigatoriamente um regime regulamentado por Lei.</w:t>
      </w:r>
    </w:p>
    <w:p w14:paraId="74D28F2C" w14:textId="77777777" w:rsidR="000A12B5" w:rsidRDefault="000A12B5" w:rsidP="000A12B5">
      <w:pPr>
        <w:pStyle w:val="Corpodetexto3"/>
        <w:widowControl w:val="0"/>
        <w:spacing w:line="360" w:lineRule="auto"/>
        <w:ind w:firstLine="1134"/>
        <w:jc w:val="both"/>
        <w:outlineLvl w:val="0"/>
        <w:rPr>
          <w:rFonts w:ascii="Arial" w:hAnsi="Arial" w:cs="Arial"/>
          <w:sz w:val="24"/>
          <w:szCs w:val="24"/>
        </w:rPr>
      </w:pPr>
      <w:r>
        <w:rPr>
          <w:rFonts w:ascii="Arial" w:hAnsi="Arial" w:cs="Arial"/>
          <w:sz w:val="24"/>
          <w:szCs w:val="24"/>
        </w:rPr>
        <w:t>O fundamento principal que reza por esta iniciativa é o artigo 37, inciso XXI, da Constituição Federal de 1988, no qual determina que as obras, os serviços, compras e alienações devem ocorrer por meio de licitações. 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14:paraId="4CCB911B" w14:textId="77777777" w:rsidR="000A12B5" w:rsidRDefault="000A12B5" w:rsidP="000A12B5">
      <w:pPr>
        <w:widowControl w:val="0"/>
        <w:spacing w:line="360" w:lineRule="auto"/>
        <w:ind w:firstLine="1134"/>
        <w:jc w:val="both"/>
        <w:rPr>
          <w:rFonts w:ascii="Arial" w:hAnsi="Arial" w:cs="Arial"/>
          <w:bCs/>
          <w:iCs/>
          <w:sz w:val="24"/>
          <w:szCs w:val="24"/>
        </w:rPr>
      </w:pPr>
      <w:r>
        <w:rPr>
          <w:rFonts w:ascii="Arial" w:hAnsi="Arial" w:cs="Arial"/>
          <w:bCs/>
          <w:iCs/>
          <w:sz w:val="24"/>
          <w:szCs w:val="24"/>
        </w:rPr>
        <w:t>Para melhor entendimento, vejamos o que dispõe o inciso XXI do Artigo 37 da CF/1988:</w:t>
      </w:r>
    </w:p>
    <w:p w14:paraId="388A980B" w14:textId="77777777" w:rsidR="000A12B5" w:rsidRDefault="000A12B5" w:rsidP="000A12B5">
      <w:pPr>
        <w:widowControl w:val="0"/>
        <w:spacing w:line="360" w:lineRule="auto"/>
        <w:ind w:left="1701"/>
        <w:jc w:val="both"/>
        <w:rPr>
          <w:rFonts w:ascii="Arial" w:hAnsi="Arial" w:cs="Arial"/>
          <w:bCs/>
          <w:sz w:val="20"/>
          <w:szCs w:val="20"/>
        </w:rPr>
      </w:pPr>
      <w:r>
        <w:rPr>
          <w:rFonts w:ascii="Arial" w:hAnsi="Arial" w:cs="Arial"/>
          <w:bCs/>
          <w:sz w:val="20"/>
          <w:szCs w:val="20"/>
        </w:rPr>
        <w:t>(...)</w:t>
      </w:r>
    </w:p>
    <w:p w14:paraId="37F7B2AA" w14:textId="77777777" w:rsidR="000A12B5" w:rsidRDefault="000A12B5" w:rsidP="000A12B5">
      <w:pPr>
        <w:widowControl w:val="0"/>
        <w:spacing w:line="360" w:lineRule="auto"/>
        <w:ind w:left="1701"/>
        <w:jc w:val="both"/>
        <w:rPr>
          <w:rFonts w:ascii="Arial" w:hAnsi="Arial" w:cs="Arial"/>
          <w:bCs/>
          <w:sz w:val="20"/>
          <w:szCs w:val="20"/>
        </w:rPr>
      </w:pPr>
      <w:r>
        <w:rPr>
          <w:rFonts w:ascii="Arial" w:hAnsi="Arial" w:cs="Arial"/>
          <w:bCs/>
          <w:sz w:val="20"/>
          <w:szCs w:val="20"/>
        </w:rPr>
        <w:t xml:space="preserve"> “XXI - ressalvados os casos especificados na legislação, as obras, serviços, compras e alienações serão contratados mediante processo de licitação pública que assegure igualdade de condições a todos os </w:t>
      </w:r>
      <w:r>
        <w:rPr>
          <w:rFonts w:ascii="Arial" w:hAnsi="Arial" w:cs="Arial"/>
          <w:bCs/>
          <w:sz w:val="20"/>
          <w:szCs w:val="20"/>
        </w:rPr>
        <w:lastRenderedPageBreak/>
        <w:t>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14:paraId="348E0757" w14:textId="77777777" w:rsidR="000A12B5" w:rsidRDefault="000A12B5" w:rsidP="000A12B5">
      <w:pPr>
        <w:pStyle w:val="Corpodetexto3"/>
        <w:widowControl w:val="0"/>
        <w:spacing w:line="360" w:lineRule="auto"/>
        <w:ind w:firstLine="1134"/>
        <w:jc w:val="both"/>
        <w:outlineLvl w:val="0"/>
        <w:rPr>
          <w:rFonts w:ascii="Arial" w:hAnsi="Arial" w:cs="Arial"/>
          <w:sz w:val="24"/>
          <w:szCs w:val="24"/>
        </w:rPr>
      </w:pPr>
      <w:r>
        <w:rPr>
          <w:rFonts w:ascii="Arial" w:hAnsi="Arial" w:cs="Arial"/>
          <w:sz w:val="24"/>
          <w:szCs w:val="24"/>
        </w:rPr>
        <w:t>Para regulamentar o exercício dessa atividade foi então criada a Lei Federal nº 8.666 de 21 de junho de 1993, mais conhecida como Lei de Licitações e Contratos Administrativos, dando lugar posteriormente a Lei 14.133/2021 publicada em 01 de abril de 2021 a qual estabelece normas gerais de licitação e contratação para as Administrações Públicas diretas, autárquicas e fundacionais da União, dos Estados, do Distrito Federal e dos Municípios, atualização necessária considerando o que afirma Quintino (2022) acerca da legislação antecedente, a Lei nº 8.666, estava vigorando desde 1993, assim, a necessidade de atualização dessa temática em decorrência das mudanças da sociedade, do mercado e do Estado tornou-se imprescindível.</w:t>
      </w:r>
    </w:p>
    <w:p w14:paraId="47BC5771" w14:textId="77777777" w:rsidR="000A12B5" w:rsidRDefault="000A12B5" w:rsidP="000A12B5">
      <w:pPr>
        <w:pStyle w:val="Corpodetexto3"/>
        <w:widowControl w:val="0"/>
        <w:spacing w:line="360" w:lineRule="auto"/>
        <w:ind w:firstLine="1134"/>
        <w:jc w:val="both"/>
        <w:outlineLvl w:val="0"/>
        <w:rPr>
          <w:rFonts w:ascii="Arial" w:hAnsi="Arial" w:cs="Arial"/>
          <w:sz w:val="24"/>
          <w:szCs w:val="24"/>
        </w:rPr>
      </w:pPr>
      <w:r>
        <w:rPr>
          <w:rFonts w:ascii="Arial" w:hAnsi="Arial" w:cs="Arial"/>
          <w:sz w:val="24"/>
          <w:szCs w:val="24"/>
        </w:rPr>
        <w:t>Assegurar a seleção da proposta apta a gerar o resultado de contratação mais vantajoso para a Administração Pública, inclusive no que se refere ao ciclo de vida do objeto está entre os objetivos da licitação. Licitar, portanto, é regra, no entanto, há situações em que pode haver a dispensa das licitações para aquisições e contratações que possuem caracterizações específicas tornando impossíveis e/ou inviáveis os certames nos trâmites usuais, frustrando a realização adequada das funções estatais, isto não quer dizer que simplesmente serão esquecidos os procedimentos, mas sim, serão obedecidos alguns regramentos previstos legalmente para esses casos excepcionais.</w:t>
      </w:r>
    </w:p>
    <w:p w14:paraId="1F7364CB" w14:textId="77777777" w:rsidR="000A12B5" w:rsidRDefault="000A12B5" w:rsidP="000A12B5">
      <w:pPr>
        <w:pStyle w:val="Corpodetexto3"/>
        <w:widowControl w:val="0"/>
        <w:spacing w:line="360" w:lineRule="auto"/>
        <w:ind w:firstLine="1134"/>
        <w:jc w:val="both"/>
        <w:outlineLvl w:val="0"/>
        <w:rPr>
          <w:rFonts w:ascii="Arial" w:hAnsi="Arial" w:cs="Arial"/>
          <w:sz w:val="24"/>
          <w:szCs w:val="24"/>
        </w:rPr>
      </w:pPr>
      <w:r>
        <w:rPr>
          <w:rFonts w:ascii="Arial" w:hAnsi="Arial" w:cs="Arial"/>
          <w:sz w:val="24"/>
          <w:szCs w:val="24"/>
        </w:rPr>
        <w:t>Partindo-se dessa premissa, o art. 72 da Lei nº 14.133, de 1º de abril de 2021 (nova lei de licitações e contratos administrativos), permite como regra de exceção a contratação direta através de processos de dispensa e inexigibilidade de licitação, desde que preenchidos os requisitos previstos em suas disposições.</w:t>
      </w:r>
    </w:p>
    <w:p w14:paraId="28EE71F3" w14:textId="77777777" w:rsidR="000A12B5" w:rsidRDefault="000A12B5" w:rsidP="000A12B5">
      <w:pPr>
        <w:pStyle w:val="Corpodetexto3"/>
        <w:widowControl w:val="0"/>
        <w:spacing w:line="360" w:lineRule="auto"/>
        <w:ind w:firstLine="1134"/>
        <w:jc w:val="both"/>
        <w:outlineLvl w:val="0"/>
        <w:rPr>
          <w:rFonts w:ascii="Arial" w:hAnsi="Arial" w:cs="Arial"/>
          <w:sz w:val="24"/>
          <w:szCs w:val="24"/>
        </w:rPr>
      </w:pPr>
      <w:r>
        <w:rPr>
          <w:rFonts w:ascii="Arial" w:hAnsi="Arial" w:cs="Arial"/>
          <w:sz w:val="24"/>
          <w:szCs w:val="24"/>
        </w:rPr>
        <w:lastRenderedPageBreak/>
        <w:t xml:space="preserve">No presente caso, vislumbra-se que se trata de certame realizado sob a obediência ao estabelecido no </w:t>
      </w:r>
      <w:r>
        <w:rPr>
          <w:rFonts w:ascii="Arial" w:hAnsi="Arial" w:cs="Arial"/>
          <w:b/>
          <w:sz w:val="24"/>
          <w:szCs w:val="24"/>
        </w:rPr>
        <w:t xml:space="preserve">Art. 74, IV, </w:t>
      </w:r>
      <w:r>
        <w:rPr>
          <w:rFonts w:ascii="Arial" w:hAnsi="Arial" w:cs="Arial"/>
          <w:sz w:val="24"/>
          <w:szCs w:val="24"/>
        </w:rPr>
        <w:t>da Lei n. 14.133/2021, onde se verifica ocasião em que é cabível a realização da contratação, conforme embasamento legal indicado.</w:t>
      </w:r>
    </w:p>
    <w:p w14:paraId="5E964593" w14:textId="77777777" w:rsidR="000A12B5" w:rsidRDefault="000A12B5" w:rsidP="000A12B5">
      <w:pPr>
        <w:pStyle w:val="Corpodetexto3"/>
        <w:widowControl w:val="0"/>
        <w:spacing w:line="360" w:lineRule="auto"/>
        <w:jc w:val="both"/>
        <w:outlineLvl w:val="0"/>
        <w:rPr>
          <w:rFonts w:ascii="Arial" w:hAnsi="Arial" w:cs="Arial"/>
          <w:b/>
          <w:sz w:val="24"/>
          <w:szCs w:val="24"/>
        </w:rPr>
      </w:pPr>
      <w:r>
        <w:rPr>
          <w:rFonts w:ascii="Arial" w:hAnsi="Arial" w:cs="Arial"/>
          <w:b/>
          <w:sz w:val="24"/>
          <w:szCs w:val="24"/>
        </w:rPr>
        <w:t>III – DA JUSTIFICATIVA DA INEXIGIBILIDADE</w:t>
      </w:r>
    </w:p>
    <w:p w14:paraId="45F8117D" w14:textId="77777777" w:rsidR="000A12B5" w:rsidRDefault="000A12B5" w:rsidP="000A12B5">
      <w:pPr>
        <w:spacing w:line="360" w:lineRule="auto"/>
        <w:ind w:firstLine="1134"/>
        <w:jc w:val="both"/>
        <w:rPr>
          <w:rFonts w:ascii="Arial" w:hAnsi="Arial" w:cs="Arial"/>
          <w:sz w:val="24"/>
          <w:szCs w:val="24"/>
        </w:rPr>
      </w:pPr>
      <w:r w:rsidRPr="005F0BCC">
        <w:rPr>
          <w:rFonts w:ascii="Arial" w:hAnsi="Arial" w:cs="Arial"/>
          <w:sz w:val="24"/>
          <w:szCs w:val="24"/>
        </w:rPr>
        <w:t xml:space="preserve">Amparado no artigo </w:t>
      </w:r>
      <w:r>
        <w:rPr>
          <w:rFonts w:ascii="Arial" w:hAnsi="Arial" w:cs="Arial"/>
          <w:b/>
          <w:sz w:val="24"/>
          <w:szCs w:val="24"/>
        </w:rPr>
        <w:t xml:space="preserve">Art. 74, IV, </w:t>
      </w:r>
      <w:r>
        <w:rPr>
          <w:rFonts w:ascii="Arial" w:hAnsi="Arial" w:cs="Arial"/>
          <w:sz w:val="24"/>
          <w:szCs w:val="24"/>
        </w:rPr>
        <w:t>da Lei n. 14.133/2021</w:t>
      </w:r>
      <w:r w:rsidRPr="005F0BCC">
        <w:rPr>
          <w:rFonts w:ascii="Arial" w:hAnsi="Arial" w:cs="Arial"/>
          <w:sz w:val="24"/>
          <w:szCs w:val="24"/>
        </w:rPr>
        <w:t xml:space="preserve">, justifica -se a presente despesa através de inexigibilidade de licitação pela inviabilidade de competição na medida em que a Administração Pública pretende contratar, por preço certo e predefinido, todos os profissionais e pessoas jurídicas que satisfaçam os requisitos e que expressamente acatem as condições do poder público. </w:t>
      </w:r>
    </w:p>
    <w:p w14:paraId="58C3B044" w14:textId="77777777" w:rsidR="000A12B5" w:rsidRPr="002E31F9" w:rsidRDefault="000A12B5" w:rsidP="000A12B5">
      <w:pPr>
        <w:spacing w:line="360" w:lineRule="auto"/>
        <w:ind w:firstLine="1134"/>
        <w:jc w:val="both"/>
        <w:rPr>
          <w:rFonts w:ascii="Arial" w:hAnsi="Arial" w:cs="Arial"/>
          <w:sz w:val="24"/>
          <w:szCs w:val="24"/>
        </w:rPr>
      </w:pPr>
      <w:r w:rsidRPr="005F0BCC">
        <w:rPr>
          <w:rFonts w:ascii="Arial" w:hAnsi="Arial" w:cs="Arial"/>
          <w:sz w:val="24"/>
          <w:szCs w:val="24"/>
        </w:rPr>
        <w:t>Conforme constou do edital do Chamamento Público nº</w:t>
      </w:r>
      <w:r>
        <w:rPr>
          <w:rFonts w:ascii="Arial" w:hAnsi="Arial" w:cs="Arial"/>
          <w:sz w:val="24"/>
          <w:szCs w:val="24"/>
        </w:rPr>
        <w:t xml:space="preserve"> 01/2024</w:t>
      </w:r>
      <w:r w:rsidRPr="005F0BCC">
        <w:rPr>
          <w:rFonts w:ascii="Arial" w:hAnsi="Arial" w:cs="Arial"/>
          <w:sz w:val="24"/>
          <w:szCs w:val="24"/>
        </w:rPr>
        <w:t xml:space="preserve">, para credenciamento de pessoas físicas ou jurídicas interessadas em se apresentar nos </w:t>
      </w:r>
      <w:r>
        <w:rPr>
          <w:rFonts w:ascii="Arial" w:hAnsi="Arial" w:cs="Arial"/>
          <w:sz w:val="24"/>
          <w:szCs w:val="24"/>
        </w:rPr>
        <w:t>eventos Culturais do Município de Mossoró</w:t>
      </w:r>
      <w:r w:rsidRPr="005F0BCC">
        <w:rPr>
          <w:rFonts w:ascii="Arial" w:hAnsi="Arial" w:cs="Arial"/>
          <w:sz w:val="24"/>
          <w:szCs w:val="24"/>
        </w:rPr>
        <w:t xml:space="preserve"> para o ano em curso</w:t>
      </w:r>
      <w:r w:rsidRPr="00095EFA">
        <w:rPr>
          <w:rFonts w:ascii="Arial" w:hAnsi="Arial" w:cs="Arial"/>
          <w:b/>
          <w:sz w:val="24"/>
          <w:szCs w:val="24"/>
        </w:rPr>
        <w:t>,</w:t>
      </w:r>
      <w:r w:rsidRPr="005F0BCC">
        <w:rPr>
          <w:rFonts w:ascii="Arial" w:hAnsi="Arial" w:cs="Arial"/>
          <w:sz w:val="24"/>
          <w:szCs w:val="24"/>
        </w:rPr>
        <w:t xml:space="preserve"> tendo em vista que </w:t>
      </w:r>
      <w:proofErr w:type="gramStart"/>
      <w:r w:rsidRPr="005F0BCC">
        <w:rPr>
          <w:rFonts w:ascii="Arial" w:hAnsi="Arial" w:cs="Arial"/>
          <w:sz w:val="24"/>
          <w:szCs w:val="24"/>
        </w:rPr>
        <w:t>o mesmo</w:t>
      </w:r>
      <w:proofErr w:type="gramEnd"/>
      <w:r w:rsidRPr="005F0BCC">
        <w:rPr>
          <w:rFonts w:ascii="Arial" w:hAnsi="Arial" w:cs="Arial"/>
          <w:sz w:val="24"/>
          <w:szCs w:val="24"/>
        </w:rPr>
        <w:t xml:space="preserve"> atendeu a todos os requisitos exigidos no edital. Esse método de inexigibilidade para a contratação de todos é o que a doutrina denomina de Credenciamento. </w:t>
      </w:r>
    </w:p>
    <w:p w14:paraId="664E01F5" w14:textId="77777777" w:rsidR="000A12B5" w:rsidRPr="005F0BCC" w:rsidRDefault="000A12B5" w:rsidP="000A12B5">
      <w:pPr>
        <w:spacing w:line="360" w:lineRule="auto"/>
        <w:ind w:firstLine="1134"/>
        <w:jc w:val="both"/>
        <w:rPr>
          <w:rFonts w:ascii="Arial" w:hAnsi="Arial" w:cs="Arial"/>
          <w:sz w:val="24"/>
          <w:szCs w:val="24"/>
        </w:rPr>
      </w:pPr>
      <w:r w:rsidRPr="005F0BCC">
        <w:rPr>
          <w:rFonts w:ascii="Arial" w:hAnsi="Arial" w:cs="Arial"/>
          <w:sz w:val="24"/>
          <w:szCs w:val="24"/>
        </w:rPr>
        <w:t xml:space="preserve">A </w:t>
      </w:r>
      <w:r>
        <w:rPr>
          <w:rFonts w:ascii="Arial" w:hAnsi="Arial" w:cs="Arial"/>
          <w:sz w:val="24"/>
          <w:szCs w:val="24"/>
        </w:rPr>
        <w:t>a</w:t>
      </w:r>
      <w:r w:rsidRPr="005F0BCC">
        <w:rPr>
          <w:rFonts w:ascii="Arial" w:hAnsi="Arial" w:cs="Arial"/>
          <w:sz w:val="24"/>
          <w:szCs w:val="24"/>
        </w:rPr>
        <w:t xml:space="preserve">dministração convoca profissionais dispondo-se a contratar todos os interessados que preencham os requisitos por ela exigidos e por um preço previamente definido no próprio ato do chamamento. O aviso de resultado do chamamento público, realizado pela SECRETARIA MUNICIPAL DE CULTURA, credenciou </w:t>
      </w:r>
      <w:r>
        <w:rPr>
          <w:rFonts w:ascii="Arial" w:hAnsi="Arial" w:cs="Arial"/>
          <w:sz w:val="24"/>
          <w:szCs w:val="24"/>
        </w:rPr>
        <w:t>a empresa SILVANA SOUSA DE OLIVEIRA SILVA.</w:t>
      </w:r>
    </w:p>
    <w:p w14:paraId="59AE0B5D" w14:textId="77777777" w:rsidR="000A12B5" w:rsidRPr="005F0BCC" w:rsidRDefault="000A12B5" w:rsidP="000A12B5">
      <w:pPr>
        <w:spacing w:line="360" w:lineRule="auto"/>
        <w:ind w:firstLine="1134"/>
        <w:jc w:val="both"/>
        <w:rPr>
          <w:rFonts w:ascii="Arial" w:hAnsi="Arial" w:cs="Arial"/>
          <w:sz w:val="24"/>
          <w:szCs w:val="24"/>
        </w:rPr>
      </w:pPr>
      <w:r w:rsidRPr="005F0BCC">
        <w:rPr>
          <w:rFonts w:ascii="Arial" w:hAnsi="Arial" w:cs="Arial"/>
          <w:sz w:val="24"/>
          <w:szCs w:val="24"/>
        </w:rPr>
        <w:t xml:space="preserve">Assim, pode -se dizer que o credenciamento é um sistema pelo qual a </w:t>
      </w:r>
      <w:r>
        <w:rPr>
          <w:rFonts w:ascii="Arial" w:hAnsi="Arial" w:cs="Arial"/>
          <w:sz w:val="24"/>
          <w:szCs w:val="24"/>
        </w:rPr>
        <w:t>a</w:t>
      </w:r>
      <w:r w:rsidRPr="005F0BCC">
        <w:rPr>
          <w:rFonts w:ascii="Arial" w:hAnsi="Arial" w:cs="Arial"/>
          <w:sz w:val="24"/>
          <w:szCs w:val="24"/>
        </w:rPr>
        <w:t xml:space="preserve">dministração Pública efetivará uma contratação direta, mediante a inexigibilidade de licitação, selecionando não apenas um participante, mas sim, </w:t>
      </w:r>
      <w:r w:rsidRPr="005F0BCC">
        <w:rPr>
          <w:rFonts w:ascii="Arial" w:hAnsi="Arial" w:cs="Arial"/>
          <w:sz w:val="24"/>
          <w:szCs w:val="24"/>
        </w:rPr>
        <w:lastRenderedPageBreak/>
        <w:t xml:space="preserve">pré-qualificando todos os interessados para, segundo condições previamente definidas em regulamento e divulgadas, credenciarem-se como prestadores de serviços ou beneficiários de um negócio futuro a ser ofertado. </w:t>
      </w:r>
    </w:p>
    <w:p w14:paraId="04F6D631" w14:textId="77777777" w:rsidR="000A12B5" w:rsidRPr="005A27DD" w:rsidRDefault="000A12B5" w:rsidP="000A12B5">
      <w:pPr>
        <w:spacing w:line="360" w:lineRule="auto"/>
        <w:ind w:firstLine="1134"/>
        <w:jc w:val="both"/>
        <w:rPr>
          <w:rFonts w:ascii="Arial" w:hAnsi="Arial" w:cs="Arial"/>
          <w:sz w:val="24"/>
          <w:szCs w:val="24"/>
        </w:rPr>
      </w:pPr>
      <w:r w:rsidRPr="005F0BCC">
        <w:rPr>
          <w:rFonts w:ascii="Arial" w:hAnsi="Arial" w:cs="Arial"/>
          <w:sz w:val="24"/>
          <w:szCs w:val="24"/>
        </w:rPr>
        <w:t xml:space="preserve">Em suma, para a contratação pretensa, nas situações de ausência de competição, onde o credenciamento é adequado, não precisa a Administração Pública realizar licitação, pois todos os interessados aptos serão aproveitados. Tal situação, sob um certo ângulo, configura inexigibilidade de licitação, amparada no </w:t>
      </w:r>
      <w:r>
        <w:rPr>
          <w:rFonts w:ascii="Arial" w:hAnsi="Arial" w:cs="Arial"/>
          <w:b/>
          <w:sz w:val="24"/>
          <w:szCs w:val="24"/>
        </w:rPr>
        <w:t xml:space="preserve">Art. 74, IV, </w:t>
      </w:r>
      <w:r>
        <w:rPr>
          <w:rFonts w:ascii="Arial" w:hAnsi="Arial" w:cs="Arial"/>
          <w:sz w:val="24"/>
          <w:szCs w:val="24"/>
        </w:rPr>
        <w:t>da Lei n. 14.133/2021</w:t>
      </w:r>
      <w:r w:rsidRPr="005F0BCC">
        <w:rPr>
          <w:rFonts w:ascii="Arial" w:hAnsi="Arial" w:cs="Arial"/>
          <w:sz w:val="24"/>
          <w:szCs w:val="24"/>
        </w:rPr>
        <w:t>, considerando -se as peculiaridades de que se reveste o procedimento – ausência de exclusividade e cunho não competitivo da seleção.</w:t>
      </w:r>
    </w:p>
    <w:p w14:paraId="0C83BC64" w14:textId="77777777" w:rsidR="000A12B5" w:rsidRDefault="000A12B5" w:rsidP="000A12B5">
      <w:pPr>
        <w:pStyle w:val="Corpodetexto3"/>
        <w:widowControl w:val="0"/>
        <w:spacing w:line="360" w:lineRule="auto"/>
        <w:jc w:val="both"/>
        <w:outlineLvl w:val="0"/>
        <w:rPr>
          <w:rFonts w:ascii="Arial" w:hAnsi="Arial" w:cs="Arial"/>
          <w:b/>
          <w:sz w:val="24"/>
          <w:szCs w:val="24"/>
        </w:rPr>
      </w:pPr>
      <w:r>
        <w:rPr>
          <w:rFonts w:ascii="Arial" w:hAnsi="Arial" w:cs="Arial"/>
          <w:b/>
          <w:sz w:val="24"/>
          <w:szCs w:val="24"/>
        </w:rPr>
        <w:t>V – DA JUSTIFICATIVA DO PREÇO</w:t>
      </w:r>
    </w:p>
    <w:p w14:paraId="34DF10B6" w14:textId="77777777" w:rsidR="000A12B5" w:rsidRPr="002E31F9" w:rsidRDefault="000A12B5" w:rsidP="000A12B5">
      <w:pPr>
        <w:spacing w:line="360" w:lineRule="auto"/>
        <w:ind w:firstLine="1134"/>
        <w:jc w:val="both"/>
        <w:rPr>
          <w:rFonts w:ascii="Arial" w:hAnsi="Arial" w:cs="Arial"/>
          <w:sz w:val="24"/>
          <w:szCs w:val="24"/>
        </w:rPr>
      </w:pPr>
      <w:r w:rsidRPr="005F0BCC">
        <w:rPr>
          <w:rFonts w:ascii="Arial" w:hAnsi="Arial" w:cs="Arial"/>
          <w:sz w:val="24"/>
          <w:szCs w:val="24"/>
        </w:rPr>
        <w:t xml:space="preserve">A Administração Pública pretende contratar, por preço certo e predefinido, todos os profissionais e pessoas jurídicas que satisfaçam os requisitos e que expressamente acatem as condições do poder público. De acordo com o Edital de Chamamento, desde que satisfeita a comprovação por Notas Fiscais de preços praticados em apresentações do Artista. </w:t>
      </w:r>
    </w:p>
    <w:p w14:paraId="6C90DB6C" w14:textId="7857D85B" w:rsidR="000A12B5" w:rsidRPr="005F0BCC" w:rsidRDefault="000A12B5" w:rsidP="000A12B5">
      <w:pPr>
        <w:spacing w:line="360" w:lineRule="auto"/>
        <w:ind w:firstLine="1134"/>
        <w:jc w:val="both"/>
        <w:rPr>
          <w:rFonts w:ascii="Arial" w:hAnsi="Arial" w:cs="Arial"/>
          <w:sz w:val="24"/>
          <w:szCs w:val="24"/>
        </w:rPr>
      </w:pPr>
      <w:r w:rsidRPr="005F0BCC">
        <w:rPr>
          <w:rFonts w:ascii="Arial" w:hAnsi="Arial" w:cs="Arial"/>
          <w:sz w:val="24"/>
          <w:szCs w:val="24"/>
        </w:rPr>
        <w:t xml:space="preserve">Diante da Solicitação de Despesa encaminhada, verifica -se que, o valor total da inexigibilidade totaliza em R$ </w:t>
      </w:r>
      <w:r w:rsidRPr="00095EFA">
        <w:rPr>
          <w:rFonts w:ascii="Arial" w:hAnsi="Arial" w:cs="Arial"/>
          <w:b/>
          <w:sz w:val="24"/>
          <w:szCs w:val="24"/>
        </w:rPr>
        <w:t xml:space="preserve">R$ </w:t>
      </w:r>
      <w:r>
        <w:rPr>
          <w:rFonts w:ascii="Arial" w:hAnsi="Arial" w:cs="Arial"/>
          <w:b/>
          <w:sz w:val="24"/>
          <w:szCs w:val="24"/>
        </w:rPr>
        <w:t>4.000,00</w:t>
      </w:r>
      <w:r w:rsidRPr="00095EFA">
        <w:rPr>
          <w:rFonts w:ascii="Arial" w:hAnsi="Arial" w:cs="Arial"/>
          <w:b/>
          <w:sz w:val="24"/>
          <w:szCs w:val="24"/>
        </w:rPr>
        <w:t xml:space="preserve"> (</w:t>
      </w:r>
      <w:r>
        <w:rPr>
          <w:rFonts w:ascii="Arial" w:hAnsi="Arial" w:cs="Arial"/>
          <w:b/>
          <w:sz w:val="24"/>
          <w:szCs w:val="24"/>
        </w:rPr>
        <w:t>quatro mil reais</w:t>
      </w:r>
      <w:r w:rsidRPr="00095EFA">
        <w:rPr>
          <w:rFonts w:ascii="Arial" w:hAnsi="Arial" w:cs="Arial"/>
          <w:b/>
          <w:sz w:val="24"/>
          <w:szCs w:val="24"/>
        </w:rPr>
        <w:t>)</w:t>
      </w:r>
      <w:r w:rsidRPr="005F0BCC">
        <w:rPr>
          <w:rFonts w:ascii="Arial" w:hAnsi="Arial" w:cs="Arial"/>
          <w:sz w:val="24"/>
          <w:szCs w:val="24"/>
        </w:rPr>
        <w:t xml:space="preserve">, para a </w:t>
      </w:r>
      <w:r w:rsidRPr="00882918">
        <w:rPr>
          <w:rFonts w:ascii="Arial" w:hAnsi="Arial" w:cs="Arial"/>
          <w:sz w:val="24"/>
          <w:szCs w:val="24"/>
        </w:rPr>
        <w:t>Contratação do artista</w:t>
      </w:r>
      <w:r>
        <w:rPr>
          <w:rFonts w:ascii="Arial" w:hAnsi="Arial" w:cs="Arial"/>
          <w:sz w:val="24"/>
          <w:szCs w:val="24"/>
        </w:rPr>
        <w:t>/banda</w:t>
      </w:r>
      <w:r w:rsidRPr="00882918">
        <w:rPr>
          <w:rFonts w:ascii="Arial" w:hAnsi="Arial" w:cs="Arial"/>
          <w:sz w:val="24"/>
          <w:szCs w:val="24"/>
        </w:rPr>
        <w:t xml:space="preserve"> regional </w:t>
      </w:r>
      <w:r w:rsidRPr="002E31F9">
        <w:rPr>
          <w:rFonts w:ascii="Arial" w:hAnsi="Arial" w:cs="Arial"/>
          <w:b/>
          <w:bCs/>
          <w:sz w:val="24"/>
          <w:szCs w:val="24"/>
        </w:rPr>
        <w:t>''</w:t>
      </w:r>
      <w:r>
        <w:rPr>
          <w:rFonts w:ascii="Arial" w:hAnsi="Arial" w:cs="Arial"/>
          <w:b/>
          <w:bCs/>
          <w:sz w:val="24"/>
          <w:szCs w:val="24"/>
        </w:rPr>
        <w:t>NETINHO SANTOS</w:t>
      </w:r>
      <w:r w:rsidRPr="002E31F9">
        <w:rPr>
          <w:rFonts w:ascii="Arial" w:hAnsi="Arial" w:cs="Arial"/>
          <w:b/>
          <w:bCs/>
          <w:sz w:val="24"/>
          <w:szCs w:val="24"/>
        </w:rPr>
        <w:t>''</w:t>
      </w:r>
      <w:r w:rsidRPr="00882918">
        <w:rPr>
          <w:rFonts w:ascii="Arial" w:hAnsi="Arial" w:cs="Arial"/>
          <w:sz w:val="24"/>
          <w:szCs w:val="24"/>
        </w:rPr>
        <w:t xml:space="preserve"> para apresentação no</w:t>
      </w:r>
      <w:r>
        <w:rPr>
          <w:rFonts w:ascii="Arial" w:hAnsi="Arial" w:cs="Arial"/>
          <w:sz w:val="24"/>
          <w:szCs w:val="24"/>
        </w:rPr>
        <w:t xml:space="preserve"> </w:t>
      </w:r>
      <w:r>
        <w:rPr>
          <w:rFonts w:ascii="Arial" w:hAnsi="Arial" w:cs="Arial"/>
          <w:b/>
          <w:bCs/>
          <w:sz w:val="24"/>
          <w:szCs w:val="24"/>
        </w:rPr>
        <w:t>POLO CIDADELA - PALCO 1</w:t>
      </w:r>
      <w:r w:rsidRPr="00882918">
        <w:rPr>
          <w:rFonts w:ascii="Arial" w:hAnsi="Arial" w:cs="Arial"/>
          <w:sz w:val="24"/>
          <w:szCs w:val="24"/>
        </w:rPr>
        <w:t xml:space="preserve">, que será realizado dia </w:t>
      </w:r>
      <w:r>
        <w:rPr>
          <w:rFonts w:ascii="Arial" w:hAnsi="Arial" w:cs="Arial"/>
          <w:sz w:val="24"/>
          <w:szCs w:val="24"/>
        </w:rPr>
        <w:t>1</w:t>
      </w:r>
      <w:r>
        <w:rPr>
          <w:rFonts w:ascii="Arial" w:hAnsi="Arial" w:cs="Arial"/>
          <w:sz w:val="24"/>
          <w:szCs w:val="24"/>
        </w:rPr>
        <w:t>5</w:t>
      </w:r>
      <w:r>
        <w:rPr>
          <w:rFonts w:ascii="Arial" w:hAnsi="Arial" w:cs="Arial"/>
          <w:sz w:val="24"/>
          <w:szCs w:val="24"/>
        </w:rPr>
        <w:t>/06/2024</w:t>
      </w:r>
      <w:r w:rsidRPr="00882918">
        <w:rPr>
          <w:rFonts w:ascii="Arial" w:hAnsi="Arial" w:cs="Arial"/>
          <w:sz w:val="24"/>
          <w:szCs w:val="24"/>
        </w:rPr>
        <w:t xml:space="preserve">, </w:t>
      </w:r>
      <w:proofErr w:type="gramStart"/>
      <w:r>
        <w:rPr>
          <w:rFonts w:ascii="Arial" w:hAnsi="Arial" w:cs="Arial"/>
          <w:sz w:val="24"/>
          <w:szCs w:val="24"/>
        </w:rPr>
        <w:t>o</w:t>
      </w:r>
      <w:r w:rsidRPr="00882918">
        <w:rPr>
          <w:rFonts w:ascii="Arial" w:hAnsi="Arial" w:cs="Arial"/>
          <w:sz w:val="24"/>
          <w:szCs w:val="24"/>
        </w:rPr>
        <w:t xml:space="preserve"> mesm</w:t>
      </w:r>
      <w:r>
        <w:rPr>
          <w:rFonts w:ascii="Arial" w:hAnsi="Arial" w:cs="Arial"/>
          <w:sz w:val="24"/>
          <w:szCs w:val="24"/>
        </w:rPr>
        <w:t>o</w:t>
      </w:r>
      <w:proofErr w:type="gramEnd"/>
      <w:r w:rsidRPr="00882918">
        <w:rPr>
          <w:rFonts w:ascii="Arial" w:hAnsi="Arial" w:cs="Arial"/>
          <w:sz w:val="24"/>
          <w:szCs w:val="24"/>
        </w:rPr>
        <w:t xml:space="preserve"> está devidamente credenciado através do Chamamento Público 01/202</w:t>
      </w:r>
      <w:r>
        <w:rPr>
          <w:rFonts w:ascii="Arial" w:hAnsi="Arial" w:cs="Arial"/>
          <w:sz w:val="24"/>
          <w:szCs w:val="24"/>
        </w:rPr>
        <w:t>4</w:t>
      </w:r>
      <w:r w:rsidRPr="00882918">
        <w:rPr>
          <w:rFonts w:ascii="Arial" w:hAnsi="Arial" w:cs="Arial"/>
          <w:sz w:val="24"/>
          <w:szCs w:val="24"/>
        </w:rPr>
        <w:t>.</w:t>
      </w:r>
      <w:r>
        <w:rPr>
          <w:rFonts w:ascii="Arial" w:hAnsi="Arial" w:cs="Arial"/>
          <w:sz w:val="24"/>
          <w:szCs w:val="24"/>
        </w:rPr>
        <w:t xml:space="preserve"> através da empresa SILVANA SOUSA DE OLIVEIRA SILVA.</w:t>
      </w:r>
    </w:p>
    <w:p w14:paraId="0C3EBF1D" w14:textId="77777777" w:rsidR="000A12B5" w:rsidRDefault="000A12B5" w:rsidP="000A12B5">
      <w:pPr>
        <w:widowControl w:val="0"/>
        <w:spacing w:line="360" w:lineRule="auto"/>
        <w:jc w:val="both"/>
        <w:rPr>
          <w:rFonts w:ascii="Arial" w:hAnsi="Arial" w:cs="Arial"/>
          <w:b/>
          <w:bCs/>
          <w:sz w:val="24"/>
          <w:szCs w:val="24"/>
        </w:rPr>
      </w:pPr>
      <w:r>
        <w:rPr>
          <w:rFonts w:ascii="Arial" w:hAnsi="Arial" w:cs="Arial"/>
          <w:b/>
          <w:bCs/>
          <w:sz w:val="24"/>
          <w:szCs w:val="24"/>
        </w:rPr>
        <w:t xml:space="preserve">VI – </w:t>
      </w:r>
      <w:bookmarkStart w:id="0" w:name="_Hlk160554604"/>
      <w:r>
        <w:rPr>
          <w:rFonts w:ascii="Arial" w:hAnsi="Arial" w:cs="Arial"/>
          <w:b/>
          <w:bCs/>
          <w:sz w:val="24"/>
          <w:szCs w:val="24"/>
        </w:rPr>
        <w:t>DA HABILITAÇÃO JURÍDICA E DA REGULARIDADE FISCAL</w:t>
      </w:r>
      <w:bookmarkEnd w:id="0"/>
    </w:p>
    <w:p w14:paraId="5E367F32" w14:textId="77777777" w:rsidR="000A12B5" w:rsidRDefault="000A12B5" w:rsidP="000A12B5">
      <w:pPr>
        <w:pStyle w:val="Nivel2"/>
        <w:spacing w:line="360" w:lineRule="auto"/>
        <w:ind w:firstLine="708"/>
        <w:rPr>
          <w:color w:val="auto"/>
          <w:sz w:val="24"/>
          <w:szCs w:val="24"/>
          <w:lang w:val="pt-PT"/>
        </w:rPr>
      </w:pPr>
      <w:r>
        <w:rPr>
          <w:color w:val="auto"/>
          <w:sz w:val="24"/>
          <w:szCs w:val="24"/>
          <w:lang w:val="pt-PT"/>
        </w:rPr>
        <w:t>A verificação quanto à possibilidade jurídica de se contratar determinada pessoa é realizada por meio de aferição quanto aos requisitos de habilitação dispostos em lei. Nesse sentido, no que tange aos processos de contratação direta, a Lei nº 14.133/2021 assim dispõe:</w:t>
      </w:r>
    </w:p>
    <w:p w14:paraId="6BBA7BD3" w14:textId="77777777" w:rsidR="000A12B5" w:rsidRDefault="000A12B5" w:rsidP="000A12B5">
      <w:pPr>
        <w:pStyle w:val="Nivel2"/>
        <w:spacing w:line="360" w:lineRule="auto"/>
        <w:ind w:left="2268"/>
        <w:rPr>
          <w:i/>
          <w:iCs/>
          <w:color w:val="auto"/>
          <w:sz w:val="20"/>
          <w:szCs w:val="20"/>
          <w:lang w:val="pt-PT"/>
        </w:rPr>
      </w:pPr>
      <w:r>
        <w:rPr>
          <w:i/>
          <w:iCs/>
          <w:color w:val="auto"/>
          <w:sz w:val="20"/>
          <w:szCs w:val="20"/>
          <w:lang w:val="pt-PT"/>
        </w:rPr>
        <w:lastRenderedPageBreak/>
        <w:t>Art. 72. O processo de contratação direta, que compreende os casos de inexigibilidade e de dispensa</w:t>
      </w:r>
    </w:p>
    <w:p w14:paraId="6C2D459C" w14:textId="77777777" w:rsidR="000A12B5" w:rsidRDefault="000A12B5" w:rsidP="000A12B5">
      <w:pPr>
        <w:pStyle w:val="Nivel2"/>
        <w:spacing w:line="360" w:lineRule="auto"/>
        <w:ind w:left="2268"/>
        <w:rPr>
          <w:i/>
          <w:iCs/>
          <w:color w:val="auto"/>
          <w:sz w:val="20"/>
          <w:szCs w:val="20"/>
          <w:lang w:val="pt-PT"/>
        </w:rPr>
      </w:pPr>
      <w:r>
        <w:rPr>
          <w:i/>
          <w:iCs/>
          <w:color w:val="auto"/>
          <w:sz w:val="20"/>
          <w:szCs w:val="20"/>
          <w:lang w:val="pt-PT"/>
        </w:rPr>
        <w:t>de licitação, deverá ser instruído com os seguintes documentos:</w:t>
      </w:r>
    </w:p>
    <w:p w14:paraId="1FD46A89" w14:textId="77777777" w:rsidR="000A12B5" w:rsidRDefault="000A12B5" w:rsidP="000A12B5">
      <w:pPr>
        <w:pStyle w:val="Nivel2"/>
        <w:spacing w:line="360" w:lineRule="auto"/>
        <w:ind w:left="2268"/>
        <w:rPr>
          <w:color w:val="auto"/>
          <w:sz w:val="20"/>
          <w:szCs w:val="20"/>
          <w:lang w:val="pt-PT"/>
        </w:rPr>
      </w:pPr>
      <w:r>
        <w:rPr>
          <w:color w:val="auto"/>
          <w:sz w:val="20"/>
          <w:szCs w:val="20"/>
          <w:lang w:val="pt-PT"/>
        </w:rPr>
        <w:t>[...]</w:t>
      </w:r>
    </w:p>
    <w:p w14:paraId="3307BCCC" w14:textId="77777777" w:rsidR="000A12B5" w:rsidRDefault="000A12B5" w:rsidP="000A12B5">
      <w:pPr>
        <w:pStyle w:val="Nivel2"/>
        <w:spacing w:line="360" w:lineRule="auto"/>
        <w:ind w:left="2268"/>
        <w:rPr>
          <w:color w:val="auto"/>
          <w:sz w:val="20"/>
          <w:szCs w:val="20"/>
          <w:lang w:val="pt-PT"/>
        </w:rPr>
      </w:pPr>
      <w:r>
        <w:rPr>
          <w:color w:val="auto"/>
          <w:sz w:val="20"/>
          <w:szCs w:val="20"/>
          <w:lang w:val="pt-PT"/>
        </w:rPr>
        <w:t>V - comprovação de que o contratado preenche os requisitos de habilitação e qualificação mínima necessária; (grifo nosso);</w:t>
      </w:r>
    </w:p>
    <w:p w14:paraId="4AE2AC56" w14:textId="77777777" w:rsidR="000A12B5" w:rsidRDefault="000A12B5" w:rsidP="000A12B5">
      <w:pPr>
        <w:spacing w:line="360" w:lineRule="auto"/>
        <w:jc w:val="both"/>
        <w:rPr>
          <w:rFonts w:ascii="Arial" w:eastAsia="Calibri" w:hAnsi="Arial" w:cs="Arial"/>
          <w:sz w:val="24"/>
          <w:szCs w:val="24"/>
        </w:rPr>
      </w:pPr>
      <w:r>
        <w:rPr>
          <w:rFonts w:ascii="Arial" w:hAnsi="Arial" w:cs="Arial"/>
          <w:sz w:val="24"/>
          <w:szCs w:val="24"/>
          <w:lang w:val="pt-PT"/>
        </w:rPr>
        <w:tab/>
        <w:t>Para a devida verificação da habilitação jurídica e da regularidade fiscal fora apresentado pelo contratado as seguintes documentações: Cartão CNPJ, com comprovação pertinente ao seu ramo de atividades e compatível com objeto contratual; Cópia dos documentos de identificação dos representantes (RG e CPF); Certidão de Regularidade para com a Fazenda Federal (art. 68, III, Lei 14.133/2021); Certidão de Regularidade</w:t>
      </w:r>
      <w:r>
        <w:rPr>
          <w:rFonts w:ascii="Arial" w:eastAsia="Calibri" w:hAnsi="Arial" w:cs="Arial"/>
          <w:sz w:val="24"/>
          <w:szCs w:val="24"/>
        </w:rPr>
        <w:t xml:space="preserve"> para com a Fazenda Estadual (art. 68, III, Lei 14.133/2021); Certidão de Regularidade para com a Fazenda Municipal (art. 68, III, Lei 14.133/2021); Certidão de inexistência de débitos inadimplidos perante a justiça do Trabalho – (art. 68, V, Lei 14.133/2021); Certidão do FGTS (art. 68, IV, Lei 14.133/2021); Declaração de inexistência de fato impeditivo da habilitação e Declaração relativa ao cumprimento do disposto no art. 7.º inc. XXXIII, da Constituição Federal (art. 27, inc. VI, da Lei n.º 14.133/2021);</w:t>
      </w:r>
    </w:p>
    <w:p w14:paraId="74FA2AFE" w14:textId="77777777" w:rsidR="000A12B5" w:rsidRDefault="000A12B5" w:rsidP="000A12B5">
      <w:pPr>
        <w:pStyle w:val="Nivel2"/>
        <w:spacing w:line="360" w:lineRule="auto"/>
        <w:rPr>
          <w:color w:val="auto"/>
          <w:sz w:val="24"/>
          <w:szCs w:val="24"/>
          <w:lang w:val="pt-PT"/>
        </w:rPr>
      </w:pPr>
      <w:r>
        <w:rPr>
          <w:color w:val="auto"/>
          <w:sz w:val="24"/>
          <w:szCs w:val="24"/>
          <w:lang w:val="pt-PT"/>
        </w:rPr>
        <w:tab/>
      </w:r>
      <w:r>
        <w:rPr>
          <w:rFonts w:eastAsia="Calibri"/>
          <w:color w:val="auto"/>
          <w:sz w:val="24"/>
          <w:szCs w:val="24"/>
        </w:rPr>
        <w:t>Assim dada a vasta documentação apresentada, em relação aos requisitos exigidos, verifica-se que estes estão compatíveis com a exigência legal, podendo a Administração adquiri-lo sem qualquer afronta à lei de regência das contratações.</w:t>
      </w:r>
      <w:r>
        <w:rPr>
          <w:color w:val="auto"/>
          <w:sz w:val="24"/>
          <w:szCs w:val="24"/>
          <w:lang w:val="pt-PT"/>
        </w:rPr>
        <w:t xml:space="preserve">  </w:t>
      </w:r>
    </w:p>
    <w:p w14:paraId="3C50449D" w14:textId="77777777" w:rsidR="000A12B5" w:rsidRDefault="000A12B5" w:rsidP="000A12B5">
      <w:pPr>
        <w:pStyle w:val="Nivel2"/>
        <w:spacing w:line="360" w:lineRule="auto"/>
        <w:ind w:firstLine="708"/>
        <w:rPr>
          <w:color w:val="auto"/>
          <w:sz w:val="24"/>
          <w:szCs w:val="24"/>
          <w:lang w:val="pt-PT"/>
        </w:rPr>
      </w:pPr>
    </w:p>
    <w:p w14:paraId="6E651C11" w14:textId="77777777" w:rsidR="000A12B5" w:rsidRDefault="000A12B5" w:rsidP="000A12B5">
      <w:pPr>
        <w:widowControl w:val="0"/>
        <w:spacing w:line="360" w:lineRule="auto"/>
        <w:jc w:val="both"/>
        <w:rPr>
          <w:rFonts w:ascii="Arial" w:hAnsi="Arial" w:cs="Arial"/>
          <w:b/>
          <w:bCs/>
          <w:sz w:val="24"/>
          <w:szCs w:val="24"/>
        </w:rPr>
      </w:pPr>
      <w:r>
        <w:rPr>
          <w:rFonts w:ascii="Arial" w:hAnsi="Arial" w:cs="Arial"/>
          <w:b/>
          <w:bCs/>
          <w:sz w:val="24"/>
          <w:szCs w:val="24"/>
        </w:rPr>
        <w:t>VI – DA ESCOLHA</w:t>
      </w:r>
    </w:p>
    <w:p w14:paraId="37F29AA2" w14:textId="6F5ACB35" w:rsidR="000A12B5" w:rsidRDefault="000A12B5" w:rsidP="000A12B5">
      <w:pPr>
        <w:pStyle w:val="Default"/>
        <w:spacing w:line="360" w:lineRule="auto"/>
        <w:ind w:firstLine="708"/>
        <w:jc w:val="both"/>
        <w:rPr>
          <w:rFonts w:ascii="Arial" w:eastAsia="Calibri" w:hAnsi="Arial" w:cs="Arial"/>
        </w:rPr>
      </w:pPr>
      <w:r>
        <w:rPr>
          <w:rFonts w:ascii="Arial" w:eastAsia="Calibri" w:hAnsi="Arial" w:cs="Arial"/>
        </w:rPr>
        <w:t xml:space="preserve">A escolha da contratação, sob análise, decorre da sua consagração perante a crítica especializada e opinião pública, considerando ainda todo o exposto, inobstante o interesse em contratar o artista </w:t>
      </w:r>
      <w:r w:rsidRPr="002E31F9">
        <w:rPr>
          <w:rFonts w:ascii="Arial" w:hAnsi="Arial" w:cs="Arial"/>
          <w:b/>
          <w:bCs/>
        </w:rPr>
        <w:t>''</w:t>
      </w:r>
      <w:r>
        <w:rPr>
          <w:rFonts w:ascii="Arial" w:hAnsi="Arial" w:cs="Arial"/>
          <w:b/>
          <w:bCs/>
        </w:rPr>
        <w:t>R</w:t>
      </w:r>
      <w:r w:rsidRPr="002E31F9">
        <w:rPr>
          <w:rFonts w:ascii="Arial" w:hAnsi="Arial" w:cs="Arial"/>
          <w:b/>
          <w:bCs/>
        </w:rPr>
        <w:t>''</w:t>
      </w:r>
      <w:r>
        <w:rPr>
          <w:rFonts w:ascii="Arial" w:hAnsi="Arial" w:cs="Arial"/>
          <w:b/>
          <w:bCs/>
        </w:rPr>
        <w:t>NETINHO SANTOS</w:t>
      </w:r>
      <w:r w:rsidRPr="002E31F9">
        <w:rPr>
          <w:rFonts w:ascii="Arial" w:hAnsi="Arial" w:cs="Arial"/>
          <w:b/>
          <w:bCs/>
        </w:rPr>
        <w:t>''</w:t>
      </w:r>
      <w:r w:rsidRPr="00882918">
        <w:rPr>
          <w:rFonts w:ascii="Arial" w:hAnsi="Arial" w:cs="Arial"/>
        </w:rPr>
        <w:t xml:space="preserve">  </w:t>
      </w:r>
      <w:r>
        <w:rPr>
          <w:rFonts w:ascii="Arial" w:eastAsia="Calibri" w:hAnsi="Arial" w:cs="Arial"/>
        </w:rPr>
        <w:lastRenderedPageBreak/>
        <w:t>para apresentação no Evento Mossoró Cidade Junina 2024, no POLO CIDADELA - PALCO 1, na data de 1</w:t>
      </w:r>
      <w:r>
        <w:rPr>
          <w:rFonts w:ascii="Arial" w:eastAsia="Calibri" w:hAnsi="Arial" w:cs="Arial"/>
        </w:rPr>
        <w:t>5</w:t>
      </w:r>
      <w:r>
        <w:rPr>
          <w:rFonts w:ascii="Arial" w:eastAsia="Calibri" w:hAnsi="Arial" w:cs="Arial"/>
        </w:rPr>
        <w:t xml:space="preserve"> de junho de 2024, é decisão deste ordenador da despesa optar pela contratação, estatando </w:t>
      </w:r>
      <w:r w:rsidRPr="00D7367B">
        <w:rPr>
          <w:rFonts w:ascii="Arial" w:eastAsia="Calibri" w:hAnsi="Arial" w:cs="Arial"/>
        </w:rPr>
        <w:t>devidamente habilitado no Credenciamento n° 01/2024-SMC</w:t>
      </w:r>
      <w:r>
        <w:rPr>
          <w:rFonts w:ascii="Arial" w:eastAsia="Calibri" w:hAnsi="Arial" w:cs="Arial"/>
        </w:rPr>
        <w:t>, ante a criteriosa análise de toda a documentação acostada aos autos que instruem o presente procedimento.</w:t>
      </w:r>
    </w:p>
    <w:p w14:paraId="71230666" w14:textId="77777777" w:rsidR="000A12B5" w:rsidRDefault="000A12B5" w:rsidP="000A12B5">
      <w:pPr>
        <w:pStyle w:val="Nivel2"/>
        <w:spacing w:before="0" w:after="0" w:line="360" w:lineRule="auto"/>
        <w:rPr>
          <w:rFonts w:eastAsia="Times New Roman"/>
          <w:i/>
          <w:iCs/>
          <w:color w:val="auto"/>
          <w:sz w:val="24"/>
          <w:szCs w:val="24"/>
          <w:lang w:eastAsia="pt-BR"/>
        </w:rPr>
      </w:pPr>
    </w:p>
    <w:p w14:paraId="67B9772E" w14:textId="753E7190" w:rsidR="000A12B5" w:rsidRDefault="000A12B5" w:rsidP="000A12B5">
      <w:pPr>
        <w:pStyle w:val="Corpodetexto3"/>
        <w:widowControl w:val="0"/>
        <w:tabs>
          <w:tab w:val="left" w:pos="1985"/>
          <w:tab w:val="left" w:pos="2268"/>
        </w:tabs>
        <w:spacing w:line="360" w:lineRule="auto"/>
        <w:ind w:firstLine="1418"/>
        <w:jc w:val="right"/>
        <w:outlineLvl w:val="0"/>
        <w:rPr>
          <w:rFonts w:ascii="Arial" w:hAnsi="Arial" w:cs="Arial"/>
          <w:sz w:val="24"/>
          <w:szCs w:val="24"/>
        </w:rPr>
      </w:pPr>
      <w:r>
        <w:rPr>
          <w:rFonts w:ascii="Arial" w:hAnsi="Arial" w:cs="Arial"/>
          <w:sz w:val="24"/>
          <w:szCs w:val="24"/>
        </w:rPr>
        <w:t>Mossoró/RN, 0</w:t>
      </w:r>
      <w:r>
        <w:rPr>
          <w:rFonts w:ascii="Arial" w:hAnsi="Arial" w:cs="Arial"/>
          <w:sz w:val="24"/>
          <w:szCs w:val="24"/>
        </w:rPr>
        <w:t>7</w:t>
      </w:r>
      <w:r>
        <w:rPr>
          <w:rFonts w:ascii="Arial" w:hAnsi="Arial" w:cs="Arial"/>
          <w:sz w:val="24"/>
          <w:szCs w:val="24"/>
        </w:rPr>
        <w:t xml:space="preserve"> de junho de 2024.</w:t>
      </w:r>
    </w:p>
    <w:p w14:paraId="511E10ED" w14:textId="77777777" w:rsidR="000A12B5" w:rsidRDefault="000A12B5" w:rsidP="000A12B5">
      <w:pPr>
        <w:pStyle w:val="Corpodetexto3"/>
        <w:widowControl w:val="0"/>
        <w:tabs>
          <w:tab w:val="left" w:pos="1985"/>
          <w:tab w:val="left" w:pos="2268"/>
        </w:tabs>
        <w:spacing w:line="360" w:lineRule="auto"/>
        <w:jc w:val="both"/>
        <w:outlineLvl w:val="0"/>
        <w:rPr>
          <w:rFonts w:ascii="Arial" w:hAnsi="Arial" w:cs="Arial"/>
          <w:sz w:val="24"/>
          <w:szCs w:val="24"/>
        </w:rPr>
      </w:pPr>
    </w:p>
    <w:p w14:paraId="097C3F8C" w14:textId="77777777" w:rsidR="000A12B5" w:rsidRDefault="000A12B5" w:rsidP="000A12B5">
      <w:pPr>
        <w:spacing w:after="0" w:line="240" w:lineRule="auto"/>
        <w:jc w:val="center"/>
        <w:rPr>
          <w:rFonts w:ascii="Arial" w:hAnsi="Arial" w:cs="Arial"/>
          <w:b/>
          <w:bCs/>
          <w:sz w:val="24"/>
          <w:szCs w:val="24"/>
        </w:rPr>
      </w:pPr>
      <w:r>
        <w:rPr>
          <w:rFonts w:ascii="Arial" w:hAnsi="Arial" w:cs="Arial"/>
          <w:b/>
          <w:bCs/>
          <w:sz w:val="24"/>
          <w:szCs w:val="24"/>
        </w:rPr>
        <w:t>FRANK DA SILVA FELISARDO</w:t>
      </w:r>
    </w:p>
    <w:p w14:paraId="7E9EA377" w14:textId="77777777" w:rsidR="000A12B5" w:rsidRDefault="000A12B5" w:rsidP="000A12B5">
      <w:pPr>
        <w:pStyle w:val="naousarmsonormal"/>
        <w:spacing w:before="0" w:beforeAutospacing="0" w:after="0" w:afterAutospacing="0" w:line="360" w:lineRule="auto"/>
        <w:jc w:val="center"/>
        <w:rPr>
          <w:rFonts w:ascii="Arial" w:hAnsi="Arial" w:cs="Arial"/>
          <w:bCs/>
        </w:rPr>
      </w:pPr>
      <w:r>
        <w:rPr>
          <w:rFonts w:ascii="Arial" w:hAnsi="Arial" w:cs="Arial"/>
          <w:bCs/>
        </w:rPr>
        <w:t>SECRETÁRIO DE CULTURA INTERINO</w:t>
      </w:r>
    </w:p>
    <w:p w14:paraId="26F2029E" w14:textId="77777777" w:rsidR="000A12B5" w:rsidRDefault="000A12B5" w:rsidP="000A12B5">
      <w:pPr>
        <w:pStyle w:val="naousarmsonormal"/>
        <w:spacing w:before="0" w:beforeAutospacing="0" w:after="0" w:afterAutospacing="0" w:line="360" w:lineRule="auto"/>
        <w:jc w:val="both"/>
        <w:rPr>
          <w:rFonts w:ascii="Arial" w:hAnsi="Arial" w:cs="Arial"/>
          <w:b/>
        </w:rPr>
      </w:pPr>
    </w:p>
    <w:p w14:paraId="2D5B40F0" w14:textId="77777777" w:rsidR="000A12B5" w:rsidRDefault="000A12B5" w:rsidP="000A12B5">
      <w:pPr>
        <w:spacing w:after="0" w:line="360" w:lineRule="auto"/>
        <w:jc w:val="both"/>
        <w:rPr>
          <w:rFonts w:ascii="Arial" w:hAnsi="Arial" w:cs="Arial"/>
          <w:sz w:val="24"/>
          <w:szCs w:val="24"/>
        </w:rPr>
      </w:pPr>
    </w:p>
    <w:p w14:paraId="20D7135A" w14:textId="77777777" w:rsidR="000A12B5" w:rsidRDefault="000A12B5" w:rsidP="000A12B5">
      <w:pPr>
        <w:pStyle w:val="Corpodetexto3"/>
        <w:widowControl w:val="0"/>
        <w:spacing w:after="200" w:line="360" w:lineRule="auto"/>
        <w:ind w:firstLine="1134"/>
        <w:jc w:val="both"/>
        <w:outlineLvl w:val="0"/>
        <w:rPr>
          <w:rFonts w:ascii="Arial" w:hAnsi="Arial" w:cs="Arial"/>
          <w:color w:val="auto"/>
          <w:sz w:val="24"/>
          <w:szCs w:val="24"/>
        </w:rPr>
      </w:pPr>
    </w:p>
    <w:p w14:paraId="760E2734" w14:textId="77777777" w:rsidR="000A12B5" w:rsidRDefault="000A12B5" w:rsidP="000A12B5">
      <w:pPr>
        <w:spacing w:after="0" w:line="240" w:lineRule="auto"/>
        <w:rPr>
          <w:rFonts w:ascii="Arial" w:hAnsi="Arial" w:cs="Arial"/>
          <w:szCs w:val="24"/>
        </w:rPr>
      </w:pPr>
    </w:p>
    <w:p w14:paraId="1802E8FC" w14:textId="77777777" w:rsidR="000A12B5" w:rsidRPr="0051636C" w:rsidRDefault="000A12B5" w:rsidP="000A12B5"/>
    <w:p w14:paraId="42B0BF06" w14:textId="77777777" w:rsidR="000A12B5" w:rsidRPr="001A14A1" w:rsidRDefault="000A12B5" w:rsidP="000A12B5"/>
    <w:p w14:paraId="119D1ADB" w14:textId="77777777" w:rsidR="000A12B5" w:rsidRPr="00DD6E15" w:rsidRDefault="000A12B5" w:rsidP="000A12B5"/>
    <w:p w14:paraId="531BF695" w14:textId="77777777" w:rsidR="000A12B5" w:rsidRPr="00645E05" w:rsidRDefault="000A12B5" w:rsidP="000A12B5"/>
    <w:p w14:paraId="72CFA6B7" w14:textId="77777777" w:rsidR="000A12B5" w:rsidRPr="0092253A" w:rsidRDefault="000A12B5" w:rsidP="000A12B5"/>
    <w:p w14:paraId="6B7583AD" w14:textId="0CBFC2D7" w:rsidR="002647C3" w:rsidRPr="000A12B5" w:rsidRDefault="002647C3" w:rsidP="000A12B5"/>
    <w:sectPr w:rsidR="002647C3" w:rsidRPr="000A12B5" w:rsidSect="00BB7ECD">
      <w:headerReference w:type="default" r:id="rId6"/>
      <w:footerReference w:type="default" r:id="rId7"/>
      <w:pgSz w:w="11906" w:h="16838"/>
      <w:pgMar w:top="2410" w:right="1701" w:bottom="184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E8E37D" w14:textId="77777777" w:rsidR="008E2017" w:rsidRDefault="008E2017" w:rsidP="00884EC0">
      <w:pPr>
        <w:spacing w:after="0" w:line="240" w:lineRule="auto"/>
      </w:pPr>
      <w:r>
        <w:separator/>
      </w:r>
    </w:p>
  </w:endnote>
  <w:endnote w:type="continuationSeparator" w:id="0">
    <w:p w14:paraId="2FDCA7E6" w14:textId="77777777" w:rsidR="008E2017" w:rsidRDefault="008E2017" w:rsidP="00884E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Bold">
    <w:altName w:val="Arial"/>
    <w:charset w:val="00"/>
    <w:family w:val="swiss"/>
    <w:pitch w:val="default"/>
  </w:font>
  <w:font w:name="Arial">
    <w:panose1 w:val="020B0604020202020204"/>
    <w:charset w:val="00"/>
    <w:family w:val="swiss"/>
    <w:pitch w:val="variable"/>
    <w:sig w:usb0="E0002EFF" w:usb1="C000785B" w:usb2="00000009" w:usb3="00000000" w:csb0="000001FF" w:csb1="00000000"/>
  </w:font>
  <w:font w:name="Tw Cen MT Condensed Extra Bold">
    <w:altName w:val="Tw Cen MT Condensed Extra Bold"/>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FF7C5" w14:textId="77777777" w:rsidR="00884EC0" w:rsidRDefault="00884EC0">
    <w:pPr>
      <w:pStyle w:val="Rodap"/>
    </w:pPr>
    <w:r>
      <w:rPr>
        <w:noProof/>
        <w:lang w:eastAsia="pt-BR"/>
      </w:rPr>
      <w:drawing>
        <wp:anchor distT="0" distB="0" distL="114300" distR="114300" simplePos="0" relativeHeight="251659264" behindDoc="1" locked="0" layoutInCell="1" allowOverlap="1" wp14:anchorId="1A5371DD" wp14:editId="0E43F6AB">
          <wp:simplePos x="0" y="0"/>
          <wp:positionH relativeFrom="page">
            <wp:posOffset>1080135</wp:posOffset>
          </wp:positionH>
          <wp:positionV relativeFrom="paragraph">
            <wp:posOffset>173355</wp:posOffset>
          </wp:positionV>
          <wp:extent cx="7574280" cy="1800860"/>
          <wp:effectExtent l="0" t="0" r="0" b="0"/>
          <wp:wrapTight wrapText="bothSides">
            <wp:wrapPolygon edited="0">
              <wp:start x="3423" y="10054"/>
              <wp:lineTo x="1901" y="10511"/>
              <wp:lineTo x="1956" y="12339"/>
              <wp:lineTo x="4292" y="14166"/>
              <wp:lineTo x="4292" y="14623"/>
              <wp:lineTo x="9235" y="16908"/>
              <wp:lineTo x="12386" y="16908"/>
              <wp:lineTo x="17221" y="14623"/>
              <wp:lineTo x="17221" y="14166"/>
              <wp:lineTo x="19394" y="12567"/>
              <wp:lineTo x="19720" y="10968"/>
              <wp:lineTo x="19286" y="10054"/>
              <wp:lineTo x="3423" y="10054"/>
            </wp:wrapPolygon>
          </wp:wrapTight>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7"/>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4911" cy="1801369"/>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34715A" w14:textId="77777777" w:rsidR="008E2017" w:rsidRDefault="008E2017" w:rsidP="00884EC0">
      <w:pPr>
        <w:spacing w:after="0" w:line="240" w:lineRule="auto"/>
      </w:pPr>
      <w:r>
        <w:separator/>
      </w:r>
    </w:p>
  </w:footnote>
  <w:footnote w:type="continuationSeparator" w:id="0">
    <w:p w14:paraId="5DBC9D2C" w14:textId="77777777" w:rsidR="008E2017" w:rsidRDefault="008E2017" w:rsidP="00884E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3543" w:type="dxa"/>
      <w:tblInd w:w="6204" w:type="dxa"/>
      <w:tblLook w:val="04A0" w:firstRow="1" w:lastRow="0" w:firstColumn="1" w:lastColumn="0" w:noHBand="0" w:noVBand="1"/>
    </w:tblPr>
    <w:tblGrid>
      <w:gridCol w:w="1561"/>
      <w:gridCol w:w="990"/>
      <w:gridCol w:w="992"/>
    </w:tblGrid>
    <w:tr w:rsidR="00BB7ECD" w14:paraId="0BF3D4FE" w14:textId="77777777" w:rsidTr="00BB7ECD">
      <w:trPr>
        <w:trHeight w:val="537"/>
      </w:trPr>
      <w:tc>
        <w:tcPr>
          <w:tcW w:w="1561" w:type="dxa"/>
          <w:tcBorders>
            <w:top w:val="single" w:sz="12" w:space="0" w:color="auto"/>
            <w:left w:val="single" w:sz="12" w:space="0" w:color="auto"/>
            <w:bottom w:val="single" w:sz="12" w:space="0" w:color="auto"/>
            <w:right w:val="single" w:sz="12" w:space="0" w:color="auto"/>
          </w:tcBorders>
          <w:hideMark/>
        </w:tcPr>
        <w:p w14:paraId="76CE9DF5" w14:textId="77777777" w:rsidR="00BB7ECD" w:rsidRDefault="00BB7ECD" w:rsidP="00BB7ECD">
          <w:pPr>
            <w:pStyle w:val="Cabealho"/>
            <w:rPr>
              <w:b/>
              <w:sz w:val="10"/>
            </w:rPr>
          </w:pPr>
          <w:r>
            <w:rPr>
              <w:b/>
              <w:sz w:val="10"/>
            </w:rPr>
            <w:t>Processo Nº:</w:t>
          </w:r>
        </w:p>
        <w:p w14:paraId="6F8EAD3F" w14:textId="77777777" w:rsidR="00BB7ECD" w:rsidRDefault="00BB7ECD" w:rsidP="00BB7ECD">
          <w:pPr>
            <w:pStyle w:val="Cabealho"/>
            <w:rPr>
              <w:noProof/>
              <w:sz w:val="16"/>
              <w:szCs w:val="16"/>
            </w:rPr>
          </w:pPr>
          <w:r>
            <w:rPr>
              <w:sz w:val="16"/>
              <w:szCs w:val="16"/>
            </w:rPr>
            <w:t>192/2024</w:t>
          </w:r>
        </w:p>
      </w:tc>
      <w:tc>
        <w:tcPr>
          <w:tcW w:w="990" w:type="dxa"/>
          <w:tcBorders>
            <w:top w:val="single" w:sz="12" w:space="0" w:color="auto"/>
            <w:left w:val="single" w:sz="12" w:space="0" w:color="auto"/>
            <w:bottom w:val="single" w:sz="12" w:space="0" w:color="auto"/>
            <w:right w:val="single" w:sz="12" w:space="0" w:color="auto"/>
          </w:tcBorders>
          <w:hideMark/>
        </w:tcPr>
        <w:p w14:paraId="4F9943CB" w14:textId="77777777" w:rsidR="00BB7ECD" w:rsidRDefault="00BB7ECD" w:rsidP="00BB7ECD">
          <w:pPr>
            <w:pStyle w:val="Cabealho"/>
            <w:rPr>
              <w:b/>
              <w:noProof/>
            </w:rPr>
          </w:pPr>
          <w:r>
            <w:rPr>
              <w:b/>
              <w:sz w:val="10"/>
            </w:rPr>
            <w:t>Folha Nº:</w:t>
          </w:r>
        </w:p>
      </w:tc>
      <w:tc>
        <w:tcPr>
          <w:tcW w:w="992" w:type="dxa"/>
          <w:tcBorders>
            <w:top w:val="single" w:sz="12" w:space="0" w:color="auto"/>
            <w:left w:val="single" w:sz="12" w:space="0" w:color="auto"/>
            <w:bottom w:val="single" w:sz="12" w:space="0" w:color="auto"/>
            <w:right w:val="single" w:sz="12" w:space="0" w:color="auto"/>
          </w:tcBorders>
          <w:hideMark/>
        </w:tcPr>
        <w:p w14:paraId="45CAB0F7" w14:textId="77777777" w:rsidR="00BB7ECD" w:rsidRDefault="00BB7ECD" w:rsidP="00BB7ECD">
          <w:pPr>
            <w:pStyle w:val="Cabealho"/>
            <w:rPr>
              <w:b/>
              <w:noProof/>
            </w:rPr>
          </w:pPr>
          <w:r>
            <w:rPr>
              <w:b/>
              <w:sz w:val="10"/>
            </w:rPr>
            <w:t>Assinatura:</w:t>
          </w:r>
        </w:p>
      </w:tc>
    </w:tr>
  </w:tbl>
  <w:p w14:paraId="243EBEE9" w14:textId="77777777" w:rsidR="00BB7ECD" w:rsidRDefault="008E2017" w:rsidP="00BB7ECD">
    <w:pPr>
      <w:pStyle w:val="Cabealho"/>
      <w:rPr>
        <w:noProof/>
        <w:sz w:val="12"/>
      </w:rPr>
    </w:pPr>
    <w:r>
      <w:pict w14:anchorId="454F9D54">
        <v:group id="Agrupar 11" o:spid="_x0000_s2059" style="position:absolute;margin-left:0;margin-top:-74.85pt;width:598.1pt;height:146.75pt;z-index:-251658240;mso-position-horizontal-relative:page;mso-position-vertical-relative:text" coordsize="75958,186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2" o:spid="_x0000_s2060" type="#_x0000_t75" style="position:absolute;left:381;width:75577;height:13144;visibility:visible" o:gfxdata="">
            <v:imagedata r:id="rId1" o:title="" cropbottom="19329f"/>
          </v:shape>
          <v:shape id="Imagem 13" o:spid="_x0000_s2061" type="#_x0000_t75" style="position:absolute;top:15240;width:75577;height:339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">
            <v:imagedata r:id="rId1" o:title="" croptop="53573f"/>
          </v:shape>
          <w10:wrap anchorx="page"/>
        </v:group>
      </w:pict>
    </w:r>
  </w:p>
  <w:p w14:paraId="162EB1AF" w14:textId="77777777" w:rsidR="00BB7ECD" w:rsidRDefault="00BB7ECD" w:rsidP="00BB7ECD">
    <w:pPr>
      <w:pStyle w:val="Cabealho"/>
      <w:tabs>
        <w:tab w:val="clear" w:pos="4252"/>
        <w:tab w:val="left" w:pos="6670"/>
      </w:tabs>
      <w:rPr>
        <w:noProof/>
        <w:sz w:val="12"/>
      </w:rPr>
    </w:pPr>
  </w:p>
  <w:p w14:paraId="18635387" w14:textId="77777777" w:rsidR="00BB7ECD" w:rsidRDefault="00BB7ECD" w:rsidP="00BB7ECD">
    <w:pPr>
      <w:pStyle w:val="Cabealho"/>
      <w:tabs>
        <w:tab w:val="left" w:pos="6018"/>
      </w:tabs>
      <w:rPr>
        <w:rFonts w:ascii="Tw Cen MT Condensed Extra Bold" w:hAnsi="Tw Cen MT Condensed Extra Bold"/>
        <w:color w:val="262626" w:themeColor="text1" w:themeTint="D9"/>
        <w:sz w:val="28"/>
      </w:rPr>
    </w:pPr>
    <w:r>
      <w:rPr>
        <w:rFonts w:ascii="Tw Cen MT Condensed Extra Bold" w:hAnsi="Tw Cen MT Condensed Extra Bold"/>
        <w:color w:val="262626" w:themeColor="text1" w:themeTint="D9"/>
        <w:sz w:val="28"/>
      </w:rPr>
      <w:tab/>
    </w:r>
    <w:r>
      <w:rPr>
        <w:rFonts w:ascii="Tw Cen MT Condensed Extra Bold" w:hAnsi="Tw Cen MT Condensed Extra Bold"/>
        <w:color w:val="262626" w:themeColor="text1" w:themeTint="D9"/>
        <w:sz w:val="28"/>
      </w:rPr>
      <w:tab/>
    </w:r>
  </w:p>
  <w:p w14:paraId="35882A6D" w14:textId="77777777" w:rsidR="00BB7ECD" w:rsidRDefault="00BB7ECD" w:rsidP="00BB7ECD">
    <w:pPr>
      <w:pStyle w:val="Cabealho"/>
      <w:jc w:val="center"/>
      <w:rPr>
        <w:rFonts w:ascii="Tw Cen MT Condensed Extra Bold" w:hAnsi="Tw Cen MT Condensed Extra Bold"/>
        <w:color w:val="262626" w:themeColor="text1" w:themeTint="D9"/>
        <w:sz w:val="28"/>
      </w:rPr>
    </w:pPr>
    <w:r>
      <w:rPr>
        <w:rFonts w:ascii="Tw Cen MT Condensed Extra Bold" w:hAnsi="Tw Cen MT Condensed Extra Bold"/>
        <w:color w:val="262626" w:themeColor="text1" w:themeTint="D9"/>
        <w:sz w:val="28"/>
      </w:rPr>
      <w:t xml:space="preserve">SECRETARIA MUNICIPAL DE CULTURA </w:t>
    </w:r>
  </w:p>
  <w:p w14:paraId="43D05CE8" w14:textId="77777777" w:rsidR="00884EC0" w:rsidRPr="00BB7ECD" w:rsidRDefault="00884EC0" w:rsidP="00BB7ECD">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08"/>
  <w:hyphenationZone w:val="425"/>
  <w:characterSpacingControl w:val="doNotCompress"/>
  <w:hdrShapeDefaults>
    <o:shapedefaults v:ext="edit" spidmax="2062"/>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71824"/>
    <w:rsid w:val="000A12B5"/>
    <w:rsid w:val="000C434B"/>
    <w:rsid w:val="000D539E"/>
    <w:rsid w:val="002647C3"/>
    <w:rsid w:val="002E6205"/>
    <w:rsid w:val="0035322B"/>
    <w:rsid w:val="003B56DE"/>
    <w:rsid w:val="00472A3F"/>
    <w:rsid w:val="004E5201"/>
    <w:rsid w:val="00512929"/>
    <w:rsid w:val="00536542"/>
    <w:rsid w:val="00666047"/>
    <w:rsid w:val="007D138B"/>
    <w:rsid w:val="00844D1E"/>
    <w:rsid w:val="00884EC0"/>
    <w:rsid w:val="008C0286"/>
    <w:rsid w:val="008C0D4F"/>
    <w:rsid w:val="008E2017"/>
    <w:rsid w:val="009522BE"/>
    <w:rsid w:val="009C1DF5"/>
    <w:rsid w:val="00A33F38"/>
    <w:rsid w:val="00A84180"/>
    <w:rsid w:val="00AA69C6"/>
    <w:rsid w:val="00AB28EE"/>
    <w:rsid w:val="00B02CC5"/>
    <w:rsid w:val="00B44362"/>
    <w:rsid w:val="00B51FB4"/>
    <w:rsid w:val="00B54788"/>
    <w:rsid w:val="00BB7ECD"/>
    <w:rsid w:val="00C4633A"/>
    <w:rsid w:val="00C73AC6"/>
    <w:rsid w:val="00D815AD"/>
    <w:rsid w:val="00DD31D1"/>
    <w:rsid w:val="00E437FD"/>
    <w:rsid w:val="00E636C5"/>
    <w:rsid w:val="00F41C7C"/>
    <w:rsid w:val="00F503C6"/>
    <w:rsid w:val="00F645AD"/>
    <w:rsid w:val="00FE181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2"/>
    <o:shapelayout v:ext="edit">
      <o:idmap v:ext="edit" data="1"/>
    </o:shapelayout>
  </w:shapeDefaults>
  <w:decimalSymbol w:val=","/>
  <w:listSeparator w:val=";"/>
  <w14:docId w14:val="10CF5E1B"/>
  <w15:docId w15:val="{2A744E8C-624F-4049-917A-6CC1C3084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3">
    <w:name w:val="Body Text 3"/>
    <w:basedOn w:val="Normal"/>
    <w:link w:val="Corpodetexto3Char"/>
    <w:uiPriority w:val="99"/>
    <w:unhideWhenUsed/>
    <w:rsid w:val="00884EC0"/>
    <w:pPr>
      <w:suppressAutoHyphens/>
      <w:spacing w:after="120"/>
    </w:pPr>
    <w:rPr>
      <w:color w:val="00000A"/>
      <w:sz w:val="16"/>
      <w:szCs w:val="16"/>
    </w:rPr>
  </w:style>
  <w:style w:type="character" w:customStyle="1" w:styleId="Corpodetexto3Char">
    <w:name w:val="Corpo de texto 3 Char"/>
    <w:basedOn w:val="Fontepargpadro"/>
    <w:link w:val="Corpodetexto3"/>
    <w:uiPriority w:val="99"/>
    <w:rsid w:val="00884EC0"/>
    <w:rPr>
      <w:color w:val="00000A"/>
      <w:sz w:val="16"/>
      <w:szCs w:val="16"/>
    </w:rPr>
  </w:style>
  <w:style w:type="paragraph" w:styleId="Cabealho">
    <w:name w:val="header"/>
    <w:basedOn w:val="Normal"/>
    <w:link w:val="CabealhoChar"/>
    <w:uiPriority w:val="99"/>
    <w:unhideWhenUsed/>
    <w:rsid w:val="00884EC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84EC0"/>
  </w:style>
  <w:style w:type="paragraph" w:styleId="Rodap">
    <w:name w:val="footer"/>
    <w:basedOn w:val="Normal"/>
    <w:link w:val="RodapChar"/>
    <w:uiPriority w:val="99"/>
    <w:unhideWhenUsed/>
    <w:rsid w:val="00884EC0"/>
    <w:pPr>
      <w:tabs>
        <w:tab w:val="center" w:pos="4252"/>
        <w:tab w:val="right" w:pos="8504"/>
      </w:tabs>
      <w:spacing w:after="0" w:line="240" w:lineRule="auto"/>
    </w:pPr>
  </w:style>
  <w:style w:type="character" w:customStyle="1" w:styleId="RodapChar">
    <w:name w:val="Rodapé Char"/>
    <w:basedOn w:val="Fontepargpadro"/>
    <w:link w:val="Rodap"/>
    <w:uiPriority w:val="99"/>
    <w:rsid w:val="00884EC0"/>
  </w:style>
  <w:style w:type="table" w:styleId="Tabelacomgrade">
    <w:name w:val="Table Grid"/>
    <w:basedOn w:val="Tabelanormal"/>
    <w:uiPriority w:val="59"/>
    <w:rsid w:val="00BB7E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E636C5"/>
    <w:rPr>
      <w:color w:val="0000FF" w:themeColor="hyperlink"/>
      <w:u w:val="single"/>
    </w:rPr>
  </w:style>
  <w:style w:type="paragraph" w:styleId="PargrafodaLista">
    <w:name w:val="List Paragraph"/>
    <w:basedOn w:val="Normal"/>
    <w:uiPriority w:val="1"/>
    <w:qFormat/>
    <w:rsid w:val="000A12B5"/>
    <w:pPr>
      <w:widowControl w:val="0"/>
      <w:suppressAutoHyphens/>
      <w:spacing w:after="0" w:line="240" w:lineRule="auto"/>
      <w:ind w:left="720"/>
    </w:pPr>
    <w:rPr>
      <w:rFonts w:ascii="Times New Roman" w:eastAsia="SimSun" w:hAnsi="Times New Roman" w:cs="Mangal"/>
      <w:kern w:val="2"/>
      <w:sz w:val="24"/>
      <w:szCs w:val="24"/>
      <w:lang w:eastAsia="hi-IN" w:bidi="hi-IN"/>
    </w:rPr>
  </w:style>
  <w:style w:type="paragraph" w:customStyle="1" w:styleId="Default">
    <w:name w:val="Default"/>
    <w:basedOn w:val="Normal"/>
    <w:rsid w:val="000A12B5"/>
    <w:pPr>
      <w:autoSpaceDE w:val="0"/>
      <w:spacing w:after="0" w:line="240" w:lineRule="auto"/>
    </w:pPr>
    <w:rPr>
      <w:rFonts w:ascii="Verdana-Bold" w:eastAsia="Verdana-Bold" w:hAnsi="Verdana-Bold" w:cs="Verdana-Bold"/>
      <w:noProof/>
      <w:sz w:val="24"/>
      <w:szCs w:val="24"/>
      <w:lang w:eastAsia="pt-BR"/>
    </w:rPr>
  </w:style>
  <w:style w:type="paragraph" w:customStyle="1" w:styleId="naousarmsonormal">
    <w:name w:val="naousarmsonormal"/>
    <w:basedOn w:val="Normal"/>
    <w:uiPriority w:val="99"/>
    <w:rsid w:val="000A12B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ivel2Char">
    <w:name w:val="Nivel 2 Char"/>
    <w:basedOn w:val="Fontepargpadro"/>
    <w:link w:val="Nivel2"/>
    <w:locked/>
    <w:rsid w:val="000A12B5"/>
    <w:rPr>
      <w:rFonts w:ascii="Arial" w:hAnsi="Arial" w:cs="Arial"/>
      <w:color w:val="000000"/>
    </w:rPr>
  </w:style>
  <w:style w:type="paragraph" w:customStyle="1" w:styleId="Nivel2">
    <w:name w:val="Nivel 2"/>
    <w:basedOn w:val="Normal"/>
    <w:link w:val="Nivel2Char"/>
    <w:qFormat/>
    <w:rsid w:val="000A12B5"/>
    <w:pPr>
      <w:spacing w:before="120" w:after="120"/>
      <w:jc w:val="both"/>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485291">
      <w:bodyDiv w:val="1"/>
      <w:marLeft w:val="0"/>
      <w:marRight w:val="0"/>
      <w:marTop w:val="0"/>
      <w:marBottom w:val="0"/>
      <w:divBdr>
        <w:top w:val="none" w:sz="0" w:space="0" w:color="auto"/>
        <w:left w:val="none" w:sz="0" w:space="0" w:color="auto"/>
        <w:bottom w:val="none" w:sz="0" w:space="0" w:color="auto"/>
        <w:right w:val="none" w:sz="0" w:space="0" w:color="auto"/>
      </w:divBdr>
    </w:div>
    <w:div w:id="123087672">
      <w:bodyDiv w:val="1"/>
      <w:marLeft w:val="0"/>
      <w:marRight w:val="0"/>
      <w:marTop w:val="0"/>
      <w:marBottom w:val="0"/>
      <w:divBdr>
        <w:top w:val="none" w:sz="0" w:space="0" w:color="auto"/>
        <w:left w:val="none" w:sz="0" w:space="0" w:color="auto"/>
        <w:bottom w:val="none" w:sz="0" w:space="0" w:color="auto"/>
        <w:right w:val="none" w:sz="0" w:space="0" w:color="auto"/>
      </w:divBdr>
    </w:div>
    <w:div w:id="646055812">
      <w:bodyDiv w:val="1"/>
      <w:marLeft w:val="0"/>
      <w:marRight w:val="0"/>
      <w:marTop w:val="0"/>
      <w:marBottom w:val="0"/>
      <w:divBdr>
        <w:top w:val="none" w:sz="0" w:space="0" w:color="auto"/>
        <w:left w:val="none" w:sz="0" w:space="0" w:color="auto"/>
        <w:bottom w:val="none" w:sz="0" w:space="0" w:color="auto"/>
        <w:right w:val="none" w:sz="0" w:space="0" w:color="auto"/>
      </w:divBdr>
    </w:div>
    <w:div w:id="772435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7</Pages>
  <Words>1718</Words>
  <Characters>9278</Characters>
  <Application>Microsoft Office Word</Application>
  <DocSecurity>0</DocSecurity>
  <Lines>77</Lines>
  <Paragraphs>21</Paragraphs>
  <ScaleCrop>false</ScaleCrop>
  <Company>....</Company>
  <LinksUpToDate>false</LinksUpToDate>
  <CharactersWithSpaces>10975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CULTURA_FINANCEIRO</cp:lastModifiedBy>
  <cp:revision>13</cp:revision>
  <dcterms:created xsi:type="dcterms:W3CDTF">2012-02-02T18:33:00Z</dcterms:created>
  <dcterms:modified xsi:type="dcterms:W3CDTF">2024-06-07T15:14:00Z</dcterms:modified>
</cp:coreProperties>
</file>