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7AA7D" w14:textId="77777777" w:rsidR="00177632" w:rsidRPr="004D37D0" w:rsidRDefault="00177632" w:rsidP="00177632">
      <w:pPr>
        <w:spacing w:line="360" w:lineRule="auto"/>
        <w:jc w:val="center"/>
        <w:rPr>
          <w:rFonts w:ascii="Arial" w:hAnsi="Arial" w:cs="Arial"/>
          <w:b/>
          <w:sz w:val="24"/>
          <w:szCs w:val="24"/>
        </w:rPr>
      </w:pPr>
      <w:r w:rsidRPr="004D37D0">
        <w:rPr>
          <w:rFonts w:ascii="Arial" w:hAnsi="Arial" w:cs="Arial"/>
          <w:b/>
          <w:sz w:val="24"/>
          <w:szCs w:val="24"/>
        </w:rPr>
        <w:t>JUSTIFICATIVA</w:t>
      </w:r>
    </w:p>
    <w:p w14:paraId="6EE4305C" w14:textId="77777777" w:rsidR="00177632" w:rsidRPr="004D37D0" w:rsidRDefault="00177632" w:rsidP="00177632">
      <w:pPr>
        <w:spacing w:line="360" w:lineRule="auto"/>
        <w:jc w:val="both"/>
        <w:rPr>
          <w:rFonts w:ascii="Arial" w:hAnsi="Arial" w:cs="Arial"/>
          <w:b/>
          <w:sz w:val="24"/>
          <w:szCs w:val="24"/>
        </w:rPr>
      </w:pPr>
    </w:p>
    <w:p w14:paraId="4320270B" w14:textId="77777777" w:rsidR="00177632" w:rsidRPr="004D37D0" w:rsidRDefault="00177632" w:rsidP="00177632">
      <w:pPr>
        <w:pStyle w:val="Corpodetexto3"/>
        <w:spacing w:after="200" w:line="360" w:lineRule="auto"/>
        <w:jc w:val="both"/>
        <w:outlineLvl w:val="0"/>
        <w:rPr>
          <w:rFonts w:ascii="Arial" w:hAnsi="Arial" w:cs="Arial"/>
          <w:b/>
          <w:color w:val="auto"/>
          <w:sz w:val="24"/>
          <w:szCs w:val="24"/>
        </w:rPr>
      </w:pPr>
      <w:r w:rsidRPr="004D37D0">
        <w:rPr>
          <w:rFonts w:ascii="Arial" w:hAnsi="Arial" w:cs="Arial"/>
          <w:b/>
          <w:color w:val="auto"/>
          <w:sz w:val="24"/>
          <w:szCs w:val="24"/>
        </w:rPr>
        <w:t>I - DA NECESSIDADE DO OBJETO</w:t>
      </w:r>
    </w:p>
    <w:p w14:paraId="4386A0F2" w14:textId="55B6CAA8" w:rsidR="00177632" w:rsidRPr="004D37D0" w:rsidRDefault="00177632" w:rsidP="00177632">
      <w:pPr>
        <w:pStyle w:val="Corpodetexto3"/>
        <w:widowControl w:val="0"/>
        <w:spacing w:after="200" w:line="360" w:lineRule="auto"/>
        <w:ind w:firstLine="1134"/>
        <w:jc w:val="both"/>
        <w:outlineLvl w:val="0"/>
        <w:rPr>
          <w:rFonts w:ascii="Arial" w:hAnsi="Arial" w:cs="Arial"/>
          <w:bCs/>
          <w:color w:val="auto"/>
          <w:sz w:val="24"/>
          <w:szCs w:val="24"/>
        </w:rPr>
      </w:pPr>
      <w:r w:rsidRPr="004D37D0">
        <w:rPr>
          <w:rFonts w:ascii="Arial" w:hAnsi="Arial" w:cs="Arial"/>
          <w:color w:val="auto"/>
          <w:sz w:val="24"/>
          <w:szCs w:val="24"/>
        </w:rPr>
        <w:t xml:space="preserve">Trata os presentes autos de procedimento que tem por objeto a contratação de </w:t>
      </w:r>
      <w:r w:rsidRPr="004D37D0">
        <w:rPr>
          <w:rFonts w:ascii="Arial" w:hAnsi="Arial" w:cs="Arial"/>
          <w:bCs/>
          <w:color w:val="auto"/>
          <w:sz w:val="24"/>
          <w:szCs w:val="24"/>
        </w:rPr>
        <w:t xml:space="preserve">Contratação de atração musical consagrada pela crítica especializada ou pela opinião pública, como de renome nacional, para apresentação no </w:t>
      </w:r>
      <w:r w:rsidRPr="004D37D0">
        <w:rPr>
          <w:rFonts w:ascii="Arial" w:hAnsi="Arial" w:cs="Arial"/>
          <w:b/>
          <w:color w:val="auto"/>
          <w:sz w:val="24"/>
          <w:szCs w:val="24"/>
        </w:rPr>
        <w:t>POLO ESTAÇÃO</w:t>
      </w:r>
      <w:r w:rsidRPr="004D37D0">
        <w:rPr>
          <w:rFonts w:ascii="Arial" w:hAnsi="Arial" w:cs="Arial"/>
          <w:bCs/>
          <w:color w:val="auto"/>
          <w:sz w:val="24"/>
          <w:szCs w:val="24"/>
        </w:rPr>
        <w:t xml:space="preserve">, que integra a programação do evento "Mossoró Cidade Junina 2024", a ser realizado no dia </w:t>
      </w:r>
      <w:r>
        <w:rPr>
          <w:rFonts w:ascii="Arial" w:hAnsi="Arial" w:cs="Arial"/>
          <w:bCs/>
          <w:color w:val="auto"/>
          <w:sz w:val="24"/>
          <w:szCs w:val="24"/>
        </w:rPr>
        <w:t>7</w:t>
      </w:r>
      <w:r w:rsidRPr="004D37D0">
        <w:rPr>
          <w:rFonts w:ascii="Arial" w:hAnsi="Arial" w:cs="Arial"/>
          <w:bCs/>
          <w:color w:val="auto"/>
          <w:sz w:val="24"/>
          <w:szCs w:val="24"/>
        </w:rPr>
        <w:t>/06/2024 com duração mínima de apresentação de 01:30h e horário a ser definido pela contratante.</w:t>
      </w:r>
    </w:p>
    <w:p w14:paraId="1ED9367D" w14:textId="77777777" w:rsidR="00177632" w:rsidRPr="004D37D0" w:rsidRDefault="00177632" w:rsidP="00177632">
      <w:pPr>
        <w:pStyle w:val="PargrafodaLista"/>
        <w:tabs>
          <w:tab w:val="left" w:pos="567"/>
        </w:tabs>
        <w:spacing w:before="95" w:line="360" w:lineRule="auto"/>
        <w:ind w:left="0"/>
        <w:jc w:val="both"/>
        <w:rPr>
          <w:rFonts w:ascii="Arial" w:hAnsi="Arial" w:cs="Arial"/>
          <w:b/>
        </w:rPr>
      </w:pPr>
      <w:r w:rsidRPr="004D37D0">
        <w:rPr>
          <w:rFonts w:ascii="Arial" w:hAnsi="Arial" w:cs="Arial"/>
        </w:rPr>
        <w:t xml:space="preserve">             O evento aquece a economia da cidade em vários setores: comércio, hotelaria, gastronomia e trabalhadores informais, que tem uma renda extra no período da festa. O Mossoró Cidade Junina é patrimônio dos mossoroense, símbolo também de criatividade dos empreendedores e artistas locais, consolida-se como estratégia de desenvolvimento econômico e instrumento de preservação das tradições populares, que eleva a autoestima do nosso povo.  O MCJ é um bem cultural local previsto na Lei Nº 2.494 de abril de 2009. </w:t>
      </w:r>
    </w:p>
    <w:p w14:paraId="0E0C1355" w14:textId="77777777" w:rsidR="00177632" w:rsidRPr="004D37D0" w:rsidRDefault="00177632" w:rsidP="00177632">
      <w:pPr>
        <w:pStyle w:val="PargrafodaLista"/>
        <w:tabs>
          <w:tab w:val="left" w:pos="567"/>
        </w:tabs>
        <w:spacing w:before="95" w:line="360" w:lineRule="auto"/>
        <w:ind w:left="0"/>
        <w:jc w:val="both"/>
        <w:rPr>
          <w:rFonts w:ascii="Arial" w:hAnsi="Arial" w:cs="Arial"/>
          <w:b/>
        </w:rPr>
      </w:pPr>
      <w:r w:rsidRPr="004D37D0">
        <w:rPr>
          <w:rFonts w:ascii="Arial" w:hAnsi="Arial" w:cs="Arial"/>
        </w:rPr>
        <w:t xml:space="preserve">           A nossa Constituição Federal, traz em seu artigo 23, inciso V, que é competência comum entre os entes federativos “</w:t>
      </w:r>
      <w:r w:rsidRPr="004D37D0">
        <w:rPr>
          <w:rFonts w:ascii="Arial" w:hAnsi="Arial" w:cs="Arial"/>
          <w:b/>
        </w:rPr>
        <w:t>proporcionar os meios de acesso à cultura</w:t>
      </w:r>
      <w:r w:rsidRPr="004D37D0">
        <w:rPr>
          <w:rFonts w:ascii="Arial" w:hAnsi="Arial" w:cs="Arial"/>
        </w:rPr>
        <w:t xml:space="preserve">, à educação, à ciência, à tecnologia, à pesquisa e à inovação”; bem como no artigo 215 “O Estado garantirá a todos o pleno exercício dos direitos culturais e acesso às fontes da cultura nacional, e apoiará e incentivará a valorização e a difusão das manifestações culturais”. </w:t>
      </w:r>
    </w:p>
    <w:p w14:paraId="004E6705" w14:textId="77777777" w:rsidR="00177632" w:rsidRPr="004D37D0" w:rsidRDefault="00177632" w:rsidP="00177632">
      <w:pPr>
        <w:pStyle w:val="PargrafodaLista"/>
        <w:tabs>
          <w:tab w:val="left" w:pos="567"/>
        </w:tabs>
        <w:spacing w:before="95" w:line="360" w:lineRule="auto"/>
        <w:ind w:left="0"/>
        <w:jc w:val="both"/>
        <w:rPr>
          <w:rFonts w:ascii="Arial" w:hAnsi="Arial" w:cs="Arial"/>
          <w:b/>
        </w:rPr>
      </w:pPr>
      <w:r w:rsidRPr="004D37D0">
        <w:rPr>
          <w:rFonts w:ascii="Arial" w:hAnsi="Arial" w:cs="Arial"/>
        </w:rPr>
        <w:t xml:space="preserve">           Ainda sobre os benefícios, importante trazer à baila o movimento econômico que os eventos proporcionam, desde os envolvidos diretamente nas festividades, ou seja, aqueles que trabalham na montagem dos palcos, limpezas dos ambientes, trabalhadores que atuam com som, iluminação, entre outros, e ainda os artistas e suas bandas; mas também o avanço financeiro para os hotéis, pousadas, restaurantes, bares, lanchonetes, comércios de </w:t>
      </w:r>
      <w:r w:rsidRPr="004D37D0">
        <w:rPr>
          <w:rFonts w:ascii="Arial" w:hAnsi="Arial" w:cs="Arial"/>
        </w:rPr>
        <w:lastRenderedPageBreak/>
        <w:t>artesanato, motoristas de táxis e aplicativos.</w:t>
      </w:r>
    </w:p>
    <w:p w14:paraId="5AD2D4B3" w14:textId="77777777" w:rsidR="00177632" w:rsidRPr="004D37D0" w:rsidRDefault="00177632" w:rsidP="00177632">
      <w:pPr>
        <w:pStyle w:val="PargrafodaLista"/>
        <w:tabs>
          <w:tab w:val="left" w:pos="567"/>
        </w:tabs>
        <w:spacing w:before="95" w:line="360" w:lineRule="auto"/>
        <w:ind w:left="0"/>
        <w:jc w:val="both"/>
        <w:rPr>
          <w:rFonts w:ascii="Arial" w:hAnsi="Arial" w:cs="Arial"/>
          <w:b/>
        </w:rPr>
      </w:pPr>
      <w:r w:rsidRPr="004D37D0">
        <w:rPr>
          <w:rFonts w:ascii="Arial" w:hAnsi="Arial" w:cs="Arial"/>
        </w:rPr>
        <w:t xml:space="preserve">        Importante ressaltar, que o calendário de festividades deste município vem sendo formado e fortalecido com os eventos já realizados pela prefeitura de Mossoró. No calendário, o Mossoró Cidade Junina já está firmado como um dos </w:t>
      </w:r>
      <w:r w:rsidRPr="004D37D0">
        <w:rPr>
          <w:rFonts w:ascii="Arial" w:hAnsi="Arial" w:cs="Arial"/>
          <w:i/>
        </w:rPr>
        <w:t xml:space="preserve">cases </w:t>
      </w:r>
      <w:r w:rsidRPr="004D37D0">
        <w:rPr>
          <w:rFonts w:ascii="Arial" w:hAnsi="Arial" w:cs="Arial"/>
        </w:rPr>
        <w:t>de sucessos.</w:t>
      </w:r>
    </w:p>
    <w:p w14:paraId="6536C579" w14:textId="77777777" w:rsidR="00177632" w:rsidRPr="004D37D0" w:rsidRDefault="00177632" w:rsidP="00177632">
      <w:pPr>
        <w:pStyle w:val="PargrafodaLista"/>
        <w:tabs>
          <w:tab w:val="left" w:pos="567"/>
        </w:tabs>
        <w:spacing w:before="95" w:line="360" w:lineRule="auto"/>
        <w:ind w:left="0"/>
        <w:jc w:val="both"/>
        <w:rPr>
          <w:rFonts w:ascii="Arial" w:hAnsi="Arial" w:cs="Arial"/>
          <w:b/>
        </w:rPr>
      </w:pPr>
      <w:r w:rsidRPr="004D37D0">
        <w:rPr>
          <w:rFonts w:ascii="Arial" w:hAnsi="Arial" w:cs="Arial"/>
        </w:rPr>
        <w:t xml:space="preserve">         Restou comprovado nos eventos retromencionados, o sucesso de público, chegando a alcançar a presença de mais de 1 milhão de pessoas durante o evento. Sendo assim, demonstra-se que tanto a população, quanto os turistas, prestigiam as festas realizadas por esta Prefeitura. </w:t>
      </w:r>
    </w:p>
    <w:p w14:paraId="01429125" w14:textId="77777777" w:rsidR="00177632" w:rsidRPr="004D37D0" w:rsidRDefault="00177632" w:rsidP="00177632">
      <w:pPr>
        <w:pStyle w:val="Corpodetexto3"/>
        <w:widowControl w:val="0"/>
        <w:spacing w:line="360" w:lineRule="auto"/>
        <w:jc w:val="both"/>
        <w:outlineLvl w:val="0"/>
        <w:rPr>
          <w:rFonts w:ascii="Arial" w:hAnsi="Arial" w:cs="Arial"/>
          <w:sz w:val="24"/>
          <w:szCs w:val="24"/>
        </w:rPr>
      </w:pPr>
    </w:p>
    <w:p w14:paraId="71C6F847" w14:textId="77777777" w:rsidR="00177632" w:rsidRPr="004D37D0" w:rsidRDefault="00177632" w:rsidP="00177632">
      <w:pPr>
        <w:pStyle w:val="Corpodetexto3"/>
        <w:widowControl w:val="0"/>
        <w:spacing w:line="360" w:lineRule="auto"/>
        <w:jc w:val="both"/>
        <w:outlineLvl w:val="0"/>
        <w:rPr>
          <w:rFonts w:ascii="Arial" w:hAnsi="Arial" w:cs="Arial"/>
          <w:b/>
          <w:sz w:val="24"/>
          <w:szCs w:val="24"/>
        </w:rPr>
      </w:pPr>
      <w:r w:rsidRPr="004D37D0">
        <w:rPr>
          <w:rFonts w:ascii="Arial" w:hAnsi="Arial" w:cs="Arial"/>
          <w:b/>
          <w:sz w:val="24"/>
          <w:szCs w:val="24"/>
        </w:rPr>
        <w:t>II – DA DISPENSA DE LICITAÇÃO</w:t>
      </w:r>
    </w:p>
    <w:p w14:paraId="792FB2B4"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As compras e contratações das entidades públicas seguem obrigatoriamente um regime regulamentado por Lei.</w:t>
      </w:r>
    </w:p>
    <w:p w14:paraId="35E792F6"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O fundamento principal que reza por esta iniciativa é o artigo 37, inciso XXI, da Constituição Federal de 1988, no qual determina que as obras, os serviços, compras e alienações devem ocorrer por meio de licitações. 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0FFDACAE" w14:textId="77777777" w:rsidR="00177632" w:rsidRPr="004D37D0" w:rsidRDefault="00177632" w:rsidP="00177632">
      <w:pPr>
        <w:widowControl w:val="0"/>
        <w:spacing w:line="360" w:lineRule="auto"/>
        <w:ind w:firstLine="1134"/>
        <w:jc w:val="both"/>
        <w:rPr>
          <w:rFonts w:ascii="Arial" w:hAnsi="Arial" w:cs="Arial"/>
          <w:bCs/>
          <w:iCs/>
          <w:sz w:val="24"/>
          <w:szCs w:val="24"/>
        </w:rPr>
      </w:pPr>
      <w:r w:rsidRPr="004D37D0">
        <w:rPr>
          <w:rFonts w:ascii="Arial" w:hAnsi="Arial" w:cs="Arial"/>
          <w:bCs/>
          <w:iCs/>
          <w:sz w:val="24"/>
          <w:szCs w:val="24"/>
        </w:rPr>
        <w:t>Para melhor entendimento, vejamos o que dispõe o inciso XXI do Artigo 37 da CF/1988:</w:t>
      </w:r>
    </w:p>
    <w:p w14:paraId="11D6435D" w14:textId="77777777" w:rsidR="00177632" w:rsidRPr="004D37D0" w:rsidRDefault="00177632" w:rsidP="00177632">
      <w:pPr>
        <w:widowControl w:val="0"/>
        <w:spacing w:line="360" w:lineRule="auto"/>
        <w:ind w:left="1701"/>
        <w:jc w:val="both"/>
        <w:rPr>
          <w:rFonts w:ascii="Arial" w:hAnsi="Arial" w:cs="Arial"/>
          <w:bCs/>
          <w:sz w:val="20"/>
          <w:szCs w:val="20"/>
        </w:rPr>
      </w:pPr>
      <w:r w:rsidRPr="004D37D0">
        <w:rPr>
          <w:rFonts w:ascii="Arial" w:hAnsi="Arial" w:cs="Arial"/>
          <w:bCs/>
          <w:sz w:val="20"/>
          <w:szCs w:val="20"/>
        </w:rPr>
        <w:t>(...)</w:t>
      </w:r>
    </w:p>
    <w:p w14:paraId="63E30A72" w14:textId="77777777" w:rsidR="00177632" w:rsidRPr="004D37D0" w:rsidRDefault="00177632" w:rsidP="00177632">
      <w:pPr>
        <w:widowControl w:val="0"/>
        <w:spacing w:line="360" w:lineRule="auto"/>
        <w:ind w:left="1701"/>
        <w:jc w:val="both"/>
        <w:rPr>
          <w:rFonts w:ascii="Arial" w:hAnsi="Arial" w:cs="Arial"/>
          <w:bCs/>
          <w:sz w:val="20"/>
          <w:szCs w:val="20"/>
        </w:rPr>
      </w:pPr>
      <w:r w:rsidRPr="004D37D0">
        <w:rPr>
          <w:rFonts w:ascii="Arial" w:hAnsi="Arial" w:cs="Arial"/>
          <w:bCs/>
          <w:sz w:val="20"/>
          <w:szCs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w:t>
      </w:r>
      <w:r w:rsidRPr="004D37D0">
        <w:rPr>
          <w:rFonts w:ascii="Arial" w:hAnsi="Arial" w:cs="Arial"/>
          <w:bCs/>
          <w:sz w:val="20"/>
          <w:szCs w:val="20"/>
        </w:rPr>
        <w:lastRenderedPageBreak/>
        <w:t>mantidas as condições efetivas da proposta, nos termos da lei, o qual somente permitirá as exigências de qualificação técnica e econômica indispensáveis à garantia do cumprimento das obrigações.”</w:t>
      </w:r>
    </w:p>
    <w:p w14:paraId="18149214"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Para regulamentar o exercício dessa atividade foi então criada a Lei Federal nº 8.666 de 21 de junho de 1993, mais conhecida como Lei de Licitações e Contratos Administrativos, dando lugar posteriormente a Lei 14.133/2021 publicada em 01 de abril de 2021 a qual estabelece normas gerais de licitação e contratação para as Administrações Públicas diretas, autárquicas e fundacionais da União, dos Estados, do Distrito Federal e dos Municípios, atualização necessária considerando o que afirma Quintino (2022) acerca da legislação antecedente, a Lei nº 8.666, estava vigorando desde 1993, assim, a necessidade de atualização dessa temática em decorrência das mudanças da sociedade, do mercado e do Estado tornou-se imprescindível.</w:t>
      </w:r>
    </w:p>
    <w:p w14:paraId="6834DADC"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Assegurar a seleção da proposta apta a gerar o resultado de contratação mais vantajoso para a Administração Pública, inclusive no que se refere ao ciclo de vida do objeto está entre os objetivos da licitação. Licitar, portanto, é regra, no entanto, há situações em que pode haver a dispensa das licitações para aquisições e contratações que possuem caracterizações específicas tornando impossíveis e/ou inviáveis os certames nos trâmites usuais, frustrando a realização adequada das funções estatais, isto não quer dizer que simplesmente serão esquecidos os procedimentos, mas sim, serão obedecidos alguns regramentos previstos legalmente para esses casos excepcionais.</w:t>
      </w:r>
    </w:p>
    <w:p w14:paraId="4EBD22B5"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Partindo-se dessa premissa, o art. 72 da Lei nº 14.133, de 1º de abril de 2021 (nova lei de licitações e contratos administrativos), permite como regra de exceção a contratação direta através de processos de dispensa e inexigibilidade de licitação, desde que preenchidos os requisitos previstos em suas disposições.</w:t>
      </w:r>
    </w:p>
    <w:p w14:paraId="48E94C1A"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 xml:space="preserve">No presente caso, vislumbra-se que se trata de certame realizado sob a obediência ao estabelecido no </w:t>
      </w:r>
      <w:r w:rsidRPr="004D37D0">
        <w:rPr>
          <w:rFonts w:ascii="Arial" w:hAnsi="Arial" w:cs="Arial"/>
          <w:b/>
          <w:sz w:val="24"/>
          <w:szCs w:val="24"/>
        </w:rPr>
        <w:t xml:space="preserve">Art. 74, II, </w:t>
      </w:r>
      <w:r w:rsidRPr="004D37D0">
        <w:rPr>
          <w:rFonts w:ascii="Arial" w:hAnsi="Arial" w:cs="Arial"/>
          <w:sz w:val="24"/>
          <w:szCs w:val="24"/>
        </w:rPr>
        <w:t xml:space="preserve">da Lei n. 14.133/2021, onde se </w:t>
      </w:r>
      <w:r w:rsidRPr="004D37D0">
        <w:rPr>
          <w:rFonts w:ascii="Arial" w:hAnsi="Arial" w:cs="Arial"/>
          <w:sz w:val="24"/>
          <w:szCs w:val="24"/>
        </w:rPr>
        <w:lastRenderedPageBreak/>
        <w:t>verifica ocasião em que é cabível a realização da contratação, conforme embasamento legal indicado.</w:t>
      </w:r>
    </w:p>
    <w:p w14:paraId="39194CD3" w14:textId="77777777" w:rsidR="00177632" w:rsidRPr="004D37D0" w:rsidRDefault="00177632" w:rsidP="00177632">
      <w:pPr>
        <w:pStyle w:val="Corpodetexto3"/>
        <w:widowControl w:val="0"/>
        <w:spacing w:line="360" w:lineRule="auto"/>
        <w:jc w:val="both"/>
        <w:outlineLvl w:val="0"/>
        <w:rPr>
          <w:rFonts w:ascii="Arial" w:hAnsi="Arial" w:cs="Arial"/>
          <w:b/>
          <w:sz w:val="24"/>
          <w:szCs w:val="24"/>
        </w:rPr>
      </w:pPr>
      <w:r w:rsidRPr="004D37D0">
        <w:rPr>
          <w:rFonts w:ascii="Arial" w:hAnsi="Arial" w:cs="Arial"/>
          <w:b/>
          <w:sz w:val="24"/>
          <w:szCs w:val="24"/>
        </w:rPr>
        <w:t>III – DA JUSTIFICATIVA DA INEXIGIBILIDADE</w:t>
      </w:r>
    </w:p>
    <w:p w14:paraId="1AA50A27"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Desse modo, torna-se importante entender o real sentido da interpretação que deve ser levada a efeito quando se pretende fundamentar a contratação direta por inexigibilidade de licitação. Assim, nesse contexto o professor Ronny Charles, aponta que:</w:t>
      </w:r>
    </w:p>
    <w:p w14:paraId="4883494B" w14:textId="77777777" w:rsidR="00177632" w:rsidRPr="004D37D0" w:rsidRDefault="00177632" w:rsidP="00177632">
      <w:pPr>
        <w:pStyle w:val="Corpodetexto3"/>
        <w:widowControl w:val="0"/>
        <w:spacing w:line="360" w:lineRule="auto"/>
        <w:ind w:left="2268"/>
        <w:jc w:val="both"/>
        <w:outlineLvl w:val="0"/>
        <w:rPr>
          <w:rFonts w:ascii="Arial" w:hAnsi="Arial" w:cs="Arial"/>
          <w:i/>
          <w:iCs/>
          <w:sz w:val="20"/>
          <w:szCs w:val="20"/>
        </w:rPr>
      </w:pPr>
      <w:r w:rsidRPr="004D37D0">
        <w:rPr>
          <w:rFonts w:ascii="Arial" w:hAnsi="Arial" w:cs="Arial"/>
          <w:i/>
          <w:iCs/>
          <w:sz w:val="20"/>
          <w:szCs w:val="20"/>
        </w:rPr>
        <w:t>A inexigibilidade deve ser concebida através de um sentido, o da inviabilidade do procedimento de competição, sob pena de se quebrar o parâmetro interpretativo capaz de permitir ao aplicador do direito, a correta compreensão do que intentou o legislador. Essa conclusão o levará a constatar, diante do caso concreto, a viabilidade de caracterizar, como inexigível ou não, situações não previstas no elenco do artigo 74, que sabemos, não é exaustivo.</w:t>
      </w:r>
    </w:p>
    <w:p w14:paraId="6F9F94E4" w14:textId="77777777" w:rsidR="00177632" w:rsidRPr="004D37D0" w:rsidRDefault="00177632" w:rsidP="00177632">
      <w:pPr>
        <w:pStyle w:val="Corpodetexto3"/>
        <w:widowControl w:val="0"/>
        <w:spacing w:line="360" w:lineRule="auto"/>
        <w:ind w:firstLine="1134"/>
        <w:jc w:val="both"/>
        <w:outlineLvl w:val="0"/>
        <w:rPr>
          <w:rFonts w:ascii="Arial" w:hAnsi="Arial" w:cs="Arial"/>
          <w:sz w:val="24"/>
          <w:szCs w:val="24"/>
        </w:rPr>
      </w:pPr>
      <w:r w:rsidRPr="004D37D0">
        <w:rPr>
          <w:rFonts w:ascii="Arial" w:hAnsi="Arial" w:cs="Arial"/>
          <w:sz w:val="24"/>
          <w:szCs w:val="24"/>
        </w:rPr>
        <w:t xml:space="preserve">De fato, a inexigibilidade de licitação ocorre quando há inviabilidade de competição, portanto, observa-se que é impossível ocorrer a competição entre os licitantes, já que um dos concorrentes irá reunir qualidades que o tornam único, conforme disposição expressa no rol exemplificativo do artigo 74, caput, da Lei nº 14.133/2021, </w:t>
      </w:r>
      <w:r w:rsidRPr="004D37D0">
        <w:rPr>
          <w:rFonts w:ascii="Arial" w:hAnsi="Arial" w:cs="Arial"/>
          <w:i/>
          <w:sz w:val="24"/>
          <w:szCs w:val="24"/>
        </w:rPr>
        <w:t>verbis:</w:t>
      </w:r>
      <w:r w:rsidRPr="004D37D0">
        <w:rPr>
          <w:rFonts w:ascii="Arial" w:hAnsi="Arial" w:cs="Arial"/>
          <w:sz w:val="24"/>
          <w:szCs w:val="24"/>
        </w:rPr>
        <w:t xml:space="preserve"> “É inexigível a licitação quando inviável a competição (...)”</w:t>
      </w:r>
    </w:p>
    <w:p w14:paraId="581FD614" w14:textId="77777777" w:rsidR="00177632" w:rsidRPr="004D37D0" w:rsidRDefault="00177632" w:rsidP="00177632">
      <w:pPr>
        <w:pStyle w:val="Corpodetexto3"/>
        <w:widowControl w:val="0"/>
        <w:spacing w:line="360" w:lineRule="auto"/>
        <w:ind w:firstLine="708"/>
        <w:jc w:val="both"/>
        <w:outlineLvl w:val="0"/>
        <w:rPr>
          <w:rFonts w:ascii="Arial" w:hAnsi="Arial" w:cs="Arial"/>
          <w:sz w:val="24"/>
          <w:szCs w:val="24"/>
        </w:rPr>
      </w:pPr>
      <w:r w:rsidRPr="004D37D0">
        <w:rPr>
          <w:rFonts w:ascii="Arial" w:hAnsi="Arial" w:cs="Arial"/>
          <w:sz w:val="24"/>
          <w:szCs w:val="24"/>
        </w:rPr>
        <w:t>Dessa forma, o permissivo legal que fundamenta a possibilidade de contratação direta de artistas por meio de inexigibilidade de licitação está disposto no artigo supramencionado, mais especificamente, no inciso II, nos seguintes termos:</w:t>
      </w:r>
    </w:p>
    <w:p w14:paraId="5864A2CB" w14:textId="77777777" w:rsidR="00177632" w:rsidRPr="004D37D0" w:rsidRDefault="00177632" w:rsidP="00177632">
      <w:pPr>
        <w:pStyle w:val="Corpodetexto3"/>
        <w:widowControl w:val="0"/>
        <w:spacing w:line="360" w:lineRule="auto"/>
        <w:ind w:left="2268"/>
        <w:jc w:val="both"/>
        <w:outlineLvl w:val="0"/>
        <w:rPr>
          <w:rFonts w:ascii="Arial" w:hAnsi="Arial" w:cs="Arial"/>
          <w:i/>
          <w:iCs/>
          <w:sz w:val="20"/>
          <w:szCs w:val="20"/>
        </w:rPr>
      </w:pPr>
      <w:r w:rsidRPr="004D37D0">
        <w:rPr>
          <w:rFonts w:ascii="Arial" w:hAnsi="Arial" w:cs="Arial"/>
          <w:i/>
          <w:iCs/>
          <w:sz w:val="20"/>
          <w:szCs w:val="20"/>
        </w:rPr>
        <w:t xml:space="preserve">II - Contratação de profissional do setor artístico, diretamente ou por meio de empresário exclusivo, desde que consagrado pela crítica especializada ou pela opinião pública; </w:t>
      </w:r>
    </w:p>
    <w:p w14:paraId="27C6244F" w14:textId="77777777" w:rsidR="00177632" w:rsidRPr="004D37D0" w:rsidRDefault="00177632" w:rsidP="00177632">
      <w:pPr>
        <w:pStyle w:val="Default"/>
        <w:spacing w:line="360" w:lineRule="auto"/>
        <w:ind w:firstLine="708"/>
        <w:jc w:val="both"/>
        <w:rPr>
          <w:rFonts w:ascii="Arial" w:hAnsi="Arial" w:cs="Arial"/>
        </w:rPr>
      </w:pPr>
      <w:r w:rsidRPr="004D37D0">
        <w:rPr>
          <w:rFonts w:ascii="Arial" w:hAnsi="Arial" w:cs="Arial"/>
        </w:rPr>
        <w:t>Nesse mesmo contexto Marçal Justen Filho corrobora:</w:t>
      </w:r>
    </w:p>
    <w:p w14:paraId="776BA703" w14:textId="77777777" w:rsidR="00177632" w:rsidRPr="004D37D0" w:rsidRDefault="00177632" w:rsidP="00177632">
      <w:pPr>
        <w:pStyle w:val="Default"/>
        <w:spacing w:line="360" w:lineRule="auto"/>
        <w:ind w:left="2268"/>
        <w:jc w:val="both"/>
        <w:rPr>
          <w:rFonts w:ascii="Arial" w:hAnsi="Arial" w:cs="Arial"/>
          <w:i/>
          <w:iCs/>
          <w:sz w:val="20"/>
          <w:szCs w:val="20"/>
        </w:rPr>
      </w:pPr>
      <w:r w:rsidRPr="004D37D0">
        <w:rPr>
          <w:rFonts w:ascii="Arial" w:hAnsi="Arial" w:cs="Arial"/>
          <w:i/>
          <w:iCs/>
          <w:sz w:val="20"/>
          <w:szCs w:val="20"/>
        </w:rPr>
        <w:t>“</w:t>
      </w:r>
      <w:r w:rsidRPr="004D37D0">
        <w:rPr>
          <w:rFonts w:ascii="Arial" w:hAnsi="Arial" w:cs="Arial"/>
          <w:bCs/>
          <w:i/>
          <w:iCs/>
          <w:sz w:val="20"/>
          <w:szCs w:val="20"/>
        </w:rPr>
        <w:t xml:space="preserve">Mas há casos em que a necessidade estatal relaciona-se com o desempenho artístico propriamente dito. Não se tratará de selecionar o melhor para atribuir-lhe um destaque, mas de obter os préstimos de </w:t>
      </w:r>
      <w:r w:rsidRPr="004D37D0">
        <w:rPr>
          <w:rFonts w:ascii="Arial" w:hAnsi="Arial" w:cs="Arial"/>
          <w:bCs/>
          <w:i/>
          <w:iCs/>
          <w:sz w:val="20"/>
          <w:szCs w:val="20"/>
        </w:rPr>
        <w:lastRenderedPageBreak/>
        <w:t xml:space="preserve">um artista para atender certa necessidade pública. </w:t>
      </w:r>
      <w:r w:rsidRPr="004D37D0">
        <w:rPr>
          <w:rFonts w:ascii="Arial" w:hAnsi="Arial" w:cs="Arial"/>
          <w:i/>
          <w:iCs/>
          <w:sz w:val="20"/>
          <w:szCs w:val="20"/>
        </w:rPr>
        <w:t xml:space="preserve">Nesses casos, </w:t>
      </w:r>
      <w:r w:rsidRPr="004D37D0">
        <w:rPr>
          <w:rFonts w:ascii="Arial" w:hAnsi="Arial" w:cs="Arial"/>
          <w:bCs/>
          <w:i/>
          <w:iCs/>
          <w:sz w:val="20"/>
          <w:szCs w:val="20"/>
        </w:rPr>
        <w:t>torna-se inviável a seleção através de licitação, eis que não haverá critério objetivo de julgamento. Será impossível identificar um ângulo único e determinado para diferenciar as diferentes performances artísticas</w:t>
      </w:r>
      <w:r w:rsidRPr="004D37D0">
        <w:rPr>
          <w:rFonts w:ascii="Arial" w:hAnsi="Arial" w:cs="Arial"/>
          <w:i/>
          <w:iCs/>
          <w:sz w:val="20"/>
          <w:szCs w:val="20"/>
        </w:rPr>
        <w:t>. Daí a caracterização da inviabilidade de competição.”</w:t>
      </w:r>
    </w:p>
    <w:p w14:paraId="77F326C2" w14:textId="77777777" w:rsidR="00177632" w:rsidRPr="004D37D0" w:rsidRDefault="00177632" w:rsidP="00177632">
      <w:pPr>
        <w:pStyle w:val="Default"/>
        <w:spacing w:line="360" w:lineRule="auto"/>
        <w:ind w:firstLine="708"/>
        <w:jc w:val="both"/>
        <w:rPr>
          <w:rFonts w:ascii="Arial" w:hAnsi="Arial" w:cs="Arial"/>
        </w:rPr>
      </w:pPr>
      <w:r w:rsidRPr="004D37D0">
        <w:rPr>
          <w:rFonts w:ascii="Arial" w:hAnsi="Arial" w:cs="Arial"/>
        </w:rPr>
        <w:t xml:space="preserve">Cabe ressaltar que o entendimento acima foi reiterado no Acórdão 1341/2022 - Segunda Câmara do Tribunal de Contas da União: </w:t>
      </w:r>
    </w:p>
    <w:p w14:paraId="4622C64E" w14:textId="77777777" w:rsidR="00177632" w:rsidRPr="004D37D0" w:rsidRDefault="00177632" w:rsidP="00177632">
      <w:pPr>
        <w:pStyle w:val="Default"/>
        <w:spacing w:line="360" w:lineRule="auto"/>
        <w:ind w:left="2268"/>
        <w:jc w:val="both"/>
        <w:rPr>
          <w:rFonts w:ascii="Arial" w:hAnsi="Arial" w:cs="Arial"/>
          <w:i/>
          <w:iCs/>
          <w:sz w:val="20"/>
          <w:szCs w:val="20"/>
        </w:rPr>
      </w:pPr>
      <w:r w:rsidRPr="004D37D0">
        <w:rPr>
          <w:rFonts w:ascii="Arial" w:hAnsi="Arial" w:cs="Arial"/>
          <w:i/>
          <w:iCs/>
          <w:sz w:val="20"/>
          <w:szCs w:val="20"/>
        </w:rPr>
        <w:t xml:space="preserve">Na contratação de profissional do setor artístico por inexigibilidade de licitação, a apresentação de atestado de exclusividade restrito ao dia e à localidade do evento, em vez do contrato de exclusividade entre o artista e o empresário contratado, caracteriza grave infração à norma legal, ensejando, ainda que não configurado dano ao erário, aplicação de multa e julgamento pela irregularidade das contas, haja vista que o contrato de exclusividade é imprescindível para caracterizar a inviabilidade de competição de que trata o art. 25, inciso III, da Lei 8.666/1993. (Tomada de Contas Especial, Ministro Augusto Nardes). </w:t>
      </w:r>
    </w:p>
    <w:p w14:paraId="3F1E727B" w14:textId="77777777" w:rsidR="00177632" w:rsidRPr="004D37D0" w:rsidRDefault="00177632" w:rsidP="00177632">
      <w:pPr>
        <w:pStyle w:val="Default"/>
        <w:spacing w:line="360" w:lineRule="auto"/>
        <w:ind w:firstLine="708"/>
        <w:jc w:val="both"/>
        <w:rPr>
          <w:rFonts w:ascii="Arial" w:hAnsi="Arial" w:cs="Arial"/>
        </w:rPr>
      </w:pPr>
      <w:r w:rsidRPr="004D37D0">
        <w:rPr>
          <w:rFonts w:ascii="Arial" w:hAnsi="Arial" w:cs="Arial"/>
        </w:rPr>
        <w:t>A Lei nº 14.133/2021 dedicou o § 2º do artigo 74 para definir o que considera empresário exclusivo, assim, para a nova lei de licitações e contratos:</w:t>
      </w:r>
    </w:p>
    <w:p w14:paraId="0E1AB1DA" w14:textId="77777777" w:rsidR="00177632" w:rsidRPr="004D37D0" w:rsidRDefault="00177632" w:rsidP="00177632">
      <w:pPr>
        <w:pStyle w:val="Default"/>
        <w:spacing w:line="360" w:lineRule="auto"/>
        <w:ind w:left="2268"/>
        <w:jc w:val="both"/>
        <w:rPr>
          <w:rFonts w:ascii="Arial" w:hAnsi="Arial" w:cs="Arial"/>
          <w:i/>
          <w:iCs/>
          <w:sz w:val="20"/>
          <w:szCs w:val="20"/>
        </w:rPr>
      </w:pPr>
      <w:r w:rsidRPr="004D37D0">
        <w:rPr>
          <w:rFonts w:ascii="Arial" w:hAnsi="Arial" w:cs="Arial"/>
          <w:i/>
          <w:iCs/>
          <w:sz w:val="20"/>
          <w:szCs w:val="20"/>
        </w:rPr>
        <w:t>§ 2º Para fins do disposto no inciso II do caput deste artigo, considera-se empresário exclusivo a pessoa física ou jurídica que possua contrato, declaração, carta ou outro documento que ateste a exclusividade permanente e contínua de representação, no País ou em Estado específico, do profissional do setor artístico, afastada a possibilidade de contratação direta por inexigibilidade por meio de empresário com representação restrita a evento ou local específico.</w:t>
      </w:r>
    </w:p>
    <w:p w14:paraId="3125B184" w14:textId="77777777" w:rsidR="00177632" w:rsidRPr="004D37D0" w:rsidRDefault="00177632" w:rsidP="00177632">
      <w:pPr>
        <w:pStyle w:val="Default"/>
        <w:spacing w:line="360" w:lineRule="auto"/>
        <w:ind w:left="2268"/>
        <w:jc w:val="both"/>
        <w:rPr>
          <w:rFonts w:ascii="Arial" w:hAnsi="Arial" w:cs="Arial"/>
        </w:rPr>
      </w:pPr>
    </w:p>
    <w:p w14:paraId="0E17ED12" w14:textId="77777777" w:rsidR="00177632" w:rsidRPr="004D37D0" w:rsidRDefault="00177632" w:rsidP="00177632">
      <w:pPr>
        <w:pStyle w:val="Default"/>
        <w:spacing w:line="360" w:lineRule="auto"/>
        <w:ind w:firstLine="708"/>
        <w:jc w:val="both"/>
        <w:rPr>
          <w:rFonts w:ascii="Arial" w:hAnsi="Arial" w:cs="Arial"/>
        </w:rPr>
      </w:pPr>
      <w:r w:rsidRPr="004D37D0">
        <w:rPr>
          <w:rFonts w:ascii="Arial" w:hAnsi="Arial" w:cs="Arial"/>
        </w:rPr>
        <w:t xml:space="preserve">Nota-se da leitura do texto legal acima transcrito que a nova lei de licitações e contratos se alinhou ao entendimento do Tribunal de Contas da União, tanto que o reproduziu expressamente. Dessarte, forçoso reconhecer que o entendimento precitado está alinhado com a prática de um mercado específico, todavia, o texto legal deixou claro a necessidade de que a </w:t>
      </w:r>
      <w:r w:rsidRPr="004D37D0">
        <w:rPr>
          <w:rFonts w:ascii="Arial" w:hAnsi="Arial" w:cs="Arial"/>
        </w:rPr>
        <w:lastRenderedPageBreak/>
        <w:t>contratação com fundamento no artigo 74, inciso II, da Lei nº 14.133/2021, seja realizada diretamente ou por meio de empresário exclusivo (SILVA, 2022).</w:t>
      </w:r>
    </w:p>
    <w:p w14:paraId="46EE9664" w14:textId="77777777" w:rsidR="00177632" w:rsidRPr="004D37D0" w:rsidRDefault="00177632" w:rsidP="00177632">
      <w:pPr>
        <w:pStyle w:val="Default"/>
        <w:spacing w:line="360" w:lineRule="auto"/>
        <w:ind w:firstLine="708"/>
        <w:jc w:val="both"/>
        <w:rPr>
          <w:rFonts w:ascii="Arial" w:hAnsi="Arial" w:cs="Arial"/>
        </w:rPr>
      </w:pPr>
    </w:p>
    <w:p w14:paraId="4A0C65C6" w14:textId="6E374368" w:rsidR="00177632" w:rsidRPr="004D37D0" w:rsidRDefault="00177632" w:rsidP="00177632">
      <w:pPr>
        <w:pStyle w:val="Default"/>
        <w:spacing w:line="360" w:lineRule="auto"/>
        <w:ind w:firstLine="708"/>
        <w:jc w:val="both"/>
        <w:rPr>
          <w:rFonts w:ascii="Arial" w:hAnsi="Arial" w:cs="Arial"/>
        </w:rPr>
      </w:pPr>
      <w:r w:rsidRPr="004D37D0">
        <w:rPr>
          <w:rFonts w:ascii="Arial" w:hAnsi="Arial" w:cs="Arial"/>
        </w:rPr>
        <w:t xml:space="preserve">No caso concreto, entende-se que tal requisito se encontra devidamente comprovado através dos documentos juntados aos autos do processo em tela que demonstram que o artista é consagrado pela crítica especializada e/ou pelo público. Isto posto, a pretensa contratação atende aos ditames da 14.133/2021, </w:t>
      </w:r>
      <w:bookmarkStart w:id="0" w:name="_Hlk160554710"/>
      <w:r w:rsidRPr="004D37D0">
        <w:rPr>
          <w:rFonts w:ascii="Arial" w:hAnsi="Arial" w:cs="Arial"/>
        </w:rPr>
        <w:t xml:space="preserve">assim, justifica-se a </w:t>
      </w:r>
      <w:bookmarkStart w:id="1" w:name="_Hlk160553915"/>
      <w:r w:rsidRPr="004D37D0">
        <w:rPr>
          <w:rFonts w:ascii="Arial" w:hAnsi="Arial" w:cs="Arial"/>
        </w:rPr>
        <w:t>Contratação do artista</w:t>
      </w:r>
      <w:r>
        <w:rPr>
          <w:rFonts w:ascii="Arial" w:hAnsi="Arial" w:cs="Arial"/>
        </w:rPr>
        <w:t>/banda</w:t>
      </w:r>
      <w:r w:rsidRPr="004D37D0">
        <w:rPr>
          <w:rFonts w:ascii="Arial" w:hAnsi="Arial" w:cs="Arial"/>
        </w:rPr>
        <w:t xml:space="preserve"> </w:t>
      </w:r>
      <w:r>
        <w:rPr>
          <w:rFonts w:ascii="Arial" w:hAnsi="Arial" w:cs="Arial"/>
          <w:b/>
          <w:bCs/>
        </w:rPr>
        <w:t>BONDE DO BRASIL</w:t>
      </w:r>
      <w:r w:rsidRPr="004D37D0">
        <w:rPr>
          <w:rFonts w:ascii="Arial" w:hAnsi="Arial" w:cs="Arial"/>
        </w:rPr>
        <w:t xml:space="preserve"> para apresentação no Evento Mossoró Cidade Junina 2024, no polo </w:t>
      </w:r>
      <w:r w:rsidRPr="004D37D0">
        <w:rPr>
          <w:rFonts w:ascii="Arial" w:hAnsi="Arial" w:cs="Arial"/>
          <w:b/>
          <w:bCs/>
        </w:rPr>
        <w:t>ESTAÇÃO DAS ARTES</w:t>
      </w:r>
      <w:r w:rsidRPr="004D37D0">
        <w:rPr>
          <w:rFonts w:ascii="Arial" w:hAnsi="Arial" w:cs="Arial"/>
        </w:rPr>
        <w:t xml:space="preserve">, na data de </w:t>
      </w:r>
      <w:r>
        <w:rPr>
          <w:rFonts w:ascii="Arial" w:hAnsi="Arial" w:cs="Arial"/>
          <w:b/>
          <w:bCs/>
        </w:rPr>
        <w:t>7</w:t>
      </w:r>
      <w:r w:rsidRPr="004D37D0">
        <w:rPr>
          <w:rFonts w:ascii="Arial" w:hAnsi="Arial" w:cs="Arial"/>
        </w:rPr>
        <w:t xml:space="preserve"> de junho de 2024</w:t>
      </w:r>
      <w:bookmarkEnd w:id="1"/>
      <w:r w:rsidRPr="004D37D0">
        <w:rPr>
          <w:rFonts w:ascii="Arial" w:hAnsi="Arial" w:cs="Arial"/>
        </w:rPr>
        <w:t>, conforme os motivos acima supramencionados.</w:t>
      </w:r>
    </w:p>
    <w:bookmarkEnd w:id="0"/>
    <w:p w14:paraId="58A948E6" w14:textId="77777777" w:rsidR="00177632" w:rsidRPr="004D37D0" w:rsidRDefault="00177632" w:rsidP="00177632">
      <w:pPr>
        <w:pStyle w:val="Corpodetexto3"/>
        <w:widowControl w:val="0"/>
        <w:spacing w:line="360" w:lineRule="auto"/>
        <w:jc w:val="both"/>
        <w:outlineLvl w:val="0"/>
        <w:rPr>
          <w:rFonts w:ascii="Arial" w:hAnsi="Arial" w:cs="Arial"/>
          <w:b/>
          <w:sz w:val="24"/>
          <w:szCs w:val="24"/>
        </w:rPr>
      </w:pPr>
    </w:p>
    <w:p w14:paraId="715E95F0" w14:textId="77777777" w:rsidR="00177632" w:rsidRPr="004D37D0" w:rsidRDefault="00177632" w:rsidP="00177632">
      <w:pPr>
        <w:pStyle w:val="Corpodetexto3"/>
        <w:widowControl w:val="0"/>
        <w:spacing w:line="360" w:lineRule="auto"/>
        <w:jc w:val="both"/>
        <w:outlineLvl w:val="0"/>
        <w:rPr>
          <w:rFonts w:ascii="Arial" w:hAnsi="Arial" w:cs="Arial"/>
          <w:b/>
          <w:sz w:val="24"/>
          <w:szCs w:val="24"/>
        </w:rPr>
      </w:pPr>
      <w:r w:rsidRPr="004D37D0">
        <w:rPr>
          <w:rFonts w:ascii="Arial" w:hAnsi="Arial" w:cs="Arial"/>
          <w:b/>
          <w:sz w:val="24"/>
          <w:szCs w:val="24"/>
        </w:rPr>
        <w:t>V – DA JUSTIFICATIVA DO PREÇO</w:t>
      </w:r>
    </w:p>
    <w:p w14:paraId="54AB1817" w14:textId="77777777" w:rsidR="00177632" w:rsidRPr="004D37D0" w:rsidRDefault="00177632" w:rsidP="00177632">
      <w:pPr>
        <w:pStyle w:val="Ttulo1"/>
        <w:shd w:val="clear" w:color="auto" w:fill="FFFFFF"/>
        <w:spacing w:after="0" w:line="360" w:lineRule="auto"/>
        <w:ind w:firstLine="708"/>
        <w:jc w:val="both"/>
        <w:textAlignment w:val="baseline"/>
        <w:rPr>
          <w:rFonts w:ascii="Arial" w:eastAsiaTheme="minorHAnsi" w:hAnsi="Arial" w:cs="Arial"/>
          <w:b w:val="0"/>
          <w:bCs w:val="0"/>
          <w:kern w:val="0"/>
          <w:sz w:val="24"/>
          <w:szCs w:val="24"/>
          <w:lang w:eastAsia="en-US"/>
        </w:rPr>
      </w:pPr>
      <w:r w:rsidRPr="004D37D0">
        <w:rPr>
          <w:rFonts w:ascii="Arial" w:eastAsiaTheme="minorHAnsi" w:hAnsi="Arial" w:cs="Arial"/>
          <w:b w:val="0"/>
          <w:bCs w:val="0"/>
          <w:kern w:val="0"/>
          <w:sz w:val="24"/>
          <w:szCs w:val="24"/>
          <w:lang w:eastAsia="en-US"/>
        </w:rPr>
        <w:t xml:space="preserve">Quantos aos valores estimados para contratações diretas, as regras são estabelecidas pela Instrução Normativa SEGES/ME Nº 65, de 7 de julho de 2021 que dispõe sobre o procedimento administrativo para a realização de pesquisa de preços para aquisição de bens e contratação de serviços em geral, no âmbito da administração pública federal direta, autárquica e fundacional em seu artigo Art. 7º, § 1º, redação essa incorporada a Nova Lei de Licitações de acordo com o artigo 23 § 4º, que segue </w:t>
      </w:r>
      <w:r w:rsidRPr="004D37D0">
        <w:rPr>
          <w:rFonts w:ascii="Arial" w:eastAsiaTheme="minorHAnsi" w:hAnsi="Arial" w:cs="Arial"/>
          <w:b w:val="0"/>
          <w:bCs w:val="0"/>
          <w:i/>
          <w:iCs/>
          <w:kern w:val="0"/>
          <w:sz w:val="24"/>
          <w:szCs w:val="24"/>
          <w:lang w:eastAsia="en-US"/>
        </w:rPr>
        <w:t>in verbis</w:t>
      </w:r>
      <w:r w:rsidRPr="004D37D0">
        <w:rPr>
          <w:rFonts w:ascii="Arial" w:eastAsiaTheme="minorHAnsi" w:hAnsi="Arial" w:cs="Arial"/>
          <w:b w:val="0"/>
          <w:bCs w:val="0"/>
          <w:kern w:val="0"/>
          <w:sz w:val="24"/>
          <w:szCs w:val="24"/>
          <w:lang w:eastAsia="en-US"/>
        </w:rPr>
        <w:t>:</w:t>
      </w:r>
    </w:p>
    <w:p w14:paraId="42C80698" w14:textId="77777777" w:rsidR="00177632" w:rsidRPr="004D37D0" w:rsidRDefault="00177632" w:rsidP="00177632">
      <w:pPr>
        <w:pStyle w:val="Corpodetexto3"/>
        <w:widowControl w:val="0"/>
        <w:spacing w:line="360" w:lineRule="auto"/>
        <w:ind w:left="2268"/>
        <w:jc w:val="both"/>
        <w:outlineLvl w:val="0"/>
        <w:rPr>
          <w:rFonts w:ascii="Arial" w:hAnsi="Arial" w:cs="Arial"/>
          <w:i/>
          <w:iCs/>
          <w:sz w:val="20"/>
          <w:szCs w:val="20"/>
        </w:rPr>
      </w:pPr>
      <w:r w:rsidRPr="004D37D0">
        <w:rPr>
          <w:rFonts w:ascii="Arial" w:hAnsi="Arial" w:cs="Arial"/>
          <w:i/>
          <w:iCs/>
          <w:sz w:val="20"/>
          <w:szCs w:val="20"/>
        </w:rPr>
        <w:t>Nas contratações diretas por inexigibilidade ou por dispensa,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14:paraId="0EB1BFB3" w14:textId="1C9CDECD" w:rsidR="00177632" w:rsidRPr="004D37D0" w:rsidRDefault="00177632" w:rsidP="00177632">
      <w:pPr>
        <w:pStyle w:val="Corpodetexto3"/>
        <w:widowControl w:val="0"/>
        <w:spacing w:line="360" w:lineRule="auto"/>
        <w:jc w:val="both"/>
        <w:outlineLvl w:val="0"/>
        <w:rPr>
          <w:rFonts w:ascii="Arial" w:hAnsi="Arial" w:cs="Arial"/>
          <w:sz w:val="24"/>
          <w:szCs w:val="24"/>
        </w:rPr>
      </w:pPr>
      <w:r w:rsidRPr="004D37D0">
        <w:rPr>
          <w:rFonts w:ascii="Arial" w:hAnsi="Arial" w:cs="Arial"/>
          <w:sz w:val="24"/>
          <w:szCs w:val="24"/>
        </w:rPr>
        <w:t xml:space="preserve"> </w:t>
      </w:r>
      <w:r w:rsidRPr="004D37D0">
        <w:rPr>
          <w:rFonts w:ascii="Arial" w:hAnsi="Arial" w:cs="Arial"/>
          <w:sz w:val="24"/>
          <w:szCs w:val="24"/>
        </w:rPr>
        <w:tab/>
        <w:t xml:space="preserve">Assim, conforme consta nos autos deste processo verifica-se que valor cobrado de R$ </w:t>
      </w:r>
      <w:r>
        <w:rPr>
          <w:rFonts w:ascii="Arial" w:hAnsi="Arial" w:cs="Arial"/>
          <w:color w:val="auto"/>
          <w:sz w:val="24"/>
          <w:szCs w:val="24"/>
        </w:rPr>
        <w:t>1</w:t>
      </w:r>
      <w:r w:rsidR="00664C19">
        <w:rPr>
          <w:rFonts w:ascii="Arial" w:hAnsi="Arial" w:cs="Arial"/>
          <w:color w:val="auto"/>
          <w:sz w:val="24"/>
          <w:szCs w:val="24"/>
        </w:rPr>
        <w:t>4</w:t>
      </w:r>
      <w:r w:rsidRPr="004D37D0">
        <w:rPr>
          <w:rFonts w:ascii="Arial" w:hAnsi="Arial" w:cs="Arial"/>
          <w:color w:val="auto"/>
          <w:sz w:val="24"/>
          <w:szCs w:val="24"/>
        </w:rPr>
        <w:t>0.00,00 (</w:t>
      </w:r>
      <w:r>
        <w:rPr>
          <w:rFonts w:ascii="Arial" w:hAnsi="Arial" w:cs="Arial"/>
          <w:color w:val="auto"/>
          <w:sz w:val="24"/>
          <w:szCs w:val="24"/>
        </w:rPr>
        <w:t xml:space="preserve">cento e </w:t>
      </w:r>
      <w:r w:rsidR="00664C19">
        <w:rPr>
          <w:rFonts w:ascii="Arial" w:hAnsi="Arial" w:cs="Arial"/>
          <w:color w:val="auto"/>
          <w:sz w:val="24"/>
          <w:szCs w:val="24"/>
        </w:rPr>
        <w:t>quarenta</w:t>
      </w:r>
      <w:r w:rsidRPr="004D37D0">
        <w:rPr>
          <w:rFonts w:ascii="Arial" w:hAnsi="Arial" w:cs="Arial"/>
          <w:color w:val="auto"/>
          <w:sz w:val="24"/>
          <w:szCs w:val="24"/>
        </w:rPr>
        <w:t xml:space="preserve"> mil reais)</w:t>
      </w:r>
      <w:r>
        <w:rPr>
          <w:rFonts w:ascii="Arial" w:hAnsi="Arial" w:cs="Arial"/>
          <w:color w:val="FF0000"/>
          <w:sz w:val="24"/>
          <w:szCs w:val="24"/>
        </w:rPr>
        <w:t xml:space="preserve"> </w:t>
      </w:r>
      <w:r w:rsidRPr="004D37D0">
        <w:rPr>
          <w:rFonts w:ascii="Arial" w:hAnsi="Arial" w:cs="Arial"/>
          <w:sz w:val="24"/>
          <w:szCs w:val="24"/>
        </w:rPr>
        <w:t xml:space="preserve">para a Contratação do </w:t>
      </w:r>
      <w:r w:rsidRPr="004D37D0">
        <w:rPr>
          <w:rFonts w:ascii="Arial" w:hAnsi="Arial" w:cs="Arial"/>
          <w:sz w:val="24"/>
          <w:szCs w:val="24"/>
        </w:rPr>
        <w:lastRenderedPageBreak/>
        <w:t>artista</w:t>
      </w:r>
      <w:r>
        <w:rPr>
          <w:rFonts w:ascii="Arial" w:hAnsi="Arial" w:cs="Arial"/>
          <w:sz w:val="24"/>
          <w:szCs w:val="24"/>
        </w:rPr>
        <w:t>/banda</w:t>
      </w:r>
      <w:r w:rsidRPr="004D37D0">
        <w:rPr>
          <w:rFonts w:ascii="Arial" w:hAnsi="Arial" w:cs="Arial"/>
          <w:sz w:val="24"/>
          <w:szCs w:val="24"/>
        </w:rPr>
        <w:t xml:space="preserve"> </w:t>
      </w:r>
      <w:r w:rsidRPr="00177632">
        <w:rPr>
          <w:rFonts w:ascii="Arial" w:hAnsi="Arial" w:cs="Arial"/>
          <w:b/>
          <w:bCs/>
          <w:sz w:val="24"/>
          <w:szCs w:val="24"/>
        </w:rPr>
        <w:t>BONDE DO BRASIL</w:t>
      </w:r>
      <w:r w:rsidRPr="004D37D0">
        <w:rPr>
          <w:rFonts w:ascii="Arial" w:hAnsi="Arial" w:cs="Arial"/>
        </w:rPr>
        <w:t xml:space="preserve"> </w:t>
      </w:r>
      <w:r w:rsidRPr="004D37D0">
        <w:rPr>
          <w:rFonts w:ascii="Arial" w:hAnsi="Arial" w:cs="Arial"/>
          <w:sz w:val="24"/>
          <w:szCs w:val="24"/>
        </w:rPr>
        <w:t xml:space="preserve">para apresentação no Evento Mossoró Cidade Junina 2024, </w:t>
      </w:r>
      <w:r w:rsidRPr="004D37D0">
        <w:rPr>
          <w:rFonts w:ascii="Arial" w:hAnsi="Arial" w:cs="Arial"/>
          <w:b/>
          <w:bCs/>
          <w:sz w:val="24"/>
          <w:szCs w:val="24"/>
        </w:rPr>
        <w:t>ESTAÇÃO DAS ARTES</w:t>
      </w:r>
      <w:r w:rsidRPr="004D37D0">
        <w:rPr>
          <w:rFonts w:ascii="Arial" w:hAnsi="Arial" w:cs="Arial"/>
          <w:sz w:val="24"/>
          <w:szCs w:val="24"/>
        </w:rPr>
        <w:t xml:space="preserve">, na data de </w:t>
      </w:r>
      <w:r>
        <w:rPr>
          <w:rFonts w:ascii="Arial" w:hAnsi="Arial" w:cs="Arial"/>
          <w:sz w:val="24"/>
          <w:szCs w:val="24"/>
        </w:rPr>
        <w:t>7</w:t>
      </w:r>
      <w:r w:rsidRPr="004D37D0">
        <w:rPr>
          <w:rFonts w:ascii="Arial" w:hAnsi="Arial" w:cs="Arial"/>
          <w:sz w:val="24"/>
          <w:szCs w:val="24"/>
        </w:rPr>
        <w:t xml:space="preserve"> de junho de 2024, possui o valor compatível com o preço cobrado a demais órgãos públicos por meio da apresentação de notas fiscais de objetos semelhantes.</w:t>
      </w:r>
    </w:p>
    <w:p w14:paraId="5413FEA2" w14:textId="77777777" w:rsidR="00177632" w:rsidRPr="004D37D0" w:rsidRDefault="00177632" w:rsidP="00177632">
      <w:pPr>
        <w:widowControl w:val="0"/>
        <w:spacing w:line="360" w:lineRule="auto"/>
        <w:jc w:val="both"/>
        <w:rPr>
          <w:rFonts w:ascii="Arial" w:hAnsi="Arial" w:cs="Arial"/>
          <w:b/>
          <w:bCs/>
          <w:sz w:val="24"/>
          <w:szCs w:val="24"/>
        </w:rPr>
      </w:pPr>
      <w:r w:rsidRPr="004D37D0">
        <w:rPr>
          <w:rFonts w:ascii="Arial" w:hAnsi="Arial" w:cs="Arial"/>
          <w:b/>
          <w:bCs/>
          <w:sz w:val="24"/>
          <w:szCs w:val="24"/>
        </w:rPr>
        <w:t xml:space="preserve">VI – </w:t>
      </w:r>
      <w:bookmarkStart w:id="2" w:name="_Hlk160554604"/>
      <w:r w:rsidRPr="004D37D0">
        <w:rPr>
          <w:rFonts w:ascii="Arial" w:hAnsi="Arial" w:cs="Arial"/>
          <w:b/>
          <w:bCs/>
          <w:sz w:val="24"/>
          <w:szCs w:val="24"/>
        </w:rPr>
        <w:t>DA HABILITAÇÃO JURÍDICA E DA REGULARIDADE FISCAL</w:t>
      </w:r>
      <w:bookmarkEnd w:id="2"/>
    </w:p>
    <w:p w14:paraId="1E1C6711" w14:textId="77777777" w:rsidR="00177632" w:rsidRPr="004D37D0" w:rsidRDefault="00177632" w:rsidP="00177632">
      <w:pPr>
        <w:pStyle w:val="Nivel2"/>
        <w:spacing w:line="360" w:lineRule="auto"/>
        <w:ind w:firstLine="708"/>
        <w:rPr>
          <w:color w:val="auto"/>
          <w:sz w:val="24"/>
          <w:szCs w:val="24"/>
          <w:lang w:val="pt-PT"/>
        </w:rPr>
      </w:pPr>
      <w:r w:rsidRPr="004D37D0">
        <w:rPr>
          <w:color w:val="auto"/>
          <w:sz w:val="24"/>
          <w:szCs w:val="24"/>
          <w:lang w:val="pt-PT"/>
        </w:rPr>
        <w:t>A verificação quanto à possibilidade jurídica de se contratar determinada pessoa é realizada por meio de aferição quanto aos requisitos de habilitação dispostos em lei. Nesse sentido, no que tange aos processos de contratação direta, a Lei nº 14.133/2021 assim dispõe:</w:t>
      </w:r>
    </w:p>
    <w:p w14:paraId="42AAC553" w14:textId="77777777" w:rsidR="00177632" w:rsidRPr="004D37D0" w:rsidRDefault="00177632" w:rsidP="00177632">
      <w:pPr>
        <w:pStyle w:val="Nivel2"/>
        <w:spacing w:line="360" w:lineRule="auto"/>
        <w:ind w:left="2268"/>
        <w:rPr>
          <w:i/>
          <w:iCs/>
          <w:color w:val="auto"/>
          <w:sz w:val="20"/>
          <w:szCs w:val="20"/>
          <w:lang w:val="pt-PT"/>
        </w:rPr>
      </w:pPr>
      <w:r w:rsidRPr="004D37D0">
        <w:rPr>
          <w:i/>
          <w:iCs/>
          <w:color w:val="auto"/>
          <w:sz w:val="20"/>
          <w:szCs w:val="20"/>
          <w:lang w:val="pt-PT"/>
        </w:rPr>
        <w:t>Art. 72. O processo de contratação direta, que compreende os casos de inexigibilidade e de dispensa</w:t>
      </w:r>
    </w:p>
    <w:p w14:paraId="2C60EC4D" w14:textId="77777777" w:rsidR="00177632" w:rsidRPr="004D37D0" w:rsidRDefault="00177632" w:rsidP="00177632">
      <w:pPr>
        <w:pStyle w:val="Nivel2"/>
        <w:spacing w:line="360" w:lineRule="auto"/>
        <w:ind w:left="2268"/>
        <w:rPr>
          <w:i/>
          <w:iCs/>
          <w:color w:val="auto"/>
          <w:sz w:val="20"/>
          <w:szCs w:val="20"/>
          <w:lang w:val="pt-PT"/>
        </w:rPr>
      </w:pPr>
      <w:r w:rsidRPr="004D37D0">
        <w:rPr>
          <w:i/>
          <w:iCs/>
          <w:color w:val="auto"/>
          <w:sz w:val="20"/>
          <w:szCs w:val="20"/>
          <w:lang w:val="pt-PT"/>
        </w:rPr>
        <w:t>de licitação, deverá ser instruído com os seguintes documentos:</w:t>
      </w:r>
    </w:p>
    <w:p w14:paraId="1D561613" w14:textId="77777777" w:rsidR="00177632" w:rsidRPr="004D37D0" w:rsidRDefault="00177632" w:rsidP="00177632">
      <w:pPr>
        <w:pStyle w:val="Nivel2"/>
        <w:spacing w:line="360" w:lineRule="auto"/>
        <w:ind w:left="2268"/>
        <w:rPr>
          <w:color w:val="auto"/>
          <w:sz w:val="20"/>
          <w:szCs w:val="20"/>
          <w:lang w:val="pt-PT"/>
        </w:rPr>
      </w:pPr>
      <w:r w:rsidRPr="004D37D0">
        <w:rPr>
          <w:color w:val="auto"/>
          <w:sz w:val="20"/>
          <w:szCs w:val="20"/>
          <w:lang w:val="pt-PT"/>
        </w:rPr>
        <w:t>[...]</w:t>
      </w:r>
    </w:p>
    <w:p w14:paraId="0A99910D" w14:textId="77777777" w:rsidR="00177632" w:rsidRPr="004D37D0" w:rsidRDefault="00177632" w:rsidP="00177632">
      <w:pPr>
        <w:pStyle w:val="Nivel2"/>
        <w:spacing w:line="360" w:lineRule="auto"/>
        <w:ind w:left="2268"/>
        <w:rPr>
          <w:color w:val="auto"/>
          <w:sz w:val="20"/>
          <w:szCs w:val="20"/>
          <w:lang w:val="pt-PT"/>
        </w:rPr>
      </w:pPr>
      <w:r w:rsidRPr="004D37D0">
        <w:rPr>
          <w:color w:val="auto"/>
          <w:sz w:val="20"/>
          <w:szCs w:val="20"/>
          <w:lang w:val="pt-PT"/>
        </w:rPr>
        <w:t>V - comprovação de que o contratado preenche os requisitos de habilitação e qualificação mínima necessária; (grifo nosso);</w:t>
      </w:r>
    </w:p>
    <w:p w14:paraId="405E5167" w14:textId="77777777" w:rsidR="00177632" w:rsidRPr="004D37D0" w:rsidRDefault="00177632" w:rsidP="00177632">
      <w:pPr>
        <w:spacing w:line="360" w:lineRule="auto"/>
        <w:jc w:val="both"/>
        <w:rPr>
          <w:rFonts w:ascii="Arial" w:eastAsia="Calibri" w:hAnsi="Arial" w:cs="Arial"/>
          <w:sz w:val="24"/>
          <w:szCs w:val="24"/>
        </w:rPr>
      </w:pPr>
      <w:r w:rsidRPr="004D37D0">
        <w:rPr>
          <w:rFonts w:ascii="Arial" w:hAnsi="Arial" w:cs="Arial"/>
          <w:sz w:val="24"/>
          <w:szCs w:val="24"/>
          <w:lang w:val="pt-PT"/>
        </w:rPr>
        <w:tab/>
        <w:t>Para a devida verificação da habilitação jurídica e da regularidade fiscal fora apresentado pelo contratado as seguintes documentações: Cartão CNPJ, com comprovação pertinente ao seu ramo de atividades e compatível com objeto contratual; Cópia dos documentos de identificação dos representantes (RG e CPF); Certidão de Regularidade para com a Fazenda Federal (art. 68, III, Lei 14.133/2021); Certidão de Regularidade</w:t>
      </w:r>
      <w:r w:rsidRPr="004D37D0">
        <w:rPr>
          <w:rFonts w:ascii="Arial" w:eastAsia="Calibri" w:hAnsi="Arial" w:cs="Arial"/>
          <w:sz w:val="24"/>
          <w:szCs w:val="24"/>
        </w:rPr>
        <w:t xml:space="preserve"> para com a Fazenda Estadual (art. 68, III, Lei 14.133/2021); Certidão de Regularidade para com a Fazenda Municipal (art. 68, III, Lei 14.133/2021); Certidão de inexistência de débitos inadimplidos perante a justiça do Trabalho – (art. 68, V, Lei 14.133/2021); Certidão do FGTS (art. 68, IV, Lei 14.133/2021); Declaração de inexistência de fato impeditivo da habilitação e Declaração relativa ao cumprimento do disposto no art. 7.º inc. XXXIII, da Constituição Federal (art. 27, inc. VI, da Lei n.º 14.133/2021);</w:t>
      </w:r>
    </w:p>
    <w:p w14:paraId="7D65A04D" w14:textId="77777777" w:rsidR="00177632" w:rsidRPr="004D37D0" w:rsidRDefault="00177632" w:rsidP="00177632">
      <w:pPr>
        <w:pStyle w:val="Nivel2"/>
        <w:spacing w:line="360" w:lineRule="auto"/>
        <w:rPr>
          <w:color w:val="auto"/>
          <w:sz w:val="24"/>
          <w:szCs w:val="24"/>
          <w:lang w:val="pt-PT"/>
        </w:rPr>
      </w:pPr>
      <w:r w:rsidRPr="004D37D0">
        <w:rPr>
          <w:color w:val="auto"/>
          <w:sz w:val="24"/>
          <w:szCs w:val="24"/>
          <w:lang w:val="pt-PT"/>
        </w:rPr>
        <w:lastRenderedPageBreak/>
        <w:tab/>
      </w:r>
      <w:r w:rsidRPr="004D37D0">
        <w:rPr>
          <w:rFonts w:eastAsia="Calibri"/>
          <w:color w:val="auto"/>
          <w:sz w:val="24"/>
          <w:szCs w:val="24"/>
        </w:rPr>
        <w:t>Assim dada a vasta documentação apresentada, em relação aos requisitos exigidos, verifica-se que estes estão compatíveis com a exigência legal, podendo a Administração adquiri-lo sem qualquer afronta à lei de regência das contratações.</w:t>
      </w:r>
      <w:r w:rsidRPr="004D37D0">
        <w:rPr>
          <w:color w:val="auto"/>
          <w:sz w:val="24"/>
          <w:szCs w:val="24"/>
          <w:lang w:val="pt-PT"/>
        </w:rPr>
        <w:t xml:space="preserve">  </w:t>
      </w:r>
    </w:p>
    <w:p w14:paraId="3EC3998B" w14:textId="77777777" w:rsidR="00177632" w:rsidRPr="004D37D0" w:rsidRDefault="00177632" w:rsidP="00177632">
      <w:pPr>
        <w:pStyle w:val="Nivel2"/>
        <w:spacing w:line="360" w:lineRule="auto"/>
        <w:ind w:firstLine="708"/>
        <w:rPr>
          <w:color w:val="auto"/>
          <w:sz w:val="24"/>
          <w:szCs w:val="24"/>
          <w:lang w:val="pt-PT"/>
        </w:rPr>
      </w:pPr>
    </w:p>
    <w:p w14:paraId="70E62ECD" w14:textId="77777777" w:rsidR="00177632" w:rsidRPr="004D37D0" w:rsidRDefault="00177632" w:rsidP="00177632">
      <w:pPr>
        <w:widowControl w:val="0"/>
        <w:spacing w:line="360" w:lineRule="auto"/>
        <w:jc w:val="both"/>
        <w:rPr>
          <w:rFonts w:ascii="Arial" w:hAnsi="Arial" w:cs="Arial"/>
          <w:b/>
          <w:bCs/>
          <w:sz w:val="24"/>
          <w:szCs w:val="24"/>
        </w:rPr>
      </w:pPr>
      <w:r w:rsidRPr="004D37D0">
        <w:rPr>
          <w:rFonts w:ascii="Arial" w:hAnsi="Arial" w:cs="Arial"/>
          <w:b/>
          <w:bCs/>
          <w:sz w:val="24"/>
          <w:szCs w:val="24"/>
        </w:rPr>
        <w:t>VI – DA ESCOLHA</w:t>
      </w:r>
    </w:p>
    <w:p w14:paraId="499E6F59" w14:textId="4AE9C8E5" w:rsidR="00177632" w:rsidRPr="004D37D0" w:rsidRDefault="00177632" w:rsidP="00177632">
      <w:pPr>
        <w:pStyle w:val="Default"/>
        <w:spacing w:line="360" w:lineRule="auto"/>
        <w:ind w:firstLine="708"/>
        <w:jc w:val="both"/>
        <w:rPr>
          <w:rFonts w:ascii="Arial" w:eastAsia="Calibri" w:hAnsi="Arial" w:cs="Arial"/>
        </w:rPr>
      </w:pPr>
      <w:r w:rsidRPr="004D37D0">
        <w:rPr>
          <w:rFonts w:ascii="Arial" w:eastAsia="Calibri" w:hAnsi="Arial" w:cs="Arial"/>
        </w:rPr>
        <w:t>A escolha da contratação, sob análise, decorre da sua consagração perante a crítica especializada e opinião pública, considerando ainda todo o exposto, inobstante o interesse em contratar o artista</w:t>
      </w:r>
      <w:r>
        <w:rPr>
          <w:rFonts w:ascii="Arial" w:eastAsia="Calibri" w:hAnsi="Arial" w:cs="Arial"/>
        </w:rPr>
        <w:t xml:space="preserve">/banda </w:t>
      </w:r>
      <w:r>
        <w:rPr>
          <w:rFonts w:ascii="Arial" w:hAnsi="Arial" w:cs="Arial"/>
          <w:b/>
          <w:bCs/>
        </w:rPr>
        <w:t>BONDE DO BRASIL</w:t>
      </w:r>
      <w:r w:rsidRPr="004D37D0">
        <w:rPr>
          <w:rFonts w:ascii="Arial" w:eastAsia="Calibri" w:hAnsi="Arial" w:cs="Arial"/>
        </w:rPr>
        <w:t xml:space="preserve"> para apresentação no Evento Mossoró Cidade Junina 2024, no polo </w:t>
      </w:r>
      <w:r w:rsidRPr="004D37D0">
        <w:rPr>
          <w:rFonts w:ascii="Arial" w:eastAsia="Calibri" w:hAnsi="Arial" w:cs="Arial"/>
          <w:b/>
          <w:bCs/>
        </w:rPr>
        <w:t>ESTAÇÃO DAS ARTES</w:t>
      </w:r>
      <w:r w:rsidRPr="004D37D0">
        <w:rPr>
          <w:rFonts w:ascii="Arial" w:eastAsia="Calibri" w:hAnsi="Arial" w:cs="Arial"/>
        </w:rPr>
        <w:t xml:space="preserve">, na data de </w:t>
      </w:r>
      <w:r>
        <w:rPr>
          <w:rFonts w:ascii="Arial" w:eastAsia="Calibri" w:hAnsi="Arial" w:cs="Arial"/>
        </w:rPr>
        <w:t>7</w:t>
      </w:r>
      <w:r w:rsidRPr="004D37D0">
        <w:rPr>
          <w:rFonts w:ascii="Arial" w:eastAsia="Calibri" w:hAnsi="Arial" w:cs="Arial"/>
        </w:rPr>
        <w:t xml:space="preserve"> de junho de 2024, é decisão deste ordenador da despesa optar pela contratação, ante a criteriosa análise de toda a documentação acostada aos autos que instruem o presente procedimento.</w:t>
      </w:r>
    </w:p>
    <w:p w14:paraId="5E22935B" w14:textId="77777777" w:rsidR="00177632" w:rsidRPr="004D37D0" w:rsidRDefault="00177632" w:rsidP="00177632">
      <w:pPr>
        <w:pStyle w:val="Nivel2"/>
        <w:spacing w:before="0" w:after="0" w:line="360" w:lineRule="auto"/>
        <w:rPr>
          <w:rFonts w:eastAsia="Times New Roman"/>
          <w:i/>
          <w:iCs/>
          <w:color w:val="auto"/>
          <w:sz w:val="24"/>
          <w:szCs w:val="24"/>
          <w:lang w:eastAsia="pt-BR"/>
        </w:rPr>
      </w:pPr>
    </w:p>
    <w:p w14:paraId="6F7BE4B8" w14:textId="5BB8A5A0" w:rsidR="00177632" w:rsidRPr="004D37D0" w:rsidRDefault="00177632" w:rsidP="00177632">
      <w:pPr>
        <w:pStyle w:val="Corpodetexto3"/>
        <w:widowControl w:val="0"/>
        <w:tabs>
          <w:tab w:val="left" w:pos="1985"/>
          <w:tab w:val="left" w:pos="2268"/>
        </w:tabs>
        <w:spacing w:line="360" w:lineRule="auto"/>
        <w:ind w:firstLine="1418"/>
        <w:jc w:val="right"/>
        <w:outlineLvl w:val="0"/>
        <w:rPr>
          <w:rFonts w:ascii="Arial" w:hAnsi="Arial" w:cs="Arial"/>
          <w:sz w:val="24"/>
          <w:szCs w:val="24"/>
        </w:rPr>
      </w:pPr>
      <w:r w:rsidRPr="004D37D0">
        <w:rPr>
          <w:rFonts w:ascii="Arial" w:hAnsi="Arial" w:cs="Arial"/>
          <w:sz w:val="24"/>
          <w:szCs w:val="24"/>
        </w:rPr>
        <w:t xml:space="preserve">Mossoró/RN, </w:t>
      </w:r>
      <w:r>
        <w:rPr>
          <w:rFonts w:ascii="Arial" w:hAnsi="Arial" w:cs="Arial"/>
          <w:sz w:val="24"/>
          <w:szCs w:val="24"/>
        </w:rPr>
        <w:t>03 de abril de 2024</w:t>
      </w:r>
      <w:r w:rsidRPr="004D37D0">
        <w:rPr>
          <w:rFonts w:ascii="Arial" w:hAnsi="Arial" w:cs="Arial"/>
          <w:sz w:val="24"/>
          <w:szCs w:val="24"/>
        </w:rPr>
        <w:t>.</w:t>
      </w:r>
    </w:p>
    <w:p w14:paraId="7F025ECD" w14:textId="77777777" w:rsidR="00177632" w:rsidRPr="004D37D0" w:rsidRDefault="00177632" w:rsidP="00177632">
      <w:pPr>
        <w:pStyle w:val="Corpodetexto3"/>
        <w:widowControl w:val="0"/>
        <w:tabs>
          <w:tab w:val="left" w:pos="1985"/>
          <w:tab w:val="left" w:pos="2268"/>
        </w:tabs>
        <w:spacing w:line="360" w:lineRule="auto"/>
        <w:jc w:val="both"/>
        <w:outlineLvl w:val="0"/>
        <w:rPr>
          <w:rFonts w:ascii="Arial" w:hAnsi="Arial" w:cs="Arial"/>
          <w:sz w:val="24"/>
          <w:szCs w:val="24"/>
        </w:rPr>
      </w:pPr>
    </w:p>
    <w:p w14:paraId="18FBD756" w14:textId="77777777" w:rsidR="00177632" w:rsidRPr="004D37D0" w:rsidRDefault="00177632" w:rsidP="00177632">
      <w:pPr>
        <w:pStyle w:val="naousarmsonormal"/>
        <w:spacing w:before="0" w:beforeAutospacing="0" w:after="0" w:afterAutospacing="0" w:line="360" w:lineRule="auto"/>
        <w:jc w:val="center"/>
        <w:rPr>
          <w:rFonts w:ascii="Arial" w:hAnsi="Arial" w:cs="Arial"/>
          <w:b/>
        </w:rPr>
      </w:pPr>
      <w:r w:rsidRPr="004D37D0">
        <w:rPr>
          <w:rFonts w:ascii="Arial" w:hAnsi="Arial" w:cs="Arial"/>
          <w:b/>
        </w:rPr>
        <w:t>KADSON EDUARDO DE FREITAS ALEXANDRE</w:t>
      </w:r>
    </w:p>
    <w:p w14:paraId="1080B146" w14:textId="77777777" w:rsidR="00177632" w:rsidRPr="004D37D0" w:rsidRDefault="00177632" w:rsidP="00177632">
      <w:pPr>
        <w:pStyle w:val="naousarmsonormal"/>
        <w:spacing w:before="0" w:beforeAutospacing="0" w:after="0" w:afterAutospacing="0" w:line="360" w:lineRule="auto"/>
        <w:jc w:val="center"/>
        <w:rPr>
          <w:rFonts w:ascii="Arial" w:hAnsi="Arial" w:cs="Arial"/>
          <w:bCs/>
        </w:rPr>
      </w:pPr>
      <w:r w:rsidRPr="004D37D0">
        <w:rPr>
          <w:rFonts w:ascii="Arial" w:hAnsi="Arial" w:cs="Arial"/>
          <w:bCs/>
        </w:rPr>
        <w:t>SECRETÁRIO DE CULTURA INTERINO</w:t>
      </w:r>
    </w:p>
    <w:p w14:paraId="341D724B" w14:textId="77777777" w:rsidR="00177632" w:rsidRPr="004D37D0" w:rsidRDefault="00177632" w:rsidP="00177632">
      <w:pPr>
        <w:pStyle w:val="naousarmsonormal"/>
        <w:spacing w:before="0" w:beforeAutospacing="0" w:after="0" w:afterAutospacing="0" w:line="360" w:lineRule="auto"/>
        <w:jc w:val="both"/>
        <w:rPr>
          <w:rFonts w:ascii="Arial" w:hAnsi="Arial" w:cs="Arial"/>
          <w:b/>
        </w:rPr>
      </w:pPr>
    </w:p>
    <w:p w14:paraId="68B672FF" w14:textId="77777777" w:rsidR="00177632" w:rsidRPr="004D37D0" w:rsidRDefault="00177632" w:rsidP="00177632">
      <w:pPr>
        <w:spacing w:after="0" w:line="360" w:lineRule="auto"/>
        <w:jc w:val="both"/>
        <w:rPr>
          <w:rFonts w:ascii="Arial" w:hAnsi="Arial" w:cs="Arial"/>
          <w:sz w:val="24"/>
          <w:szCs w:val="24"/>
        </w:rPr>
      </w:pPr>
    </w:p>
    <w:p w14:paraId="3A6692FA" w14:textId="77777777" w:rsidR="00177632" w:rsidRPr="004D37D0" w:rsidRDefault="00177632" w:rsidP="00177632">
      <w:pPr>
        <w:pStyle w:val="Corpodetexto3"/>
        <w:widowControl w:val="0"/>
        <w:spacing w:after="200" w:line="360" w:lineRule="auto"/>
        <w:ind w:firstLine="1134"/>
        <w:jc w:val="both"/>
        <w:outlineLvl w:val="0"/>
        <w:rPr>
          <w:rFonts w:ascii="Arial" w:hAnsi="Arial" w:cs="Arial"/>
          <w:color w:val="auto"/>
          <w:sz w:val="24"/>
          <w:szCs w:val="24"/>
        </w:rPr>
      </w:pPr>
    </w:p>
    <w:p w14:paraId="0C2161B5" w14:textId="77777777" w:rsidR="00177632" w:rsidRPr="00EB3B15" w:rsidRDefault="00177632" w:rsidP="00177632"/>
    <w:p w14:paraId="77AE0AE8" w14:textId="77777777" w:rsidR="00177632" w:rsidRPr="00E636C5" w:rsidRDefault="00177632" w:rsidP="00177632">
      <w:pPr>
        <w:spacing w:after="0" w:line="240" w:lineRule="auto"/>
        <w:jc w:val="center"/>
        <w:rPr>
          <w:rFonts w:ascii="Arial" w:hAnsi="Arial" w:cs="Arial"/>
          <w:szCs w:val="24"/>
        </w:rPr>
      </w:pPr>
    </w:p>
    <w:p w14:paraId="20EBDC41" w14:textId="77777777" w:rsidR="00177632" w:rsidRDefault="00177632"/>
    <w:sectPr w:rsidR="00177632">
      <w:headerReference w:type="default" r:id="rId6"/>
      <w:footerReference w:type="even"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F8E79" w14:textId="77777777" w:rsidR="00802DB9" w:rsidRDefault="00802DB9">
      <w:pPr>
        <w:spacing w:after="0" w:line="240" w:lineRule="auto"/>
      </w:pPr>
      <w:r>
        <w:separator/>
      </w:r>
    </w:p>
  </w:endnote>
  <w:endnote w:type="continuationSeparator" w:id="0">
    <w:p w14:paraId="6AD72185" w14:textId="77777777" w:rsidR="00802DB9" w:rsidRDefault="00802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Bold">
    <w:altName w:val="Arial"/>
    <w:charset w:val="00"/>
    <w:family w:val="swiss"/>
    <w:pitch w:val="default"/>
  </w:font>
  <w:font w:name="Arial">
    <w:panose1 w:val="020B0604020202020204"/>
    <w:charset w:val="00"/>
    <w:family w:val="swiss"/>
    <w:pitch w:val="variable"/>
    <w:sig w:usb0="E0002EFF" w:usb1="C000785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4AE8" w14:textId="77777777" w:rsidR="002647AA" w:rsidRDefault="00A5508D">
    <w:pPr>
      <w:pStyle w:val="Rodap"/>
    </w:pPr>
    <w:r>
      <w:rPr>
        <w:noProof/>
      </w:rPr>
      <w:drawing>
        <wp:inline distT="0" distB="0" distL="0" distR="0" wp14:anchorId="325400E4" wp14:editId="5BB2EC04">
          <wp:extent cx="5384800" cy="387350"/>
          <wp:effectExtent l="0" t="0" r="0" b="0"/>
          <wp:docPr id="1" name="Imagem 1" descr="Parte 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e 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4800" cy="387350"/>
                  </a:xfrm>
                  <a:prstGeom prst="rect">
                    <a:avLst/>
                  </a:prstGeom>
                  <a:noFill/>
                  <a:ln>
                    <a:noFill/>
                  </a:ln>
                </pic:spPr>
              </pic:pic>
            </a:graphicData>
          </a:graphic>
        </wp:inline>
      </w:drawing>
    </w:r>
    <w:r>
      <w:rPr>
        <w:noProof/>
        <w:lang w:eastAsia="pt-BR"/>
      </w:rPr>
      <w:drawing>
        <wp:inline distT="0" distB="0" distL="0" distR="0" wp14:anchorId="7A153057" wp14:editId="19EC601C">
          <wp:extent cx="5391150" cy="390525"/>
          <wp:effectExtent l="0" t="0" r="0" b="9525"/>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3905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567D2" w14:textId="77777777" w:rsidR="0008275E" w:rsidRDefault="00A5508D">
    <w:pPr>
      <w:pStyle w:val="Rodap"/>
      <w:rPr>
        <w:noProof/>
      </w:rPr>
    </w:pPr>
    <w:r>
      <w:rPr>
        <w:noProof/>
        <w:lang w:eastAsia="pt-BR"/>
      </w:rPr>
      <w:drawing>
        <wp:anchor distT="0" distB="0" distL="114300" distR="114300" simplePos="0" relativeHeight="251659264" behindDoc="1" locked="0" layoutInCell="1" allowOverlap="1" wp14:anchorId="1C2FD83B" wp14:editId="728722E7">
          <wp:simplePos x="0" y="0"/>
          <wp:positionH relativeFrom="page">
            <wp:align>right</wp:align>
          </wp:positionH>
          <wp:positionV relativeFrom="paragraph">
            <wp:posOffset>-513080</wp:posOffset>
          </wp:positionV>
          <wp:extent cx="7574280" cy="1800860"/>
          <wp:effectExtent l="0" t="0" r="0" b="0"/>
          <wp:wrapTight wrapText="bothSides">
            <wp:wrapPolygon edited="0">
              <wp:start x="3423" y="10054"/>
              <wp:lineTo x="1901" y="10511"/>
              <wp:lineTo x="1956" y="12339"/>
              <wp:lineTo x="4292" y="14166"/>
              <wp:lineTo x="4292" y="14623"/>
              <wp:lineTo x="9235" y="16908"/>
              <wp:lineTo x="12386" y="16908"/>
              <wp:lineTo x="17221" y="14623"/>
              <wp:lineTo x="17221" y="14166"/>
              <wp:lineTo x="19394" y="12567"/>
              <wp:lineTo x="19720" y="10968"/>
              <wp:lineTo x="19286" y="10054"/>
              <wp:lineTo x="3423" y="10054"/>
            </wp:wrapPolygon>
          </wp:wrapTight>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4911" cy="180136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CAD8C" w14:textId="77777777" w:rsidR="002647AA" w:rsidRDefault="00802DB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06F03" w14:textId="77777777" w:rsidR="00802DB9" w:rsidRDefault="00802DB9">
      <w:pPr>
        <w:spacing w:after="0" w:line="240" w:lineRule="auto"/>
      </w:pPr>
      <w:r>
        <w:separator/>
      </w:r>
    </w:p>
  </w:footnote>
  <w:footnote w:type="continuationSeparator" w:id="0">
    <w:p w14:paraId="01022749" w14:textId="77777777" w:rsidR="00802DB9" w:rsidRDefault="00802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3543" w:type="dxa"/>
      <w:tblInd w:w="6204" w:type="dxa"/>
      <w:tblLook w:val="04A0" w:firstRow="1" w:lastRow="0" w:firstColumn="1" w:lastColumn="0" w:noHBand="0" w:noVBand="1"/>
    </w:tblPr>
    <w:tblGrid>
      <w:gridCol w:w="1561"/>
      <w:gridCol w:w="990"/>
      <w:gridCol w:w="992"/>
    </w:tblGrid>
    <w:tr w:rsidR="00AA60A8" w14:paraId="52F60EEF" w14:textId="77777777" w:rsidTr="00F46182">
      <w:trPr>
        <w:trHeight w:val="537"/>
      </w:trPr>
      <w:tc>
        <w:tcPr>
          <w:tcW w:w="1561" w:type="dxa"/>
          <w:tcBorders>
            <w:top w:val="single" w:sz="12" w:space="0" w:color="auto"/>
            <w:left w:val="single" w:sz="12" w:space="0" w:color="auto"/>
            <w:bottom w:val="single" w:sz="12" w:space="0" w:color="auto"/>
            <w:right w:val="single" w:sz="12" w:space="0" w:color="auto"/>
          </w:tcBorders>
          <w:hideMark/>
        </w:tcPr>
        <w:p w14:paraId="029A5BF9" w14:textId="77777777" w:rsidR="00AA60A8" w:rsidRDefault="00AA60A8" w:rsidP="00AA60A8">
          <w:pPr>
            <w:pStyle w:val="Cabealho"/>
            <w:rPr>
              <w:b/>
              <w:sz w:val="10"/>
            </w:rPr>
          </w:pPr>
          <w:r>
            <w:rPr>
              <w:b/>
              <w:sz w:val="10"/>
            </w:rPr>
            <w:t>Processo Nº:</w:t>
          </w:r>
        </w:p>
        <w:p w14:paraId="76C7206B" w14:textId="77777777" w:rsidR="00AA60A8" w:rsidRPr="001C1968" w:rsidRDefault="00AA60A8" w:rsidP="00AA60A8">
          <w:pPr>
            <w:pStyle w:val="Cabealho"/>
            <w:rPr>
              <w:noProof/>
              <w:sz w:val="24"/>
              <w:szCs w:val="24"/>
            </w:rPr>
          </w:pPr>
          <w:r w:rsidRPr="001C1968">
            <w:rPr>
              <w:sz w:val="24"/>
              <w:szCs w:val="24"/>
            </w:rPr>
            <w:t xml:space="preserve">11/2024 </w:t>
          </w:r>
        </w:p>
      </w:tc>
      <w:tc>
        <w:tcPr>
          <w:tcW w:w="990" w:type="dxa"/>
          <w:tcBorders>
            <w:top w:val="single" w:sz="12" w:space="0" w:color="auto"/>
            <w:left w:val="single" w:sz="12" w:space="0" w:color="auto"/>
            <w:bottom w:val="single" w:sz="12" w:space="0" w:color="auto"/>
            <w:right w:val="single" w:sz="12" w:space="0" w:color="auto"/>
          </w:tcBorders>
          <w:hideMark/>
        </w:tcPr>
        <w:p w14:paraId="50339538" w14:textId="77777777" w:rsidR="00AA60A8" w:rsidRDefault="00AA60A8" w:rsidP="00AA60A8">
          <w:pPr>
            <w:pStyle w:val="Cabealho"/>
            <w:rPr>
              <w:b/>
              <w:noProof/>
            </w:rPr>
          </w:pPr>
          <w:r>
            <w:rPr>
              <w:b/>
              <w:sz w:val="10"/>
            </w:rPr>
            <w:t>Folha Nº:</w:t>
          </w:r>
        </w:p>
      </w:tc>
      <w:tc>
        <w:tcPr>
          <w:tcW w:w="992" w:type="dxa"/>
          <w:tcBorders>
            <w:top w:val="single" w:sz="12" w:space="0" w:color="auto"/>
            <w:left w:val="single" w:sz="12" w:space="0" w:color="auto"/>
            <w:bottom w:val="single" w:sz="12" w:space="0" w:color="auto"/>
            <w:right w:val="single" w:sz="12" w:space="0" w:color="auto"/>
          </w:tcBorders>
          <w:hideMark/>
        </w:tcPr>
        <w:p w14:paraId="65F068EC" w14:textId="77777777" w:rsidR="00AA60A8" w:rsidRDefault="00AA60A8" w:rsidP="00AA60A8">
          <w:pPr>
            <w:pStyle w:val="Cabealho"/>
            <w:rPr>
              <w:b/>
              <w:noProof/>
            </w:rPr>
          </w:pPr>
          <w:r>
            <w:rPr>
              <w:b/>
              <w:sz w:val="10"/>
            </w:rPr>
            <w:t>Assinatura:</w:t>
          </w:r>
        </w:p>
      </w:tc>
    </w:tr>
  </w:tbl>
  <w:p w14:paraId="44A7C190" w14:textId="77777777" w:rsidR="00AA60A8" w:rsidRDefault="00802DB9" w:rsidP="00AA60A8">
    <w:pPr>
      <w:pStyle w:val="Cabealho"/>
      <w:rPr>
        <w:noProof/>
        <w:sz w:val="12"/>
      </w:rPr>
    </w:pPr>
    <w:r>
      <w:pict w14:anchorId="05308B13">
        <v:group id="Agrupar 11" o:spid="_x0000_s2056" style="position:absolute;margin-left:0;margin-top:-74.85pt;width:598.1pt;height:146.75pt;z-index:-251658240;mso-position-horizontal-relative:page;mso-position-vertical-relative:text" coordsize="75958,186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2" o:spid="_x0000_s2057" type="#_x0000_t75" style="position:absolute;left:381;width:75577;height:13144;visibility:visible;mso-wrap-style:square">
            <v:imagedata r:id="rId1" o:title="" cropbottom="19329f"/>
          </v:shape>
          <v:shape id="Imagem 13" o:spid="_x0000_s2058" type="#_x0000_t75" style="position:absolute;top:15240;width:75577;height:3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">
            <v:imagedata r:id="rId1" o:title="" croptop="53573f"/>
          </v:shape>
          <w10:wrap anchorx="page"/>
        </v:group>
      </w:pict>
    </w:r>
  </w:p>
  <w:p w14:paraId="72B989E0" w14:textId="77777777" w:rsidR="00AA60A8" w:rsidRDefault="00AA60A8" w:rsidP="00AA60A8">
    <w:pPr>
      <w:pStyle w:val="Cabealho"/>
      <w:tabs>
        <w:tab w:val="clear" w:pos="4252"/>
        <w:tab w:val="left" w:pos="6670"/>
      </w:tabs>
      <w:rPr>
        <w:noProof/>
        <w:sz w:val="12"/>
      </w:rPr>
    </w:pPr>
  </w:p>
  <w:p w14:paraId="52EB4B0A" w14:textId="77777777" w:rsidR="00AA60A8" w:rsidRDefault="00AA60A8" w:rsidP="00AA60A8">
    <w:pPr>
      <w:pStyle w:val="Cabealho"/>
      <w:tabs>
        <w:tab w:val="left" w:pos="6018"/>
      </w:tabs>
      <w:rPr>
        <w:rFonts w:ascii="Tw Cen MT Condensed Extra Bold" w:hAnsi="Tw Cen MT Condensed Extra Bold"/>
        <w:color w:val="262626" w:themeColor="text1" w:themeTint="D9"/>
        <w:sz w:val="28"/>
      </w:rPr>
    </w:pPr>
  </w:p>
  <w:p w14:paraId="27AA916E" w14:textId="77777777" w:rsidR="00AA60A8" w:rsidRDefault="001C1968" w:rsidP="00AA60A8">
    <w:pPr>
      <w:pStyle w:val="Cabealho"/>
      <w:jc w:val="center"/>
      <w:rPr>
        <w:rFonts w:ascii="Tw Cen MT Condensed Extra Bold" w:hAnsi="Tw Cen MT Condensed Extra Bold"/>
        <w:color w:val="262626" w:themeColor="text1" w:themeTint="D9"/>
        <w:sz w:val="28"/>
      </w:rPr>
    </w:pPr>
    <w:r w:rsidRPr="001C1968">
      <w:rPr>
        <w:rFonts w:ascii="Tw Cen MT Condensed Extra Bold" w:hAnsi="Tw Cen MT Condensed Extra Bold"/>
        <w:color w:val="262626" w:themeColor="text1" w:themeTint="D9"/>
        <w:sz w:val="28"/>
      </w:rPr>
      <w:t xml:space="preserve">SECRETARIA MUNICIPAL DE CULTURA </w:t>
    </w:r>
  </w:p>
  <w:p w14:paraId="5599F7C9" w14:textId="77777777" w:rsidR="00AA60A8" w:rsidRPr="00AA60A8" w:rsidRDefault="00AA60A8" w:rsidP="00AA60A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77632"/>
    <w:rsid w:val="001C1968"/>
    <w:rsid w:val="002647C3"/>
    <w:rsid w:val="002E6205"/>
    <w:rsid w:val="0035322B"/>
    <w:rsid w:val="004E5201"/>
    <w:rsid w:val="00664C19"/>
    <w:rsid w:val="007D138B"/>
    <w:rsid w:val="00802DB9"/>
    <w:rsid w:val="00844D1E"/>
    <w:rsid w:val="008C0D4F"/>
    <w:rsid w:val="009C1DF5"/>
    <w:rsid w:val="00A11797"/>
    <w:rsid w:val="00A33F38"/>
    <w:rsid w:val="00A5508D"/>
    <w:rsid w:val="00AA60A8"/>
    <w:rsid w:val="00AA69C6"/>
    <w:rsid w:val="00C4633A"/>
    <w:rsid w:val="00C54B4E"/>
    <w:rsid w:val="00C73AC6"/>
    <w:rsid w:val="00D815AD"/>
    <w:rsid w:val="00DD31D1"/>
    <w:rsid w:val="00F503C6"/>
    <w:rsid w:val="00F57A18"/>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17457A35"/>
  <w15:docId w15:val="{DC913965-251B-43D7-8326-10445C35F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link w:val="Ttulo1Char"/>
    <w:uiPriority w:val="9"/>
    <w:qFormat/>
    <w:rsid w:val="001776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50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5508D"/>
  </w:style>
  <w:style w:type="paragraph" w:styleId="Rodap">
    <w:name w:val="footer"/>
    <w:basedOn w:val="Normal"/>
    <w:link w:val="RodapChar"/>
    <w:uiPriority w:val="99"/>
    <w:unhideWhenUsed/>
    <w:rsid w:val="00A5508D"/>
    <w:pPr>
      <w:tabs>
        <w:tab w:val="center" w:pos="4252"/>
        <w:tab w:val="right" w:pos="8504"/>
      </w:tabs>
      <w:spacing w:after="0" w:line="240" w:lineRule="auto"/>
    </w:pPr>
  </w:style>
  <w:style w:type="character" w:customStyle="1" w:styleId="RodapChar">
    <w:name w:val="Rodapé Char"/>
    <w:basedOn w:val="Fontepargpadro"/>
    <w:link w:val="Rodap"/>
    <w:uiPriority w:val="99"/>
    <w:rsid w:val="00A5508D"/>
  </w:style>
  <w:style w:type="table" w:styleId="Tabelacomgrade">
    <w:name w:val="Table Grid"/>
    <w:basedOn w:val="Tabelanormal"/>
    <w:uiPriority w:val="59"/>
    <w:rsid w:val="00AA60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77632"/>
    <w:rPr>
      <w:rFonts w:ascii="Times New Roman" w:eastAsia="Times New Roman" w:hAnsi="Times New Roman" w:cs="Times New Roman"/>
      <w:b/>
      <w:bCs/>
      <w:kern w:val="36"/>
      <w:sz w:val="48"/>
      <w:szCs w:val="48"/>
      <w:lang w:eastAsia="pt-BR"/>
    </w:rPr>
  </w:style>
  <w:style w:type="paragraph" w:styleId="Corpodetexto3">
    <w:name w:val="Body Text 3"/>
    <w:basedOn w:val="Normal"/>
    <w:link w:val="Corpodetexto3Char"/>
    <w:uiPriority w:val="99"/>
    <w:unhideWhenUsed/>
    <w:rsid w:val="00177632"/>
    <w:pPr>
      <w:suppressAutoHyphens/>
      <w:spacing w:after="120"/>
    </w:pPr>
    <w:rPr>
      <w:color w:val="00000A"/>
      <w:sz w:val="16"/>
      <w:szCs w:val="16"/>
    </w:rPr>
  </w:style>
  <w:style w:type="character" w:customStyle="1" w:styleId="Corpodetexto3Char">
    <w:name w:val="Corpo de texto 3 Char"/>
    <w:basedOn w:val="Fontepargpadro"/>
    <w:link w:val="Corpodetexto3"/>
    <w:uiPriority w:val="99"/>
    <w:rsid w:val="00177632"/>
    <w:rPr>
      <w:color w:val="00000A"/>
      <w:sz w:val="16"/>
      <w:szCs w:val="16"/>
    </w:rPr>
  </w:style>
  <w:style w:type="paragraph" w:customStyle="1" w:styleId="naousarmsonormal">
    <w:name w:val="naousarmsonormal"/>
    <w:basedOn w:val="Normal"/>
    <w:uiPriority w:val="99"/>
    <w:rsid w:val="0017763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177632"/>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Default">
    <w:name w:val="Default"/>
    <w:basedOn w:val="Normal"/>
    <w:rsid w:val="00177632"/>
    <w:pPr>
      <w:autoSpaceDE w:val="0"/>
      <w:spacing w:after="0" w:line="240" w:lineRule="auto"/>
    </w:pPr>
    <w:rPr>
      <w:rFonts w:ascii="Verdana-Bold" w:eastAsia="Verdana-Bold" w:hAnsi="Verdana-Bold" w:cs="Verdana-Bold"/>
      <w:noProof/>
      <w:sz w:val="24"/>
      <w:szCs w:val="24"/>
      <w:lang w:eastAsia="pt-BR"/>
    </w:rPr>
  </w:style>
  <w:style w:type="character" w:customStyle="1" w:styleId="Nivel2Char">
    <w:name w:val="Nivel 2 Char"/>
    <w:basedOn w:val="Fontepargpadro"/>
    <w:link w:val="Nivel2"/>
    <w:locked/>
    <w:rsid w:val="00177632"/>
    <w:rPr>
      <w:rFonts w:ascii="Arial" w:hAnsi="Arial" w:cs="Arial"/>
      <w:color w:val="000000"/>
    </w:rPr>
  </w:style>
  <w:style w:type="paragraph" w:customStyle="1" w:styleId="Nivel2">
    <w:name w:val="Nivel 2"/>
    <w:basedOn w:val="Normal"/>
    <w:link w:val="Nivel2Char"/>
    <w:qFormat/>
    <w:rsid w:val="00177632"/>
    <w:pPr>
      <w:spacing w:before="120" w:after="120"/>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2211</Words>
  <Characters>11941</Characters>
  <Application>Microsoft Office Word</Application>
  <DocSecurity>0</DocSecurity>
  <Lines>99</Lines>
  <Paragraphs>28</Paragraphs>
  <ScaleCrop>false</ScaleCrop>
  <Company>....</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CULTURA_FINANCEIRO</cp:lastModifiedBy>
  <cp:revision>6</cp:revision>
  <dcterms:created xsi:type="dcterms:W3CDTF">2012-02-02T18:33:00Z</dcterms:created>
  <dcterms:modified xsi:type="dcterms:W3CDTF">2024-04-03T18:59:00Z</dcterms:modified>
</cp:coreProperties>
</file>