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  <w:spacing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SECRETARIA MUNICIAPL DE CULTURA E TURISMO</w:t>
      </w:r>
    </w:p>
    <w:p>
      <w:pPr>
        <w:pStyle w:val="para4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para3"/>
        <w:ind w:left="1084" w:right="1796" w:firstLine="0"/>
        <w:spacing w:before="1"/>
        <w:jc w:val="center"/>
      </w:pPr>
      <w:bookmarkStart w:id="0" w:name="ANEXO_I"/>
      <w:bookmarkEnd w:id="0"/>
      <w:r>
        <w:t>ANEXO I</w:t>
      </w:r>
    </w:p>
    <w:p>
      <w:pPr>
        <w:ind w:left="1084" w:right="1797"/>
        <w:spacing/>
        <w:jc w:val="center"/>
        <w:rPr>
          <w:b/>
          <w:sz w:val="20"/>
        </w:rPr>
      </w:pPr>
      <w:r>
        <w:rPr>
          <w:b/>
          <w:sz w:val="20"/>
        </w:rPr>
        <w:t>DISPENSA DE VALOR COM BASE NO ART. Nº 75, INCISO II DA LEI 14.133/2021</w:t>
      </w:r>
    </w:p>
    <w:p>
      <w:pPr>
        <w:pStyle w:val="para4"/>
        <w:rPr>
          <w:b/>
        </w:rPr>
      </w:pPr>
      <w:r>
        <w:rPr>
          <w:b/>
        </w:rPr>
      </w:r>
    </w:p>
    <w:p>
      <w:pPr>
        <w:ind w:left="2966" w:right="3679" w:firstLine="17"/>
        <w:spacing/>
        <w:jc w:val="center"/>
        <w:rPr>
          <w:b/>
          <w:sz w:val="20"/>
        </w:rPr>
      </w:pPr>
      <w:r>
        <w:rPr>
          <w:b/>
          <w:sz w:val="20"/>
        </w:rPr>
        <w:t xml:space="preserve">TERMO DE REFERÊNCIA </w:t>
      </w:r>
    </w:p>
    <w:p>
      <w:pPr>
        <w:ind w:left="2966" w:right="3679" w:firstLine="17"/>
        <w:spacing/>
        <w:jc w:val="center"/>
        <w:rPr>
          <w:b/>
          <w:sz w:val="20"/>
        </w:rPr>
      </w:pPr>
      <w:r>
        <w:rPr>
          <w:b/>
          <w:sz w:val="20"/>
        </w:rPr>
      </w:r>
    </w:p>
    <w:p>
      <w:pPr>
        <w:pStyle w:val="para4"/>
        <w:rPr>
          <w:b/>
        </w:rPr>
      </w:pPr>
      <w:r>
        <w:rPr>
          <w:b/>
        </w:rPr>
      </w:r>
    </w:p>
    <w:p>
      <w:pPr>
        <w:pStyle w:val="para5"/>
        <w:numPr>
          <w:ilvl w:val="0"/>
          <w:numId w:val="1"/>
        </w:numPr>
        <w:ind w:left="810" w:hanging="505"/>
        <w:spacing/>
        <w:jc w:val="left"/>
        <w:tabs defTabSz="720">
          <w:tab w:val="left" w:pos="809" w:leader="none"/>
        </w:tabs>
        <w:rPr>
          <w:rFonts w:ascii="Arial" w:hAnsi="Arial" w:cs="Arial"/>
          <w:b/>
          <w:sz w:val="20"/>
          <w:szCs w:val="20"/>
        </w:rPr>
      </w:pPr>
      <w:r/>
      <w:bookmarkStart w:id="1" w:name="1._OBJETO:"/>
      <w:bookmarkEnd w:id="1"/>
      <w:r/>
      <w:r>
        <w:rPr>
          <w:rFonts w:ascii="Arial" w:hAnsi="Arial" w:cs="Arial"/>
          <w:b/>
          <w:sz w:val="20"/>
          <w:szCs w:val="20"/>
        </w:rPr>
        <w:t>OBJETO:</w:t>
      </w:r>
      <w:r>
        <w:rPr>
          <w:rFonts w:ascii="Arial" w:hAnsi="Arial" w:cs="Arial"/>
          <w:b/>
          <w:sz w:val="20"/>
          <w:szCs w:val="20"/>
        </w:rPr>
      </w:r>
    </w:p>
    <w:p>
      <w:pPr>
        <w:pStyle w:val="para4"/>
        <w:ind w:left="323" w:right="1026"/>
        <w:spacing w:before="37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Constitui objeto do presente aviso de dispensa de licitação obter propostas adicionais de eventuais interessados para fornecimento de </w:t>
      </w:r>
      <w:r>
        <w:rPr>
          <w:rFonts w:ascii="Arial" w:hAnsi="Arial" w:cs="Arial"/>
        </w:rPr>
        <w:t>mentoria e comunicação para ConferÊNCIA Municipal De Cultura a realizar-se em 25/08/2023.</w:t>
      </w:r>
      <w:r>
        <w:rPr>
          <w:rFonts w:ascii="Arial" w:hAnsi="Arial" w:cs="Arial"/>
        </w:rPr>
      </w:r>
    </w:p>
    <w:p>
      <w:pPr>
        <w:pStyle w:val="para4"/>
        <w:spacing w:before="2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tabs defTabSz="720">
          <w:tab w:val="left" w:pos="809" w:leader="none"/>
        </w:tabs>
        <w:rPr>
          <w:rFonts w:ascii="Arial" w:hAnsi="Arial" w:cs="Arial"/>
        </w:rPr>
      </w:pPr>
      <w:r/>
      <w:bookmarkStart w:id="2" w:name="2._DA_ESPECIFICAÇÃO_E_VALOR:"/>
      <w:bookmarkEnd w:id="2"/>
      <w:r/>
      <w:r>
        <w:rPr>
          <w:rFonts w:ascii="Arial" w:hAnsi="Arial" w:cs="Arial"/>
        </w:rPr>
        <w:t>DA ESPECIFICAÇÃO E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</w:rPr>
        <w:t>VALOR:</w:t>
      </w:r>
      <w:r>
        <w:rPr>
          <w:rFonts w:ascii="Arial" w:hAnsi="Arial" w:cs="Arial"/>
        </w:rPr>
      </w:r>
    </w:p>
    <w:p>
      <w:pPr>
        <w:pStyle w:val="para4"/>
        <w:spacing w:before="4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tbl>
      <w:tblPr>
        <w:tblStyle w:val="NormalTable"/>
        <w:name w:val="Tabela1"/>
        <w:tabOrder w:val="0"/>
        <w:jc w:val="left"/>
        <w:tblInd w:w="225" w:type="dxa"/>
        <w:tblW w:w="9136" w:type="dxa"/>
        <w:tblLook w:val="0600" w:firstRow="0" w:lastRow="0" w:firstColumn="0" w:lastColumn="0" w:noHBand="1" w:noVBand="1"/>
      </w:tblPr>
      <w:tblGrid>
        <w:gridCol w:w="959"/>
        <w:gridCol w:w="3157"/>
        <w:gridCol w:w="990"/>
        <w:gridCol w:w="1066"/>
        <w:gridCol w:w="1428"/>
        <w:gridCol w:w="1536"/>
      </w:tblGrid>
      <w:tr>
        <w:trPr>
          <w:cantSplit w:val="0"/>
          <w:trHeight w:val="817" w:hRule="atLeast"/>
        </w:trPr>
        <w:tc>
          <w:tcPr>
            <w:tcW w:w="959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224"/>
              <w:spacing w:before="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315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895"/>
              <w:spacing w:before="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99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254"/>
              <w:spacing w:before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</w:t>
            </w:r>
          </w:p>
        </w:tc>
        <w:tc>
          <w:tcPr>
            <w:tcW w:w="106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199"/>
              <w:spacing w:before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QUANT.</w:t>
            </w:r>
          </w:p>
        </w:tc>
        <w:tc>
          <w:tcPr>
            <w:tcW w:w="14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5" w:right="372"/>
              <w:spacing w:line="218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 MÉDIO</w:t>
            </w:r>
          </w:p>
        </w:tc>
        <w:tc>
          <w:tcPr>
            <w:tcW w:w="153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447" w:right="392" w:hanging="15"/>
              <w:spacing w:before="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>
        <w:trPr>
          <w:cantSplit w:val="0"/>
          <w:trHeight w:val="1041" w:hRule="atLeast"/>
        </w:trPr>
        <w:tc>
          <w:tcPr>
            <w:tcW w:w="959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  <w:p>
            <w:pPr>
              <w:pStyle w:val="para6"/>
              <w:spacing w:before="11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  <w:p>
            <w:pPr>
              <w:pStyle w:val="para6"/>
              <w:ind w:left="2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</w:r>
          </w:p>
        </w:tc>
        <w:tc>
          <w:tcPr>
            <w:tcW w:w="3157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right="-15"/>
              <w:spacing w:before="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Mentoria e comunicação para Conferência Municipal de Cultura</w:t>
            </w:r>
          </w:p>
        </w:tc>
        <w:tc>
          <w:tcPr>
            <w:tcW w:w="99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5"/>
              <w: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</w:r>
          </w:p>
        </w:tc>
        <w:tc>
          <w:tcPr>
            <w:tcW w:w="106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5"/>
              <w: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</w:r>
          </w:p>
        </w:tc>
        <w:tc>
          <w:tcPr>
            <w:tcW w:w="14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5.880,00</w:t>
            </w:r>
          </w:p>
        </w:tc>
        <w:tc>
          <w:tcPr>
            <w:tcW w:w="153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1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17.650,00</w:t>
            </w:r>
          </w:p>
        </w:tc>
      </w:tr>
      <w:tr>
        <w:trPr>
          <w:cantSplit w:val="0"/>
          <w:trHeight w:val="267" w:hRule="atLeast"/>
        </w:trPr>
        <w:tc>
          <w:tcPr>
            <w:tcW w:w="6172" w:type="dxa"/>
            <w:gridSpan w:val="4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6"/>
              <w:ind w:left="5"/>
              <w:spacing w:before="12" w:line="235" w:lineRule="exac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</w:p>
        </w:tc>
        <w:tc>
          <w:tcPr>
            <w:tcW w:w="2964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89180120" protected="0"/>
          </w:tcPr>
          <w:p>
            <w:pPr>
              <w:pStyle w:val="para4"/>
              <w:spacing/>
              <w:jc w:val="center"/>
              <w:rPr>
                <w:b/>
              </w:rPr>
            </w:pPr>
            <w:r>
              <w:rPr>
                <w:b/>
              </w:rPr>
              <w:t>5.880,00</w:t>
            </w:r>
            <w:r/>
            <w:bookmarkStart w:id="3" w:name="_GoBack"/>
            <w:bookmarkEnd w:id="3"/>
            <w:r/>
            <w:r>
              <w:rPr>
                <w:b/>
              </w:rPr>
            </w:r>
          </w:p>
        </w:tc>
      </w:tr>
    </w:tbl>
    <w:p>
      <w:pPr>
        <w:pStyle w:val="para4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4"/>
        <w:spacing w:before="7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5"/>
        <w:numPr>
          <w:ilvl w:val="0"/>
          <w:numId w:val="1"/>
        </w:numPr>
        <w:ind w:left="810" w:hanging="489"/>
        <w:spacing/>
        <w:jc w:val="left"/>
        <w:tabs defTabSz="720">
          <w:tab w:val="left" w:pos="809" w:leader="none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DA</w:t>
      </w:r>
      <w:r>
        <w:rPr>
          <w:rFonts w:ascii="Arial" w:hAnsi="Arial" w:cs="Arial"/>
          <w:b/>
          <w:spacing w:val="-5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JUSTIFICATIVA</w:t>
      </w:r>
      <w:r>
        <w:rPr>
          <w:rFonts w:ascii="Arial" w:hAnsi="Arial" w:cs="Arial"/>
          <w:b/>
          <w:sz w:val="20"/>
          <w:szCs w:val="20"/>
        </w:rPr>
      </w:r>
    </w:p>
    <w:p>
      <w:pPr>
        <w:pStyle w:val="para4"/>
        <w:spacing w:before="1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4"/>
        <w:ind w:left="323" w:right="1026"/>
        <w:spacing w:before="37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proposta se trata de aquisição de mentoria e comunicação para ConferÊNCIA Municipal De Cultura a realizar-se em 25/08/2023.</w:t>
      </w:r>
      <w:r>
        <w:rPr>
          <w:rFonts w:ascii="Arial" w:hAnsi="Arial" w:cs="Arial"/>
        </w:rPr>
      </w:r>
    </w:p>
    <w:p>
      <w:pPr>
        <w:ind w:left="323" w:right="1037" w:firstLine="284"/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</w:r>
    </w:p>
    <w:p>
      <w:pPr>
        <w:pStyle w:val="para4"/>
        <w:spacing w:before="7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5"/>
        <w:numPr>
          <w:ilvl w:val="0"/>
          <w:numId w:val="1"/>
        </w:numPr>
        <w:ind w:left="878" w:hanging="557"/>
        <w:spacing/>
        <w:jc w:val="left"/>
        <w:tabs defTabSz="720">
          <w:tab w:val="left" w:pos="877" w:leader="none"/>
        </w:tabs>
        <w:rPr>
          <w:rFonts w:ascii="Arial" w:hAnsi="Arial" w:cs="Arial"/>
          <w:b/>
          <w:sz w:val="20"/>
          <w:szCs w:val="20"/>
        </w:rPr>
      </w:pPr>
      <w:r/>
      <w:bookmarkStart w:id="4" w:name="4.__DA_EXECUÇÃO_E_PRODUÇÃO_DOS_ITENS"/>
      <w:bookmarkEnd w:id="4"/>
      <w:r/>
      <w:r>
        <w:rPr>
          <w:rFonts w:ascii="Arial" w:hAnsi="Arial" w:cs="Arial"/>
          <w:b/>
          <w:sz w:val="20"/>
          <w:szCs w:val="20"/>
        </w:rPr>
        <w:t>DA EXECUÇÃO E PRODUÇÃO DOS</w:t>
      </w:r>
      <w:r>
        <w:rPr>
          <w:rFonts w:ascii="Arial" w:hAnsi="Arial" w:cs="Arial"/>
          <w:b/>
          <w:spacing w:val="-13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ITENS</w:t>
      </w:r>
      <w:r>
        <w:rPr>
          <w:rFonts w:ascii="Arial" w:hAnsi="Arial" w:cs="Arial"/>
          <w:b/>
          <w:sz w:val="20"/>
          <w:szCs w:val="20"/>
        </w:rPr>
      </w:r>
    </w:p>
    <w:p>
      <w:pPr>
        <w:pStyle w:val="para4"/>
        <w:spacing w:before="2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4"/>
        <w:ind w:left="323" w:right="30" w:firstLine="284"/>
        <w:rPr>
          <w:rFonts w:ascii="Arial" w:hAnsi="Arial" w:cs="Arial"/>
        </w:rPr>
      </w:pPr>
      <w:r>
        <w:rPr>
          <w:rFonts w:ascii="Arial" w:hAnsi="Arial" w:cs="Arial"/>
        </w:rPr>
        <w:t>Deverá a empresa contratada entregar o objeto da presente dispensa em local determinado pelo município após o recebimento da Autorização de fornecimento .</w:t>
      </w:r>
    </w:p>
    <w:p>
      <w:pPr>
        <w:pStyle w:val="para4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4"/>
        <w:spacing w:before="7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91" w:hanging="506"/>
        <w:tabs defTabSz="720">
          <w:tab w:val="left" w:pos="890" w:leader="none"/>
        </w:tabs>
        <w:rPr>
          <w:rFonts w:ascii="Arial" w:hAnsi="Arial" w:cs="Arial"/>
        </w:rPr>
      </w:pPr>
      <w:r/>
      <w:bookmarkStart w:id="5" w:name="5._DAS_CONDIÇÕES_DE_PAGAMENTO"/>
      <w:bookmarkEnd w:id="5"/>
      <w:r/>
      <w:r>
        <w:rPr>
          <w:rFonts w:ascii="Arial" w:hAnsi="Arial" w:cs="Arial"/>
        </w:rPr>
        <w:t>DAS CONDIÇÕES DE</w:t>
      </w:r>
      <w:r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</w:rPr>
        <w:t>PAGAMENTO</w:t>
      </w:r>
      <w:r>
        <w:rPr>
          <w:rFonts w:ascii="Arial" w:hAnsi="Arial" w:cs="Arial"/>
        </w:rPr>
      </w:r>
    </w:p>
    <w:p>
      <w:pPr>
        <w:pStyle w:val="para4"/>
        <w:ind w:left="100" w:right="1037" w:firstLine="284"/>
        <w:spacing w:before="38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ocorrerá em até 30 (trinta) dias da emissão da nota fiscal, após ateste do setor competente, nos termos da Lei Federal nº 14.133/2021.</w:t>
      </w:r>
    </w:p>
    <w:p>
      <w:pPr>
        <w:pStyle w:val="para4"/>
        <w:ind w:left="100" w:right="1035" w:firstLine="284"/>
        <w:spacing w:before="185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inadimplência da Contratada com relação aos encargos sociais, trabalhistas, fiscais e comerciais ou indenizações não transfere à Contratante a responsabilidade por seu pagamento, nem poderá onerar o</w:t>
      </w:r>
      <w:r>
        <w:rPr>
          <w:rFonts w:ascii="Arial" w:hAnsi="Arial" w:cs="Arial"/>
          <w:spacing w:val="35"/>
        </w:rPr>
        <w:t xml:space="preserve"> </w:t>
      </w:r>
      <w:r>
        <w:rPr>
          <w:rFonts w:ascii="Arial" w:hAnsi="Arial" w:cs="Arial"/>
        </w:rPr>
        <w:t>objeto</w:t>
      </w:r>
      <w:r>
        <w:rPr>
          <w:rFonts w:ascii="Arial" w:hAnsi="Arial" w:cs="Arial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8"/>
          <w:footerReference w:type="default" r:id="rId9"/>
          <w:type w:val="continuous"/>
          <w:pgSz w:h="16840" w:w="11910"/>
          <w:pgMar w:left="1600" w:top="1740" w:right="820" w:bottom="880" w:header="289" w:footer="698"/>
          <w:paperSrc w:first="0" w:other="0" a="0" b="0"/>
          <w:pgNumType w:fmt="decimal"/>
          <w:tmGutter w:val="3"/>
          <w:mirrorMargins w:val="0"/>
          <w:tmSection w:h="-1">
            <w:tmHeader w:id="0" w:h="0" edge="289" text="0">
              <w:shd w:val="none"/>
            </w:tmHeader>
            <w:tmFooter w:id="0" w:h="0" edge="69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spacing w:before="6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2"/>
        <w:ind w:left="100" w:right="1047"/>
        <w:spacing w:before="100" w:line="288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contratado, de acordo com o artigo 121, parágrafo único, da Lei Federal nº.</w:t>
      </w:r>
      <w:r>
        <w:rPr>
          <w:rFonts w:ascii="Arial" w:hAnsi="Arial" w:cs="Arial"/>
          <w:spacing w:val="-4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14.133/2021.</w:t>
      </w:r>
      <w:r>
        <w:rPr>
          <w:rFonts w:ascii="Arial" w:hAnsi="Arial" w:cs="Arial"/>
          <w:sz w:val="20"/>
          <w:szCs w:val="20"/>
        </w:rPr>
      </w:r>
    </w:p>
    <w:p>
      <w:pPr>
        <w:pStyle w:val="para4"/>
        <w:spacing w:before="10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 w:line="287" w:lineRule="exact"/>
        <w:tabs defTabSz="720">
          <w:tab w:val="left" w:pos="809" w:leader="none"/>
        </w:tabs>
        <w:rPr>
          <w:rFonts w:ascii="Arial" w:hAnsi="Arial" w:cs="Arial"/>
        </w:rPr>
      </w:pPr>
      <w:r/>
      <w:bookmarkStart w:id="6" w:name="A_entrega_dos_produtos_será_realizada_no"/>
      <w:bookmarkEnd w:id="6"/>
      <w:r/>
      <w:bookmarkStart w:id="7" w:name="6._DO_LOCAL_DE_ENTREGA_DOS_PRODUTOS_ADQU"/>
      <w:bookmarkEnd w:id="7"/>
      <w:r/>
      <w:r>
        <w:rPr>
          <w:rFonts w:ascii="Arial" w:hAnsi="Arial" w:cs="Arial"/>
        </w:rPr>
        <w:t>DO LOCAL DE ENTREGA DOS PRODUTOS</w:t>
      </w:r>
      <w:r>
        <w:rPr>
          <w:rFonts w:ascii="Arial" w:hAnsi="Arial" w:cs="Arial"/>
          <w:spacing w:val="-15"/>
        </w:rPr>
        <w:t xml:space="preserve"> </w:t>
      </w:r>
      <w:r>
        <w:rPr>
          <w:rFonts w:ascii="Arial" w:hAnsi="Arial" w:cs="Arial"/>
        </w:rPr>
        <w:t>ADQUIRIDOS</w:t>
      </w:r>
      <w:r>
        <w:rPr>
          <w:rFonts w:ascii="Arial" w:hAnsi="Arial" w:cs="Arial"/>
        </w:rPr>
      </w:r>
    </w:p>
    <w:p>
      <w:pPr>
        <w:pStyle w:val="para4"/>
        <w:ind w:left="100" w:right="881" w:firstLine="284"/>
        <w:spacing/>
        <w:jc w:val="both"/>
        <w:rPr>
          <w:rFonts w:ascii="Arial" w:hAnsi="Arial" w:cs="Arial"/>
        </w:rPr>
      </w:pPr>
      <w:r>
        <w:rPr>
          <w:rFonts w:ascii="Arial" w:hAnsi="Arial" w:cs="Arial"/>
        </w:rPr>
        <w:t>A entrega dos produtos será realizada no endereço Rua XV de novembro nº 259</w:t>
      </w:r>
      <w:r>
        <w:rPr>
          <w:rFonts w:ascii="Arial" w:hAnsi="Arial" w:cs="Arial"/>
        </w:rPr>
        <w:t xml:space="preserve"> – Centro – sede da SECULTUR</w:t>
      </w:r>
      <w:r>
        <w:rPr>
          <w:rFonts w:ascii="Arial" w:hAnsi="Arial" w:cs="Arial"/>
        </w:rPr>
        <w:t>, constante na Autorização de Fornecimento.</w:t>
      </w:r>
      <w:r>
        <w:rPr>
          <w:rFonts w:ascii="Arial" w:hAnsi="Arial" w:cs="Arial"/>
        </w:rPr>
      </w:r>
    </w:p>
    <w:p>
      <w:pPr>
        <w:pStyle w:val="para4"/>
        <w:spacing w:before="7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 w:before="1"/>
        <w:tabs defTabSz="720">
          <w:tab w:val="left" w:pos="809" w:leader="none"/>
        </w:tabs>
        <w:rPr>
          <w:rFonts w:ascii="Arial" w:hAnsi="Arial" w:cs="Arial"/>
        </w:rPr>
      </w:pPr>
      <w:r/>
      <w:bookmarkStart w:id="8" w:name="7._DO_PRAZO_DE_ENTREGA_DOS_PRODUTOS_E_DA"/>
      <w:bookmarkEnd w:id="8"/>
      <w:r/>
      <w:r>
        <w:rPr>
          <w:rFonts w:ascii="Arial" w:hAnsi="Arial" w:cs="Arial"/>
        </w:rPr>
        <w:t>DO PRAZO DE ENTREGA DOS PRODUTOS E DA</w:t>
      </w:r>
      <w:r>
        <w:rPr>
          <w:rFonts w:ascii="Arial" w:hAnsi="Arial" w:cs="Arial"/>
          <w:spacing w:val="-21"/>
        </w:rPr>
        <w:t xml:space="preserve"> </w:t>
      </w:r>
      <w:r>
        <w:rPr>
          <w:rFonts w:ascii="Arial" w:hAnsi="Arial" w:cs="Arial"/>
        </w:rPr>
        <w:t>VIGÊNCIA</w:t>
      </w:r>
      <w:r>
        <w:rPr>
          <w:rFonts w:ascii="Arial" w:hAnsi="Arial" w:cs="Arial"/>
        </w:rPr>
      </w:r>
    </w:p>
    <w:p>
      <w:pPr>
        <w:pStyle w:val="para4"/>
        <w:ind w:left="100" w:right="1032" w:firstLine="284"/>
        <w:spacing w:before="37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prazo de vigência para a entrega dos produtos será em até 10(dez) dias sendo total e imediata após o recebimento da Autorização de Fornecimento, a contar da assinatura deste instrumento, limitando-se aos devidos créditos orçamentários, nos termos do art. 105 e 106 da Lei Federal 14.133/2021, podendo ser prorrogado por igual período nos termos do disposto no art. 107 da referida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norma.</w:t>
      </w:r>
      <w:r>
        <w:rPr>
          <w:rFonts w:ascii="Arial" w:hAnsi="Arial" w:cs="Arial"/>
        </w:rPr>
      </w:r>
    </w:p>
    <w:p>
      <w:pPr>
        <w:pStyle w:val="para4"/>
        <w:spacing w:before="1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tabs defTabSz="720">
          <w:tab w:val="left" w:pos="809" w:leader="none"/>
        </w:tabs>
        <w:rPr>
          <w:rFonts w:ascii="Arial" w:hAnsi="Arial" w:cs="Arial"/>
        </w:rPr>
      </w:pPr>
      <w:r/>
      <w:bookmarkStart w:id="9" w:name="8._OBRIGAÇÕES_DA_CONTRATANTE"/>
      <w:bookmarkEnd w:id="9"/>
      <w:r/>
      <w:r>
        <w:rPr>
          <w:rFonts w:ascii="Arial" w:hAnsi="Arial" w:cs="Arial"/>
        </w:rPr>
        <w:t>OBRIGAÇÕES DA</w:t>
      </w:r>
      <w:r>
        <w:rPr>
          <w:rFonts w:ascii="Arial" w:hAnsi="Arial" w:cs="Arial"/>
          <w:spacing w:val="-11"/>
        </w:rPr>
        <w:t xml:space="preserve"> </w:t>
      </w:r>
      <w:r>
        <w:rPr>
          <w:rFonts w:ascii="Arial" w:hAnsi="Arial" w:cs="Arial"/>
        </w:rPr>
        <w:t>CONTRATANTE</w:t>
      </w:r>
      <w:r>
        <w:rPr>
          <w:rFonts w:ascii="Arial" w:hAnsi="Arial" w:cs="Arial"/>
        </w:rPr>
      </w:r>
    </w:p>
    <w:p>
      <w:pPr>
        <w:pStyle w:val="para4"/>
        <w:ind w:left="100" w:right="878" w:firstLine="284"/>
        <w:spacing w:before="38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Supervisionar a entrega da prestação do objeto, promovendo o acompanhamento e afiscalização sob os aspectos quantitativos e qualitativos.</w:t>
      </w:r>
    </w:p>
    <w:p>
      <w:pPr>
        <w:pStyle w:val="para5"/>
        <w:numPr>
          <w:ilvl w:val="0"/>
          <w:numId w:val="3"/>
        </w:numPr>
        <w:ind w:left="323" w:right="1032" w:firstLine="0"/>
        <w:spacing w:line="288" w:lineRule="auto"/>
        <w:tabs defTabSz="720">
          <w:tab w:val="left" w:pos="6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Notificar, por escrito e verbalmente, à  CONTRATADA  sobre  a  ocorrência de eventuais imperfeições no curso de prestação do objeto, fixando prazo para a sua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correção.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39" w:firstLine="0"/>
        <w:spacing w:before="2" w:line="288" w:lineRule="auto"/>
        <w:tabs defTabSz="720">
          <w:tab w:val="left" w:pos="607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Proporcionar todas as  facilidades  para  que  a  CONTRATADA  possa  cumprir suas obrigaçõesdentro das normas e condições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contratuais.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37" w:firstLine="0"/>
        <w:spacing w:line="288" w:lineRule="auto"/>
        <w:tabs defTabSz="720">
          <w:tab w:val="left" w:pos="56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Prestar à CONTRATADA todas as informações solicitadas e necessárias para  o cumprimento</w:t>
      </w:r>
      <w:r>
        <w:rPr>
          <w:rFonts w:ascii="Arial" w:hAnsi="Arial" w:cs="Arial"/>
          <w:spacing w:val="3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doobjeto;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39" w:firstLine="0"/>
        <w:spacing w:line="288" w:lineRule="auto"/>
        <w:tabs defTabSz="720">
          <w:tab w:val="left" w:pos="56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Rejeitar, no todo ou em parte, os serviços prestados em desacordo com as obrigações assumidas </w:t>
      </w:r>
      <w:r>
        <w:rPr>
          <w:rFonts w:ascii="Arial" w:hAnsi="Arial" w:cs="Arial"/>
          <w:sz w:val="20"/>
          <w:szCs w:val="20"/>
        </w:rPr>
        <w:t>pela empresa na sua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proposta.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33" w:firstLine="0"/>
        <w:spacing w:before="1" w:line="288" w:lineRule="auto"/>
        <w:tabs defTabSz="720">
          <w:tab w:val="left" w:pos="57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Colocar à disposição da CONTRATADA os elementos e informações necessárias à execução</w:t>
      </w:r>
      <w:r>
        <w:rPr>
          <w:rFonts w:ascii="Arial" w:hAnsi="Arial" w:cs="Arial"/>
          <w:spacing w:val="4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doobjeto;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37" w:firstLine="0"/>
        <w:spacing w:line="288" w:lineRule="auto"/>
        <w:tabs defTabSz="720">
          <w:tab w:val="left" w:pos="532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Não permitir que o pessoal da CONTRATADA execute tarefas em desacordo com as</w:t>
      </w:r>
      <w:r>
        <w:rPr>
          <w:rFonts w:ascii="Arial" w:hAnsi="Arial" w:cs="Arial"/>
          <w:spacing w:val="-1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condiçõespreestabelecidas.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555" w:right="879" w:hanging="233"/>
        <w:tabs defTabSz="720">
          <w:tab w:val="left" w:pos="5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Responsabilizar-se pela comunicação, em tempo hábil, dos serviços a serem prestados.</w:t>
      </w:r>
    </w:p>
    <w:p>
      <w:pPr>
        <w:pStyle w:val="para5"/>
        <w:numPr>
          <w:ilvl w:val="0"/>
          <w:numId w:val="3"/>
        </w:numPr>
        <w:ind w:left="323" w:right="1035" w:firstLine="0"/>
        <w:spacing w:before="1" w:line="288" w:lineRule="auto"/>
        <w:tabs defTabSz="720">
          <w:tab w:val="left" w:pos="810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Efetuar, quando julgar necessário, inspeção e vistoria dos serviços prestados, ou já previamente em execução, colocados à sua disposição, com a finalidade de verificar as condições em perfeitaconcordância com a proposta e o Presente instrumento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Contratual.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41" w:firstLine="0"/>
        <w:spacing w:line="288" w:lineRule="auto"/>
        <w:tabs defTabSz="720">
          <w:tab w:val="left" w:pos="560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Aplicar multas ou penalidades, quando do não cumprimento do contrato ou ações previstas neste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Termo;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488" w:right="878" w:hanging="166"/>
        <w:spacing w:before="1"/>
        <w:tabs defTabSz="720">
          <w:tab w:val="left" w:pos="488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Fazer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deduzir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diretamente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fonte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multas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demais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penalidades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previstas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neste instrumento;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3"/>
        </w:numPr>
        <w:ind w:left="323" w:right="1040" w:firstLine="0"/>
        <w:spacing w:before="45" w:line="288" w:lineRule="auto"/>
        <w:tabs defTabSz="720">
          <w:tab w:val="left" w:pos="618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Atuar com poder de império suspendendo a execução do contrato sem ônus para a administração a qualquer tempo, resguardando a CONTRATADA de seus direitos adquiridos;</w:t>
      </w:r>
    </w:p>
    <w:p>
      <w:pPr>
        <w:pStyle w:val="para5"/>
        <w:numPr>
          <w:ilvl w:val="0"/>
          <w:numId w:val="3"/>
        </w:numPr>
        <w:ind w:left="555" w:hanging="234"/>
        <w:spacing w:before="1"/>
        <w:tabs defTabSz="720">
          <w:tab w:val="left" w:pos="5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Rejeitar os serviços em desconformidade com o presente</w:t>
      </w:r>
      <w:r>
        <w:rPr>
          <w:rFonts w:ascii="Arial" w:hAnsi="Arial" w:cs="Arial"/>
          <w:spacing w:val="-2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instrumento;</w:t>
      </w:r>
      <w:r>
        <w:rPr>
          <w:rFonts w:ascii="Arial" w:hAnsi="Arial" w:cs="Arial"/>
          <w:sz w:val="20"/>
          <w:szCs w:val="20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10"/>
          <w:footerReference w:type="default" r:id="rId11"/>
          <w:type w:val="nextPage"/>
          <w:pgSz w:h="16840" w:w="11910"/>
          <w:pgMar w:left="1600" w:top="1740" w:right="820" w:bottom="880" w:header="289" w:footer="698"/>
          <w:paperSrc w:first="0" w:other="0" a="0" b="0"/>
          <w:pgNumType w:fmt="decimal"/>
          <w:tmGutter w:val="3"/>
          <w:mirrorMargins w:val="0"/>
          <w:tmSection w:h="-1">
            <w:tmHeader w:id="0" w:h="0" edge="289" text="0">
              <w:shd w:val="none"/>
            </w:tmHeader>
            <w:tmFooter w:id="0" w:h="0" edge="69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spacing w:before="6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 w:before="100"/>
        <w:jc w:val="both"/>
        <w:tabs defTabSz="720">
          <w:tab w:val="left" w:pos="810" w:leader="none"/>
        </w:tabs>
        <w:rPr>
          <w:rFonts w:ascii="Arial" w:hAnsi="Arial" w:cs="Arial"/>
        </w:rPr>
      </w:pPr>
      <w:r/>
      <w:bookmarkStart w:id="10" w:name="9._OBRIGAÇÕES_DA_CONTRATADA"/>
      <w:bookmarkEnd w:id="10"/>
      <w:r/>
      <w:r>
        <w:rPr>
          <w:rFonts w:ascii="Arial" w:hAnsi="Arial" w:cs="Arial"/>
        </w:rPr>
        <w:t>OBRIGAÇÕES DA</w:t>
      </w:r>
      <w:r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</w:rPr>
        <w:t>CONTRATADA</w:t>
      </w:r>
      <w:r>
        <w:rPr>
          <w:rFonts w:ascii="Arial" w:hAnsi="Arial" w:cs="Arial"/>
        </w:rPr>
      </w:r>
    </w:p>
    <w:p>
      <w:pPr>
        <w:pStyle w:val="para4"/>
        <w:ind w:left="100" w:right="1028" w:firstLine="426"/>
        <w:spacing w:before="38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Responsabilizar-se pelo fiel cumprimento do objeto deste aviso, utilizando-se de mão de obra especializada.</w:t>
      </w:r>
    </w:p>
    <w:p>
      <w:pPr>
        <w:pStyle w:val="para4"/>
        <w:ind w:left="100" w:right="1027" w:firstLine="426"/>
        <w:spacing w:before="46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Prestar esclarecimento a CONTRATANTE sobre eventuais atos ou fatos noticiados que a envolvam, bem como relatar toda e qualquer irregularidade observada em função da execução do objeto, bem assim tomar providências necessárias imediatas para a correção, evitando repetição dos fatos.</w:t>
      </w:r>
    </w:p>
    <w:p>
      <w:pPr>
        <w:pStyle w:val="para5"/>
        <w:numPr>
          <w:ilvl w:val="0"/>
          <w:numId w:val="6"/>
        </w:numPr>
        <w:ind w:left="323" w:right="1029" w:firstLine="0"/>
        <w:spacing w:before="2" w:line="288" w:lineRule="auto"/>
        <w:tabs defTabSz="720">
          <w:tab w:val="left" w:pos="597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Acatar as orientações do Fiscal do Contrato ou seu representante legal, sujeitando-se a mais ampla e irrestrita fiscalização por parte da</w:t>
      </w:r>
      <w:r>
        <w:rPr>
          <w:rFonts w:ascii="Arial" w:hAnsi="Arial" w:cs="Arial"/>
          <w:spacing w:val="-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CONTRATANTE.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545" w:right="878" w:hanging="223"/>
        <w:spacing w:before="1"/>
        <w:tabs defTabSz="720">
          <w:tab w:val="left" w:pos="54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Zelar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para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que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sejam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cumpridas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normas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relativas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à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segurança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prevenção de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acidentes.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636" w:hanging="313"/>
        <w:spacing w:before="45"/>
        <w:tabs defTabSz="720">
          <w:tab w:val="left" w:pos="63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Cumprir os prazos previstos neste</w:t>
      </w:r>
      <w:r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instrumento;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323" w:right="1036" w:firstLine="0"/>
        <w:spacing w:before="50" w:line="288" w:lineRule="auto"/>
        <w:tabs defTabSz="720">
          <w:tab w:val="left" w:pos="573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Manter, durante toda a execução do contrato, em compatibilidade com as obrigações assumidas, todas as condições de habilitação e qualificação exigidas na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licitação.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323" w:right="1040" w:firstLine="0"/>
        <w:spacing w:before="1" w:line="288" w:lineRule="auto"/>
        <w:tabs defTabSz="720">
          <w:tab w:val="left" w:pos="561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Assumir a responsabilidade por todos os encargos previdenciários, fiscais e comerciais resultantes da execução do contrato, sob pena de rescisão contratual, sem prejuízo das demais</w:t>
      </w:r>
      <w:r>
        <w:rPr>
          <w:rFonts w:ascii="Arial" w:hAnsi="Arial" w:cs="Arial"/>
          <w:spacing w:val="-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sanções;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488" w:right="878" w:hanging="166"/>
        <w:tabs defTabSz="720">
          <w:tab w:val="left" w:pos="488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Realizar a prestação dos serviços em conformidade e no prazo estabelecido neste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instrumento.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323" w:right="1030" w:firstLine="0"/>
        <w:spacing w:before="46" w:line="288" w:lineRule="auto"/>
        <w:tabs defTabSz="720">
          <w:tab w:val="left" w:pos="63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contratada tem a obrigação do contratado de manter, durante toda a execução do contrato, em compatibilidade com as obrigações por ele assumidas, todas as condições de habilitação e qualificação exigidas na licitação, podendo a qualquer tempo o gestor do contrato diligenciar a apresentação de qualquer documento previsto no</w:t>
      </w:r>
      <w:r>
        <w:rPr>
          <w:rFonts w:ascii="Arial" w:hAnsi="Arial" w:cs="Arial"/>
          <w:spacing w:val="-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edital;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6"/>
        </w:numPr>
        <w:ind w:left="323" w:right="1027" w:firstLine="0"/>
        <w:spacing w:before="1" w:line="288" w:lineRule="auto"/>
        <w:tabs defTabSz="720">
          <w:tab w:val="left" w:pos="580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contratado é responsável pelos danos causados diretamente à Administração ou a terceiros, decorrentes de sua culpa ou dolo na execução do contrato, não excluindo ou reduzindo essa responsabilidade a fiscalização ou o acompanhamento pelo órgão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interessado;</w:t>
      </w:r>
      <w:r>
        <w:rPr>
          <w:rFonts w:ascii="Arial" w:hAnsi="Arial" w:cs="Arial"/>
          <w:sz w:val="20"/>
          <w:szCs w:val="20"/>
        </w:rPr>
      </w:r>
    </w:p>
    <w:p>
      <w:pPr>
        <w:pStyle w:val="para4"/>
        <w:spacing w:before="1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5"/>
        <w:numPr>
          <w:ilvl w:val="0"/>
          <w:numId w:val="1"/>
        </w:numPr>
        <w:ind w:left="100" w:right="1029" w:firstLine="221"/>
        <w:spacing w:line="281" w:lineRule="auto"/>
        <w:jc w:val="right"/>
        <w:tabs defTabSz="720">
          <w:tab w:val="left" w:pos="810" w:leader="none"/>
        </w:tabs>
        <w:rPr>
          <w:rFonts w:ascii="Arial" w:hAnsi="Arial" w:cs="Arial"/>
          <w:sz w:val="20"/>
          <w:szCs w:val="20"/>
        </w:rPr>
      </w:pPr>
      <w:r/>
      <w:bookmarkStart w:id="11" w:name="10._DO_ACOMPANHAMENTO,_EXECUÇÃO_E_FISCAL"/>
      <w:bookmarkEnd w:id="11"/>
      <w:r/>
      <w:r>
        <w:rPr>
          <w:rFonts w:ascii="Arial" w:hAnsi="Arial" w:cs="Arial"/>
          <w:b/>
          <w:sz w:val="20"/>
          <w:szCs w:val="20"/>
        </w:rPr>
        <w:t>DO ACOMPANHAMENTO, EXECUÇÃO E FISCALIZAÇÃO</w:t>
      </w:r>
      <w:r>
        <w:rPr>
          <w:rFonts w:ascii="Arial" w:hAnsi="Arial" w:cs="Arial"/>
          <w:b/>
          <w:spacing w:val="-44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-10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CONTRATO 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ind w:left="321" w:right="1029"/>
        <w:spacing w:line="281" w:lineRule="auto"/>
        <w:tabs defTabSz="720">
          <w:tab w:val="left" w:pos="810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4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fiscalização</w:t>
      </w:r>
      <w:r>
        <w:rPr>
          <w:rFonts w:ascii="Arial" w:hAnsi="Arial" w:cs="Arial"/>
          <w:spacing w:val="4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</w:t>
      </w:r>
      <w:r>
        <w:rPr>
          <w:rFonts w:ascii="Arial" w:hAnsi="Arial" w:cs="Arial"/>
          <w:spacing w:val="4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presente</w:t>
      </w:r>
      <w:r>
        <w:rPr>
          <w:rFonts w:ascii="Arial" w:hAnsi="Arial" w:cs="Arial"/>
          <w:spacing w:val="4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pacing w:val="4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será</w:t>
      </w:r>
      <w:r>
        <w:rPr>
          <w:rFonts w:ascii="Arial" w:hAnsi="Arial" w:cs="Arial"/>
          <w:spacing w:val="4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exercida</w:t>
      </w:r>
      <w:r>
        <w:rPr>
          <w:rFonts w:ascii="Arial" w:hAnsi="Arial" w:cs="Arial"/>
          <w:spacing w:val="4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por</w:t>
      </w:r>
      <w:r>
        <w:rPr>
          <w:rFonts w:ascii="Arial" w:hAnsi="Arial" w:cs="Arial"/>
          <w:spacing w:val="4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um</w:t>
      </w:r>
      <w:r>
        <w:rPr>
          <w:rFonts w:ascii="Arial" w:hAnsi="Arial" w:cs="Arial"/>
          <w:spacing w:val="4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representante</w:t>
      </w:r>
      <w:r>
        <w:rPr>
          <w:rFonts w:ascii="Arial" w:hAnsi="Arial" w:cs="Arial"/>
          <w:spacing w:val="4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 Administração,</w:t>
      </w:r>
      <w:r>
        <w:rPr>
          <w:rFonts w:ascii="Arial" w:hAnsi="Arial" w:cs="Arial"/>
          <w:spacing w:val="3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ao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qual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competirá</w:t>
      </w:r>
      <w:r>
        <w:rPr>
          <w:rFonts w:ascii="Arial" w:hAnsi="Arial" w:cs="Arial"/>
          <w:spacing w:val="3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dirimir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as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dúvidas</w:t>
      </w:r>
      <w:r>
        <w:rPr>
          <w:rFonts w:ascii="Arial" w:hAnsi="Arial" w:cs="Arial"/>
          <w:spacing w:val="3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que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surgirem</w:t>
      </w:r>
      <w:r>
        <w:rPr>
          <w:rFonts w:ascii="Arial" w:hAnsi="Arial" w:cs="Arial"/>
          <w:spacing w:val="38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pacing w:val="3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curso</w:t>
      </w:r>
      <w:r>
        <w:rPr>
          <w:rFonts w:ascii="Arial" w:hAnsi="Arial" w:cs="Arial"/>
          <w:spacing w:val="3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</w:r>
    </w:p>
    <w:p>
      <w:pPr>
        <w:pStyle w:val="para4"/>
        <w:ind w:left="100"/>
        <w:spacing w:before="3"/>
        <w:jc w:val="both"/>
        <w:rPr>
          <w:rFonts w:ascii="Arial" w:hAnsi="Arial" w:cs="Arial"/>
        </w:rPr>
      </w:pPr>
      <w:r>
        <w:rPr>
          <w:rFonts w:ascii="Arial" w:hAnsi="Arial" w:cs="Arial"/>
        </w:rPr>
        <w:t>execução do contrato e de tudo dará ciência à Administração;</w:t>
      </w:r>
    </w:p>
    <w:p>
      <w:pPr>
        <w:pStyle w:val="para4"/>
        <w:ind w:left="100" w:right="1037" w:firstLine="284"/>
        <w:spacing w:before="49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Durante todo o período de vigência deste contrato, a CONTRATADA deverá manter preposto aceito pela CONTRATANTE, para representá-la administrativamente sempre que for necessário;</w:t>
      </w:r>
    </w:p>
    <w:p>
      <w:pPr>
        <w:pStyle w:val="para4"/>
        <w:ind w:left="100" w:right="1041" w:firstLine="284"/>
        <w:spacing w:before="1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comunicação entre a fiscalização e a contratada será realizada através de correspondência oficial e anotações;</w:t>
      </w:r>
    </w:p>
    <w:p>
      <w:pPr>
        <w:pStyle w:val="para4"/>
        <w:ind w:left="100" w:right="1043" w:firstLine="284"/>
        <w:spacing w:before="1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relatório de entrega dos serviços será destinado ao registro de fatos e comunicações </w:t>
      </w:r>
      <w:r>
        <w:rPr>
          <w:rFonts w:ascii="Arial" w:hAnsi="Arial" w:cs="Arial"/>
        </w:rPr>
        <w:t>pertinentes aos mesmos;</w:t>
      </w:r>
      <w:r>
        <w:rPr>
          <w:rFonts w:ascii="Arial" w:hAnsi="Arial" w:cs="Arial"/>
        </w:rPr>
      </w:r>
    </w:p>
    <w:p>
      <w:pPr>
        <w:ind w:left="100" w:right="878" w:firstLine="284"/>
        <w: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Todos os atos e instituições emanados ou emitidos pela fiscalização serão considerados como se fossem praticados pelo Contratante.</w:t>
      </w:r>
    </w:p>
    <w:p>
      <w:pPr>
        <w:pStyle w:val="para4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/>
        <w:jc w:val="both"/>
        <w:tabs defTabSz="720">
          <w:tab w:val="left" w:pos="810" w:leader="none"/>
        </w:tabs>
        <w:rPr>
          <w:rFonts w:ascii="Arial" w:hAnsi="Arial" w:cs="Arial"/>
        </w:rPr>
      </w:pPr>
      <w:r/>
      <w:bookmarkStart w:id="12" w:name="11._DAS_SANÇÕES"/>
      <w:bookmarkEnd w:id="12"/>
      <w:r/>
      <w:r>
        <w:rPr>
          <w:rFonts w:ascii="Arial" w:hAnsi="Arial" w:cs="Arial"/>
        </w:rPr>
        <w:t>DAS</w:t>
      </w:r>
      <w:r>
        <w:rPr>
          <w:rFonts w:ascii="Arial" w:hAnsi="Arial" w:cs="Arial"/>
          <w:spacing w:val="-3"/>
        </w:rPr>
        <w:t xml:space="preserve"> </w:t>
      </w:r>
      <w:r>
        <w:rPr>
          <w:rFonts w:ascii="Arial" w:hAnsi="Arial" w:cs="Arial"/>
        </w:rPr>
        <w:t>SANÇÕES</w:t>
      </w:r>
      <w:r>
        <w:rPr>
          <w:rFonts w:ascii="Arial" w:hAnsi="Arial" w:cs="Arial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headerReference w:type="default" r:id="rId12"/>
          <w:footerReference w:type="default" r:id="rId13"/>
          <w:type w:val="nextPage"/>
          <w:pgSz w:h="16840" w:w="11910"/>
          <w:pgMar w:left="1600" w:top="1740" w:right="820" w:bottom="880" w:header="289" w:footer="698"/>
          <w:paperSrc w:first="0" w:other="0" a="0" b="0"/>
          <w:pgNumType w:fmt="decimal"/>
          <w:tmGutter w:val="3"/>
          <w:mirrorMargins w:val="0"/>
          <w:tmSection w:h="-1">
            <w:tmHeader w:id="0" w:h="0" edge="289" text="0">
              <w:shd w:val="none"/>
            </w:tmHeader>
            <w:tmFooter w:id="0" w:h="0" edge="698" text="0">
              <w:shd w:val="none"/>
            </w:tmFooter>
          </w:tmSection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4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4"/>
        <w:spacing w:before="4"/>
        <w:rPr>
          <w:rFonts w:ascii="Arial" w:hAnsi="Arial" w:cs="Arial"/>
          <w:b/>
        </w:rPr>
      </w:pPr>
      <w:r>
        <w:rPr>
          <w:rFonts w:ascii="Arial" w:hAnsi="Arial" w:cs="Arial"/>
          <w:b/>
        </w:rPr>
      </w:r>
    </w:p>
    <w:p>
      <w:pPr>
        <w:pStyle w:val="para4"/>
        <w:ind w:left="100" w:right="1031" w:firstLine="426"/>
        <w:spacing w:before="10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 descumprimento total ou parcial das obrigações assumidas pela CONTRATADA, sem justificativa aceita, poderá acarretar sanções previstas no art. 155 da Lei 14.133/21, observada a respectiva gradação.</w:t>
      </w:r>
    </w:p>
    <w:p>
      <w:pPr>
        <w:pStyle w:val="para5"/>
        <w:numPr>
          <w:ilvl w:val="0"/>
          <w:numId w:val="5"/>
        </w:numPr>
        <w:ind w:left="555" w:hanging="234"/>
        <w:spacing w:before="1"/>
        <w:tabs defTabSz="720">
          <w:tab w:val="left" w:pos="5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Dar causa à inexecução parcial do</w:t>
      </w:r>
      <w:r>
        <w:rPr>
          <w:rFonts w:ascii="Arial" w:hAnsi="Arial" w:cs="Arial"/>
          <w:spacing w:val="-1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323" w:right="1039" w:firstLine="0"/>
        <w:spacing w:before="45" w:line="288" w:lineRule="auto"/>
        <w:tabs defTabSz="720">
          <w:tab w:val="left" w:pos="64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Dar causa à inexecução parcial do contrato que cause grave dano à Administração, o funcionamento dos serviços públicos ou ao interesse</w:t>
      </w:r>
      <w:r>
        <w:rPr>
          <w:rFonts w:ascii="Arial" w:hAnsi="Arial" w:cs="Arial"/>
          <w:spacing w:val="-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coletivo;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545" w:hanging="224"/>
        <w:spacing w:before="2"/>
        <w:tabs defTabSz="720">
          <w:tab w:val="left" w:pos="54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Dar causa à inexecução total do</w:t>
      </w:r>
      <w:r>
        <w:rPr>
          <w:rFonts w:ascii="Arial" w:hAnsi="Arial" w:cs="Arial"/>
          <w:spacing w:val="-2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contrato;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555" w:right="878" w:hanging="233"/>
        <w:spacing w:before="45"/>
        <w:tabs defTabSz="720">
          <w:tab w:val="left" w:pos="555" w:leader="none"/>
          <w:tab w:val="left" w:pos="2391" w:leader="none"/>
          <w:tab w:val="left" w:pos="3545" w:leader="none"/>
          <w:tab w:val="left" w:pos="4264" w:leader="none"/>
          <w:tab w:val="left" w:pos="4782" w:leader="none"/>
          <w:tab w:val="left" w:pos="6148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Não </w:t>
      </w:r>
      <w:r>
        <w:rPr>
          <w:rFonts w:ascii="Arial" w:hAnsi="Arial" w:cs="Arial"/>
          <w:spacing w:val="5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manter </w:t>
      </w:r>
      <w:r>
        <w:rPr>
          <w:rFonts w:ascii="Arial" w:hAnsi="Arial" w:cs="Arial"/>
          <w:spacing w:val="5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ab/>
        <w:t>proposta,</w:t>
      </w:r>
      <w:r>
        <w:rPr>
          <w:rFonts w:ascii="Arial" w:hAnsi="Arial" w:cs="Arial"/>
          <w:sz w:val="20"/>
          <w:szCs w:val="20"/>
        </w:rPr>
        <w:tab/>
        <w:t>salvo</w:t>
      </w:r>
      <w:r>
        <w:rPr>
          <w:rFonts w:ascii="Arial" w:hAnsi="Arial" w:cs="Arial"/>
          <w:sz w:val="20"/>
          <w:szCs w:val="20"/>
        </w:rPr>
        <w:tab/>
        <w:t>em</w:t>
      </w:r>
      <w:r>
        <w:rPr>
          <w:rFonts w:ascii="Arial" w:hAnsi="Arial" w:cs="Arial"/>
          <w:sz w:val="20"/>
          <w:szCs w:val="20"/>
        </w:rPr>
        <w:tab/>
        <w:t>decorrência</w:t>
      </w:r>
      <w:r>
        <w:rPr>
          <w:rFonts w:ascii="Arial" w:hAnsi="Arial" w:cs="Arial"/>
          <w:sz w:val="20"/>
          <w:szCs w:val="20"/>
        </w:rPr>
        <w:tab/>
        <w:t>de fato superveniente devidamente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justificado;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323" w:right="1033" w:firstLine="0"/>
        <w:spacing w:before="46" w:line="288" w:lineRule="auto"/>
        <w:tabs defTabSz="720">
          <w:tab w:val="left" w:pos="597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Não celebrar o contrato ou não entregar a documentação exigida para a contratação, quando convocado dentro do prazo de validade de sua</w:t>
      </w:r>
      <w:r>
        <w:rPr>
          <w:rFonts w:ascii="Arial" w:hAnsi="Arial" w:cs="Arial"/>
          <w:spacing w:val="-3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proposta;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501" w:right="879" w:hanging="180"/>
        <w:tabs defTabSz="720">
          <w:tab w:val="left" w:pos="502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Ensejar o retardamento da execução ou da entrega do objeto da licitação sem motivo</w:t>
      </w:r>
      <w:r>
        <w:rPr>
          <w:rFonts w:ascii="Arial" w:hAnsi="Arial" w:cs="Arial"/>
          <w:spacing w:val="-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justificado;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555" w:hanging="234"/>
        <w:spacing w:before="45"/>
        <w:tabs defTabSz="720">
          <w:tab w:val="left" w:pos="5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Praticar atos ilícitos com vistas a frustrar os objetivos da</w:t>
      </w:r>
      <w:r>
        <w:rPr>
          <w:rFonts w:ascii="Arial" w:hAnsi="Arial" w:cs="Arial"/>
          <w:spacing w:val="-3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licitação;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5"/>
        </w:numPr>
        <w:ind w:left="555" w:right="878" w:hanging="233"/>
        <w:spacing w:before="46"/>
        <w:tabs defTabSz="720">
          <w:tab w:val="left" w:pos="555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Praticar ato lesivo previsto no art. 5º da Lei nº 12.846, de 1º de agosto de 2013.</w:t>
      </w:r>
    </w:p>
    <w:p>
      <w:pPr>
        <w:pStyle w:val="para4"/>
        <w:ind w:left="323" w:right="879"/>
        <w:spacing w:before="45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aplicadas ao responsável pelas infrações administrativas previstas acima, as seguintes penalidades, nos limites previstos no art. 156 da Lei Federal 14.133/2021.</w:t>
      </w:r>
    </w:p>
    <w:p>
      <w:pPr>
        <w:pStyle w:val="para5"/>
        <w:numPr>
          <w:ilvl w:val="0"/>
          <w:numId w:val="2"/>
        </w:numPr>
        <w:ind w:left="323" w:right="1035" w:firstLine="0"/>
        <w:spacing w:before="1" w:line="288" w:lineRule="auto"/>
        <w:tabs defTabSz="720">
          <w:tab w:val="left" w:pos="592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valor da multa, aplicada será descontado imediatamente no pagamento subsequente, sendo ainda aplicado juros de mora de 1,00% (um por cento) ao mês, ou 0,0333% por dia de</w:t>
      </w:r>
      <w:r>
        <w:rPr>
          <w:rFonts w:ascii="Arial" w:hAnsi="Arial" w:cs="Arial"/>
          <w:spacing w:val="-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atraso.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2"/>
        </w:numPr>
        <w:ind w:left="323" w:right="1029" w:firstLine="0"/>
        <w:spacing w:before="1" w:line="288" w:lineRule="auto"/>
        <w:tabs defTabSz="720">
          <w:tab w:val="left" w:pos="597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impossibilidade de desconto no pagamento subsequente, será liquidado do seguro caução previsto neste</w:t>
      </w:r>
      <w:r>
        <w:rPr>
          <w:rFonts w:ascii="Arial" w:hAnsi="Arial" w:cs="Arial"/>
          <w:spacing w:val="-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instrumento.</w:t>
      </w:r>
      <w:r>
        <w:rPr>
          <w:rFonts w:ascii="Arial" w:hAnsi="Arial" w:cs="Arial"/>
          <w:sz w:val="20"/>
          <w:szCs w:val="20"/>
        </w:rPr>
      </w:r>
    </w:p>
    <w:p>
      <w:pPr>
        <w:pStyle w:val="para5"/>
        <w:numPr>
          <w:ilvl w:val="0"/>
          <w:numId w:val="2"/>
        </w:numPr>
        <w:ind w:left="323" w:right="1036" w:firstLine="0"/>
        <w:spacing w:before="1" w:line="288" w:lineRule="auto"/>
        <w:tabs defTabSz="720">
          <w:tab w:val="left" w:pos="596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sanções previstas nestes instrumentos poderão ser aplicadas cumulativamente, exceto as multas escalonadas por datas, e a multa de advertência.</w:t>
      </w:r>
    </w:p>
    <w:p>
      <w:pPr>
        <w:pStyle w:val="para5"/>
        <w:numPr>
          <w:ilvl w:val="0"/>
          <w:numId w:val="2"/>
        </w:numPr>
        <w:ind w:left="323" w:right="1029" w:firstLine="0"/>
        <w:spacing w:before="1" w:line="288" w:lineRule="auto"/>
        <w:tabs defTabSz="720">
          <w:tab w:val="left" w:pos="592" w:leader="none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caso de multa, cuja apuração ainda esteja em processamento, ou seja, na fase da defesa prévia, o CONTRATANTE poderá fazer a retenção do valor correspondente à multa, até a decisão final da defesa prévia. Caso a defesa prévia seja aceita, ou aceita parcialmente, pelo CONTRATANTE, o valor retido correspondente será depositado em favor da CONTRATADA, em até 05 (cinco) dias úteis a contar da data da decisão final da defesa</w:t>
      </w:r>
      <w:r>
        <w:rPr>
          <w:rFonts w:ascii="Arial" w:hAnsi="Arial" w:cs="Arial"/>
          <w:spacing w:val="-2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apresentada.</w:t>
      </w:r>
      <w:r>
        <w:rPr>
          <w:rFonts w:ascii="Arial" w:hAnsi="Arial" w:cs="Arial"/>
          <w:sz w:val="20"/>
          <w:szCs w:val="20"/>
        </w:rPr>
      </w:r>
    </w:p>
    <w:p>
      <w:pPr>
        <w:pStyle w:val="para4"/>
        <w:spacing/>
        <w:jc w:val="both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3"/>
        <w:numPr>
          <w:ilvl w:val="0"/>
          <w:numId w:val="1"/>
        </w:numPr>
        <w:ind w:left="810" w:hanging="489"/>
        <w:spacing/>
        <w:jc w:val="both"/>
        <w:tabs defTabSz="720">
          <w:tab w:val="left" w:pos="810" w:leader="none"/>
        </w:tabs>
        <w:rPr>
          <w:rFonts w:ascii="Arial" w:hAnsi="Arial" w:cs="Arial"/>
        </w:rPr>
      </w:pPr>
      <w:r/>
      <w:bookmarkStart w:id="13" w:name="12._DOTAÇÃO_ORÇAMENTARIA:"/>
      <w:bookmarkEnd w:id="13"/>
      <w:r/>
      <w:r>
        <w:rPr>
          <w:rFonts w:ascii="Arial" w:hAnsi="Arial" w:cs="Arial"/>
        </w:rPr>
        <w:t>DOTAÇÃO</w:t>
      </w:r>
      <w:r>
        <w:rPr>
          <w:rFonts w:ascii="Arial" w:hAnsi="Arial" w:cs="Arial"/>
          <w:spacing w:val="-7"/>
        </w:rPr>
        <w:t xml:space="preserve"> </w:t>
      </w:r>
      <w:r>
        <w:rPr>
          <w:rFonts w:ascii="Arial" w:hAnsi="Arial" w:cs="Arial"/>
        </w:rPr>
        <w:t>ORÇAMENTARIA:</w:t>
      </w:r>
      <w:r>
        <w:rPr>
          <w:rFonts w:ascii="Arial" w:hAnsi="Arial" w:cs="Arial"/>
        </w:rPr>
      </w:r>
    </w:p>
    <w:p>
      <w:pPr>
        <w:pStyle w:val="para4"/>
        <w:ind w:left="323" w:right="30" w:firstLine="284"/>
        <w:spacing w:before="38" w:line="288" w:lineRule="auto"/>
        <w:rPr>
          <w:rFonts w:ascii="Arial" w:hAnsi="Arial" w:cs="Arial"/>
        </w:rPr>
      </w:pPr>
      <w:r>
        <w:rPr>
          <w:rFonts w:ascii="Arial" w:hAnsi="Arial" w:cs="Arial"/>
        </w:rPr>
        <w:t>As despesas com a execução de eventual ajuste, correrão à conta de dotação específica, constante da reserva orçamentária em anexo.</w:t>
      </w:r>
    </w:p>
    <w:p>
      <w:pPr>
        <w:pStyle w:val="para4"/>
        <w:ind w:left="323" w:right="30" w:firstLine="284"/>
        <w:spacing w:before="38" w:line="288" w:lineRule="auto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4"/>
        <w:spacing w:before="1"/>
        <w:jc w:val="center"/>
        <w:rPr>
          <w:rFonts w:ascii="Arial" w:hAnsi="Arial" w:cs="Arial"/>
        </w:rPr>
      </w:pPr>
      <w:r>
        <w:rPr>
          <w:rFonts w:ascii="Arial" w:hAnsi="Arial" w:cs="Arial"/>
        </w:rPr>
        <w:t>Cravinhos, 12 de julho de 2023.</w:t>
      </w:r>
      <w:r>
        <w:rPr>
          <w:rFonts w:ascii="Arial" w:hAnsi="Arial" w:cs="Arial"/>
        </w:rPr>
      </w:r>
    </w:p>
    <w:p>
      <w:pPr>
        <w:pStyle w:val="para4"/>
        <w:spacing/>
        <w:jc w:val="center"/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</w:rPr>
      </w:pPr>
      <w:r>
        <w:rPr>
          <w:rFonts w:ascii="Arial" w:hAnsi="Arial" w:cs="Arial"/>
        </w:rPr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ANDREA GASPAR CARRASCOSA</w:t>
      </w:r>
    </w:p>
    <w:p>
      <w:pPr>
        <w:pStyle w:val="para4"/>
        <w:spacing w:before="8"/>
        <w:jc w:val="center"/>
        <w:tabs defTabSz="720">
          <w:tab w:val="left" w:pos="2655" w:leader="none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Secretária Municipal de Cultura e Turismo</w:t>
      </w:r>
    </w:p>
    <w:p>
      <w:pPr>
        <w:spacing/>
        <w:jc w:val="center"/>
        <w:tabs defTabSz="720">
          <w:tab w:val="left" w:pos="2655" w:leader="none"/>
        </w:tabs>
      </w:pP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tabs defTabSz="720">
          <w:tab w:val="left" w:pos="3825" w:leader="none"/>
        </w:tabs>
      </w:pPr>
      <w:r>
        <w:tab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4"/>
      <w:footerReference w:type="default" r:id="rId15"/>
      <w:type w:val="nextPage"/>
      <w:pgSz w:h="16840" w:w="11910"/>
      <w:pgMar w:left="1600" w:top="1740" w:right="820" w:bottom="880" w:header="289" w:footer="698"/>
      <w:paperSrc w:first="0" w:other="0" a="0" b="0"/>
      <w:pgNumType w:fmt="decimal"/>
      <w:tmGutter w:val="3"/>
      <w:mirrorMargins w:val="0"/>
      <w:tmSection w:h="-2">
        <w:tmHeader w:id="0" w:h="0" edge="289" text="0">
          <w:shd w:val="none"/>
        </w:tmHeader>
        <w:tmFooter w:id="0" w:h="0" edge="69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Segoe UI">
    <w:panose1 w:val="020B050204020402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5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5" name="Linha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4" o:spid="_x0000_s3073" style="position:absolute;mso-position-horizontal-relative:page;mso-position-vertical-relative:page;width:420.95pt;height:0.00pt;z-index:251658245;mso-wrap-distance-left:9.00pt;mso-wrap-distance-top:0.00pt;mso-wrap-distance-right:9.00pt;mso-wrap-distance-bottom:0.00pt;mso-wrap-style:square" from="87.15pt,793.30pt" to="508.10pt,793.30pt" strokeweight="0.65pt" fillcolor="#ffffff" v:ext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A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1" locked="0" layoutInCell="0" hidden="0" allowOverlap="1">
              <wp:simplePos x="0" y="0"/>
              <wp:positionH relativeFrom="page">
                <wp:posOffset>1492885</wp:posOffset>
              </wp:positionH>
              <wp:positionV relativeFrom="page">
                <wp:posOffset>10073005</wp:posOffset>
              </wp:positionV>
              <wp:extent cx="4574540" cy="181610"/>
              <wp:effectExtent l="0" t="0" r="0" b="0"/>
              <wp:wrapNone/>
              <wp:docPr id="6" name="CaixaTexto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AAC8JAAD3PQAAKAAAAAgAAAABAAAAAQAAAA=="/>
                        </a:ext>
                      </a:extLst>
                    </wps:cNvSpPr>
                    <wps:spPr>
                      <a:xfrm>
                        <a:off x="0" y="0"/>
                        <a:ext cx="4574540" cy="18161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4" o:spid="_x0000_s3074" style="position:absolute;margin-left:117.55pt;margin-top:793.15pt;mso-position-horizontal-relative:page;mso-position-vertical-relative:page;width:360.20pt;height:14.30pt;z-index:251658246;mso-wrap-distance-left:9.00pt;mso-wrap-distance-top:0.00pt;mso-wrap-distance-right:9.00pt;mso-wrap-distance-bottom:0.00pt;mso-wrap-style:square" stroked="f" filled="f" v:ext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AAC8JAAD3PQAAKAAAAAgAAAABAAAAAQAAAA==" o:insetmode="custom">
              <w10:wrap type="none" anchorx="page" anchory="page"/>
              <v:textbox inset="0.0pt,0.0pt,0.0pt,0.0pt">
                <w:txbxContent>
                  <w:p>
                    <w:pPr>
                      <w:ind w:left="20"/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</w:r>
                  </w:p>
                </w:txbxContent>
              </v:textbox>
            </v:rect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7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7" name="Linha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B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3" o:spid="_x0000_s5121" style="position:absolute;mso-position-horizontal-relative:page;mso-position-vertical-relative:page;width:420.95pt;height:0.00pt;z-index:251658247;mso-wrap-distance-left:9.00pt;mso-wrap-distance-top:0.00pt;mso-wrap-distance-right:9.00pt;mso-wrap-distance-bottom:0.00pt;mso-wrap-style:square" from="87.15pt,793.30pt" to="508.10pt,793.30pt" strokeweight="0.65pt" fillcolor="#ffffff" v:ext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B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1" locked="0" layoutInCell="0" hidden="0" allowOverlap="1">
              <wp:simplePos x="0" y="0"/>
              <wp:positionH relativeFrom="page">
                <wp:posOffset>1492885</wp:posOffset>
              </wp:positionH>
              <wp:positionV relativeFrom="page">
                <wp:posOffset>10073005</wp:posOffset>
              </wp:positionV>
              <wp:extent cx="4574540" cy="181610"/>
              <wp:effectExtent l="0" t="0" r="0" b="0"/>
              <wp:wrapNone/>
              <wp:docPr id="8" name="CaixaTexto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BAC8JAAD3PQAAKAAAAAgAAAABAAAAAQAAAA=="/>
                        </a:ext>
                      </a:extLst>
                    </wps:cNvSpPr>
                    <wps:spPr>
                      <a:xfrm>
                        <a:off x="0" y="0"/>
                        <a:ext cx="4574540" cy="18161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3" o:spid="_x0000_s5122" style="position:absolute;margin-left:117.55pt;margin-top:793.15pt;mso-position-horizontal-relative:page;mso-position-vertical-relative:page;width:360.20pt;height:14.30pt;z-index:251658248;mso-wrap-distance-left:9.00pt;mso-wrap-distance-top:0.00pt;mso-wrap-distance-right:9.00pt;mso-wrap-distance-bottom:0.00pt;mso-wrap-style:square" stroked="f" filled="f" v:ext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BAC8JAAD3PQAAKAAAAAgAAAABAAAAAQAAAA==" o:insetmode="custom">
              <w10:wrap type="none" anchorx="page" anchory="page"/>
              <v:textbox inset="0.0pt,0.0pt,0.0pt,0.0pt">
                <w:txbxContent>
                  <w:p>
                    <w:pPr>
                      <w:ind w:left="20"/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</w:r>
                  </w:p>
                </w:txbxContent>
              </v:textbox>
            </v:rect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49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9" name="Linha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Cg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C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2" o:spid="_x0000_s7169" style="position:absolute;mso-position-horizontal-relative:page;mso-position-vertical-relative:page;width:420.95pt;height:0.00pt;z-index:251658249;mso-wrap-distance-left:9.00pt;mso-wrap-distance-top:0.00pt;mso-wrap-distance-right:9.00pt;mso-wrap-distance-bottom:0.00pt;mso-wrap-style:square" from="87.15pt,793.30pt" to="508.10pt,793.30pt" strokeweight="0.65pt" fillcolor="#ffffff" v:ext="SMDATA_12_2NeuZBMAAAAlAAAACgAAAE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C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0" behindDoc="1" locked="0" layoutInCell="0" hidden="0" allowOverlap="1">
              <wp:simplePos x="0" y="0"/>
              <wp:positionH relativeFrom="page">
                <wp:posOffset>1492885</wp:posOffset>
              </wp:positionH>
              <wp:positionV relativeFrom="page">
                <wp:posOffset>10073005</wp:posOffset>
              </wp:positionV>
              <wp:extent cx="4574540" cy="181610"/>
              <wp:effectExtent l="0" t="0" r="0" b="0"/>
              <wp:wrapNone/>
              <wp:docPr id="10" name="CaixaText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CAC8JAAD3PQAAKAAAAAgAAAABAAAAAQAAAA=="/>
                        </a:ext>
                      </a:extLst>
                    </wps:cNvSpPr>
                    <wps:spPr>
                      <a:xfrm>
                        <a:off x="0" y="0"/>
                        <a:ext cx="4574540" cy="18161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2" o:spid="_x0000_s7170" style="position:absolute;margin-left:117.55pt;margin-top:793.15pt;mso-position-horizontal-relative:page;mso-position-vertical-relative:page;width:360.20pt;height:14.30pt;z-index:251658250;mso-wrap-distance-left:9.00pt;mso-wrap-distance-top:0.00pt;mso-wrap-distance-right:9.00pt;mso-wrap-distance-bottom:0.00pt;mso-wrap-style:square" stroked="f" filled="f" v:ext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CAC8JAAD3PQAAKAAAAAgAAAABAAAAAQAAAA==" o:insetmode="custom">
              <w10:wrap type="none" anchorx="page" anchory="page"/>
              <v:textbox inset="0.0pt,0.0pt,0.0pt,0.0pt">
                <w:txbxContent>
                  <w:p>
                    <w:pPr>
                      <w:ind w:left="20"/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</w:r>
                  </w:p>
                </w:txbxContent>
              </v:textbox>
            </v:rect>
          </w:pict>
        </mc:Fallback>
      </mc:AlternateConten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8251" behindDoc="1" locked="0" layoutInCell="0" hidden="0" allowOverlap="1">
              <wp:simplePos x="0" y="0"/>
              <wp:positionH relativeFrom="page">
                <wp:posOffset>1106805</wp:posOffset>
              </wp:positionH>
              <wp:positionV relativeFrom="page">
                <wp:posOffset>10074910</wp:posOffset>
              </wp:positionV>
              <wp:extent cx="5346065" cy="0"/>
              <wp:effectExtent l="8255" t="8255" r="8255" b="8255"/>
              <wp:wrapNone/>
              <wp:docPr id="11" name="Linh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DAM8GAAD6PQAAKAAAAAgAAAABAAAAAQAAAA=="/>
                        </a:ext>
                      </a:extLst>
                    </wps:cNvSpPr>
                    <wps:spPr>
                      <a:xfrm>
                        <a:off x="0" y="0"/>
                        <a:ext cx="534606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255">
                        <a:solidFill>
                          <a:srgbClr val="000000"/>
                        </a:solidFill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Linha1" o:spid="_x0000_s9217" style="position:absolute;mso-position-horizontal-relative:page;mso-position-vertical-relative:page;width:420.95pt;height:0.00pt;z-index:251658251;mso-wrap-distance-left:9.00pt;mso-wrap-distance-top:0.00pt;mso-wrap-distance-right:9.00pt;mso-wrap-distance-bottom:0.00pt;mso-wrap-style:square" from="87.15pt,793.30pt" to="508.10pt,793.30pt" strokeweight="0.65pt" fillcolor="#ffffff" v:ext="SMDATA_12_2NeuZBMAAAAlAAAACgAAAA0AAAAAkAAAAEgAAACQAAAAS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BAAAAAAAAAAAAAAAN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zwYAAAAAAAAAAAAA+j0AAOMgAAAAAAAAAAADAM8GAAD6PQAAKAAAAAgAAAABAAAAAQAAAA==">
              <v:fill color2="#000000" type="solid" angle="90"/>
              <w10:wrap type="none"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52" behindDoc="1" locked="0" layoutInCell="0" hidden="0" allowOverlap="1">
              <wp:simplePos x="0" y="0"/>
              <wp:positionH relativeFrom="page">
                <wp:posOffset>1492885</wp:posOffset>
              </wp:positionH>
              <wp:positionV relativeFrom="page">
                <wp:posOffset>10073005</wp:posOffset>
              </wp:positionV>
              <wp:extent cx="4574540" cy="181610"/>
              <wp:effectExtent l="0" t="0" r="0" b="0"/>
              <wp:wrapNone/>
              <wp:docPr id="12" name="CaixaText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DAC8JAAD3PQAAKAAAAAgAAAABAAAAAQAAAA=="/>
                        </a:ext>
                      </a:extLst>
                    </wps:cNvSpPr>
                    <wps:spPr>
                      <a:xfrm>
                        <a:off x="0" y="0"/>
                        <a:ext cx="4574540" cy="181610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ind w:left="20"/>
                            <w:spacing w:before="13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</w:r>
                        </w:p>
                      </w:txbxContent>
                    </wps:txbx>
                    <wps:bodyPr spcFirstLastPara="1" vertOverflow="clip" horzOverflow="clip" lIns="0" tIns="0" rIns="0" bIns="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CaixaTexto1" o:spid="_x0000_s9218" style="position:absolute;margin-left:117.55pt;margin-top:793.15pt;mso-position-horizontal-relative:page;mso-position-vertical-relative:page;width:360.20pt;height:14.30pt;z-index:251658252;mso-wrap-distance-left:9.00pt;mso-wrap-distance-top:0.00pt;mso-wrap-distance-right:9.00pt;mso-wrap-distance-bottom:0.00pt;mso-wrap-style:square" stroked="f" filled="f" v:ext="SMDATA_12_2NeuZBMAAAAlAAAAZA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AAAAJAgAAAgAAAAAAAAAAAAAAAAAAAALwkAAAAAAAAAAAAA9z0AACQcAAAeAQAAAAADAC8JAAD3PQAAKAAAAAgAAAABAAAAAQAAAA==" o:insetmode="custom">
              <w10:wrap type="none" anchorx="page" anchory="page"/>
              <v:textbox inset="0.0pt,0.0pt,0.0pt,0.0pt">
                <w:txbxContent>
                  <w:p>
                    <w:pPr>
                      <w:ind w:left="20"/>
                      <w:spacing w:before="13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</w:r>
                  </w:p>
                </w:txbxContent>
              </v:textbox>
            </v:rect>
          </w:pict>
        </mc:Fallback>
      </mc:AlternateContent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  <w:jc w:val="center"/>
    </w:pPr>
    <w:r>
      <w:rPr>
        <w:lang w:val="pt-br"/>
      </w:rPr>
    </w:r>
    <w:r>
      <w:rPr>
        <w:noProof/>
      </w:rPr>
      <w:drawing>
        <wp:inline distT="0" distB="0" distL="0" distR="0">
          <wp:extent cx="2800350" cy="90360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/>
                    <a:extLst>
                      <a:ext uri="smNativeData">
                        <sm:smNativeData xmlns:sm="smNativeData" val="SMDATA_14_2NeuZ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EQAAjwU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0350" cy="9036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lang w:val="pt-br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  <w:jc w:val="center"/>
    </w:pPr>
    <w:r>
      <w:rPr>
        <w:lang w:val="pt-br"/>
      </w:rPr>
    </w:r>
    <w:r>
      <w:rPr>
        <w:noProof/>
      </w:rPr>
      <w:drawing>
        <wp:inline distT="0" distB="0" distL="0" distR="0">
          <wp:extent cx="2800350" cy="903605"/>
          <wp:effectExtent l="0" t="0" r="0" b="0"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3"/>
                  <pic:cNvPicPr>
                    <a:picLocks noChangeAspect="1"/>
                    <a:extLst>
                      <a:ext uri="smNativeData">
                        <sm:smNativeData xmlns:sm="smNativeData" val="SMDATA_14_2Neu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EQAAjwUAAAAAAQ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0350" cy="9036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lang w:val="pt-br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  <w:jc w:val="center"/>
    </w:pPr>
    <w:r>
      <w:rPr>
        <w:lang w:val="pt-br"/>
      </w:rPr>
    </w:r>
    <w:r>
      <w:rPr>
        <w:noProof/>
      </w:rPr>
      <w:drawing>
        <wp:inline distT="0" distB="0" distL="0" distR="0">
          <wp:extent cx="2800350" cy="903605"/>
          <wp:effectExtent l="0" t="0" r="0" b="0"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"/>
                  <pic:cNvPicPr>
                    <a:picLocks noChangeAspect="1"/>
                    <a:extLst>
                      <a:ext uri="smNativeData">
                        <sm:smNativeData xmlns:sm="smNativeData" val="SMDATA_14_2Neu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EQAAjwUAAAAAAg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0350" cy="9036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lang w:val="pt-br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 w:line="14" w:lineRule="auto"/>
      <w:jc w:val="center"/>
    </w:pPr>
    <w:r>
      <w:rPr>
        <w:lang w:val="pt-br"/>
      </w:rPr>
    </w:r>
    <w:r>
      <w:rPr>
        <w:noProof/>
      </w:rPr>
      <w:drawing>
        <wp:inline distT="0" distB="0" distL="0" distR="0">
          <wp:extent cx="2800350" cy="903605"/>
          <wp:effectExtent l="0" t="0" r="0" b="0"/>
          <wp:docPr id="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6"/>
                  <pic:cNvPicPr>
                    <a:picLocks noChangeAspect="1"/>
                    <a:extLst>
                      <a:ext uri="smNativeData">
                        <sm:smNativeData xmlns:sm="smNativeData" val="SMDATA_14_2NeuZ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A6EQAAjwUAAAAAAw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0350" cy="90360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lang w:val="pt-br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5"/>
    <w:lvl w:ilvl="0">
      <w:start w:val="1"/>
      <w:numFmt w:val="decimal"/>
      <w:suff w:val="tab"/>
      <w:lvlText w:val="%1."/>
      <w:lvlJc w:val="left"/>
      <w:pPr>
        <w:ind w:left="305" w:hanging="0"/>
      </w:pPr>
      <w:rPr>
        <w:rFonts w:ascii="Verdana" w:hAnsi="Verdana" w:eastAsia="Verdana" w:cs="Verdana"/>
        <w:b/>
        <w:bCs/>
        <w:spacing w:val="-1"/>
        <w:w w:val="100"/>
        <w:sz w:val="24"/>
        <w:szCs w:val="24"/>
        <w:lang w:val="pt-pt" w:bidi="ar-sa"/>
      </w:rPr>
    </w:lvl>
    <w:lvl w:ilvl="1">
      <w:numFmt w:val="bullet"/>
      <w:suff w:val="tab"/>
      <w:lvlText w:val="•"/>
      <w:lvlJc w:val="left"/>
      <w:pPr>
        <w:ind w:left="315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277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24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203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166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129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09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055" w:hanging="0"/>
      </w:pPr>
      <w:rPr>
        <w:lang w:val="pt-pt" w:bidi="ar-sa"/>
      </w:rPr>
    </w:lvl>
  </w:abstractNum>
  <w:abstractNum w:abstractNumId="2">
    <w:multiLevelType w:val="hybridMultilevel"/>
    <w:name w:val="Lista numerada 1"/>
    <w:lvl w:ilvl="0">
      <w:start w:val="1"/>
      <w:numFmt w:val="lowerLetter"/>
      <w:suff w:val="tab"/>
      <w:lvlText w:val="%1)"/>
      <w:lvlJc w:val="left"/>
      <w:pPr>
        <w:ind w:left="54" w:hanging="0"/>
      </w:pPr>
      <w:rPr>
        <w:rFonts w:ascii="Arial" w:hAnsi="Arial" w:eastAsia="Arial" w:cs="Arial"/>
        <w:spacing w:val="-29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7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84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800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34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50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7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83" w:hanging="0"/>
      </w:pPr>
      <w:rPr>
        <w:lang w:val="pt-pt" w:bidi="ar-sa"/>
      </w:rPr>
    </w:lvl>
  </w:abstractNum>
  <w:abstractNum w:abstractNumId="3">
    <w:multiLevelType w:val="hybridMultilevel"/>
    <w:name w:val="Lista numerada 4"/>
    <w:lvl w:ilvl="0">
      <w:start w:val="1"/>
      <w:numFmt w:val="lowerLetter"/>
      <w:suff w:val="tab"/>
      <w:lvlText w:val="%1)"/>
      <w:lvlJc w:val="left"/>
      <w:pPr>
        <w:ind w:left="-9" w:hanging="0"/>
      </w:pPr>
      <w:rPr>
        <w:rFonts w:ascii="Arial" w:hAnsi="Arial" w:eastAsia="Arial" w:cs="Arial"/>
        <w:spacing w:val="-33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04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21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37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654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571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487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04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20" w:hanging="0"/>
      </w:pPr>
      <w:rPr>
        <w:lang w:val="pt-pt" w:bidi="ar-sa"/>
      </w:rPr>
    </w:lvl>
  </w:abstractNum>
  <w:abstractNum w:abstractNumId="4">
    <w:multiLevelType w:val="hybridMultilevel"/>
    <w:name w:val="Lista numerada 6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5">
    <w:multiLevelType w:val="hybridMultilevel"/>
    <w:name w:val="Lista numerada 2"/>
    <w:lvl w:ilvl="0">
      <w:start w:val="1"/>
      <w:numFmt w:val="lowerLetter"/>
      <w:suff w:val="tab"/>
      <w:lvlText w:val="%1)"/>
      <w:lvlJc w:val="left"/>
      <w:pPr>
        <w:ind w:left="322" w:hanging="0"/>
      </w:pPr>
      <w:rPr>
        <w:rFonts w:ascii="Arial" w:hAnsi="Arial" w:eastAsia="Arial" w:cs="Arial"/>
        <w:spacing w:val="-1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1219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2112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3004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897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790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682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575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467" w:hanging="0"/>
      </w:pPr>
      <w:rPr>
        <w:lang w:val="pt-pt" w:bidi="ar-sa"/>
      </w:rPr>
    </w:lvl>
  </w:abstractNum>
  <w:abstractNum w:abstractNumId="6">
    <w:multiLevelType w:val="hybridMultilevel"/>
    <w:name w:val="Lista numerada 3"/>
    <w:lvl w:ilvl="0">
      <w:start w:val="1"/>
      <w:numFmt w:val="lowerLetter"/>
      <w:suff w:val="tab"/>
      <w:lvlText w:val="%1)"/>
      <w:lvlJc w:val="left"/>
      <w:pPr>
        <w:ind w:left="49" w:hanging="0"/>
      </w:pPr>
      <w:rPr>
        <w:rFonts w:ascii="Arial" w:hAnsi="Arial" w:eastAsia="Arial" w:cs="Arial"/>
        <w:spacing w:val="-15"/>
        <w:w w:val="100"/>
        <w:sz w:val="20"/>
        <w:szCs w:val="20"/>
        <w:lang w:val="pt-pt" w:bidi="ar-sa"/>
      </w:rPr>
    </w:lvl>
    <w:lvl w:ilvl="1">
      <w:numFmt w:val="bullet"/>
      <w:suff w:val="tab"/>
      <w:lvlText w:val="•"/>
      <w:lvlJc w:val="left"/>
      <w:pPr>
        <w:ind w:left="962" w:hanging="0"/>
      </w:pPr>
      <w:rPr>
        <w:lang w:val="pt-pt" w:bidi="ar-sa"/>
      </w:rPr>
    </w:lvl>
    <w:lvl w:ilvl="2">
      <w:numFmt w:val="bullet"/>
      <w:suff w:val="tab"/>
      <w:lvlText w:val="•"/>
      <w:lvlJc w:val="left"/>
      <w:pPr>
        <w:ind w:left="1879" w:hanging="0"/>
      </w:pPr>
      <w:rPr>
        <w:lang w:val="pt-pt" w:bidi="ar-sa"/>
      </w:rPr>
    </w:lvl>
    <w:lvl w:ilvl="3">
      <w:numFmt w:val="bullet"/>
      <w:suff w:val="tab"/>
      <w:lvlText w:val="•"/>
      <w:lvlJc w:val="left"/>
      <w:pPr>
        <w:ind w:left="2795" w:hanging="0"/>
      </w:pPr>
      <w:rPr>
        <w:lang w:val="pt-pt" w:bidi="ar-sa"/>
      </w:rPr>
    </w:lvl>
    <w:lvl w:ilvl="4">
      <w:numFmt w:val="bullet"/>
      <w:suff w:val="tab"/>
      <w:lvlText w:val="•"/>
      <w:lvlJc w:val="left"/>
      <w:pPr>
        <w:ind w:left="3712" w:hanging="0"/>
      </w:pPr>
      <w:rPr>
        <w:lang w:val="pt-pt" w:bidi="ar-sa"/>
      </w:rPr>
    </w:lvl>
    <w:lvl w:ilvl="5">
      <w:numFmt w:val="bullet"/>
      <w:suff w:val="tab"/>
      <w:lvlText w:val="•"/>
      <w:lvlJc w:val="left"/>
      <w:pPr>
        <w:ind w:left="4629" w:hanging="0"/>
      </w:pPr>
      <w:rPr>
        <w:lang w:val="pt-pt" w:bidi="ar-sa"/>
      </w:rPr>
    </w:lvl>
    <w:lvl w:ilvl="6">
      <w:numFmt w:val="bullet"/>
      <w:suff w:val="tab"/>
      <w:lvlText w:val="•"/>
      <w:lvlJc w:val="left"/>
      <w:pPr>
        <w:ind w:left="5545" w:hanging="0"/>
      </w:pPr>
      <w:rPr>
        <w:lang w:val="pt-pt" w:bidi="ar-sa"/>
      </w:rPr>
    </w:lvl>
    <w:lvl w:ilvl="7">
      <w:numFmt w:val="bullet"/>
      <w:suff w:val="tab"/>
      <w:lvlText w:val="•"/>
      <w:lvlJc w:val="left"/>
      <w:pPr>
        <w:ind w:left="6462" w:hanging="0"/>
      </w:pPr>
      <w:rPr>
        <w:lang w:val="pt-pt" w:bidi="ar-sa"/>
      </w:rPr>
    </w:lvl>
    <w:lvl w:ilvl="8">
      <w:numFmt w:val="bullet"/>
      <w:suff w:val="tab"/>
      <w:lvlText w:val="•"/>
      <w:lvlJc w:val="left"/>
      <w:pPr>
        <w:ind w:left="7378" w:hanging="0"/>
      </w:pPr>
      <w:rPr>
        <w:lang w:val="pt-pt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20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921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"/>
    <w:tmLastPosCaret>
      <w:tmLastPosPgfIdx w:val="0"/>
      <w:tmLastPosIdx w:val="5"/>
    </w:tmLastPosCaret>
    <w:tmLastPosAnchor>
      <w:tmLastPosPgfIdx w:val="0"/>
      <w:tmLastPosIdx w:val="0"/>
    </w:tmLastPosAnchor>
    <w:tmLastPosTblRect w:left="0" w:top="0" w:right="0" w:bottom="0"/>
  </w:tmLastPos>
  <w:tmAppRevision w:date="1689180120" w:val="982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9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character" w:styleId="char3" w:customStyle="1">
    <w:name w:val="Texto de balão Char"/>
    <w:basedOn w:val="char0"/>
    <w:rPr>
      <w:rFonts w:ascii="Segoe UI" w:hAnsi="Segoe UI" w:eastAsia="Verdana" w:cs="Segoe UI"/>
      <w:sz w:val="18"/>
      <w:szCs w:val="18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Verdana" w:hAnsi="Verdana" w:eastAsia="Verdana" w:cs="Verdana"/>
      <w:lang w:val="pt-pt"/>
    </w:rPr>
  </w:style>
  <w:style w:type="paragraph" w:styleId="para1">
    <w:name w:val="heading 1"/>
    <w:qFormat/>
    <w:basedOn w:val="para0"/>
    <w:pPr>
      <w:ind w:left="1018" w:right="1797"/>
      <w:spacing/>
      <w:jc w:val="center"/>
      <w:outlineLvl w:val="0"/>
    </w:pPr>
    <w:rPr>
      <w:rFonts w:ascii="Times New Roman" w:hAnsi="Times New Roman" w:eastAsia="Times New Roman" w:cs="Times New Roman"/>
      <w:b/>
      <w:bCs/>
      <w:sz w:val="24"/>
      <w:szCs w:val="24"/>
    </w:rPr>
  </w:style>
  <w:style w:type="paragraph" w:styleId="para2">
    <w:name w:val="heading 2"/>
    <w:qFormat/>
    <w:basedOn w:val="para0"/>
    <w:pPr>
      <w:ind w:left="20"/>
      <w:outlineLvl w:val="1"/>
    </w:pPr>
  </w:style>
  <w:style w:type="paragraph" w:styleId="para3">
    <w:name w:val="heading 3"/>
    <w:qFormat/>
    <w:basedOn w:val="para0"/>
    <w:pPr>
      <w:ind w:left="810" w:hanging="489"/>
      <w:outlineLvl w:val="2"/>
    </w:pPr>
    <w:rPr>
      <w:b/>
      <w:bCs/>
      <w:sz w:val="20"/>
      <w:szCs w:val="20"/>
    </w:rPr>
  </w:style>
  <w:style w:type="paragraph" w:styleId="para4">
    <w:name w:val="Body Text"/>
    <w:qFormat/>
    <w:basedOn w:val="para0"/>
    <w:rPr>
      <w:sz w:val="20"/>
      <w:szCs w:val="20"/>
    </w:rPr>
  </w:style>
  <w:style w:type="paragraph" w:styleId="para5">
    <w:name w:val="List Paragraph"/>
    <w:qFormat/>
    <w:basedOn w:val="para0"/>
    <w:pPr>
      <w:ind w:left="323"/>
      <w:spacing/>
      <w:jc w:val="both"/>
    </w:pPr>
  </w:style>
  <w:style w:type="paragraph" w:styleId="para6" w:customStyle="1">
    <w:name w:val="Table Paragraph"/>
    <w:qFormat/>
    <w:basedOn w:val="para0"/>
  </w:style>
  <w:style w:type="paragraph" w:styleId="para7">
    <w:name w:val="Head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8">
    <w:name w:val="Footer"/>
    <w:qFormat/>
    <w:basedOn w:val="para0"/>
    <w:pPr>
      <w:tabs defTabSz="720">
        <w:tab w:val="center" w:pos="4252" w:leader="none"/>
        <w:tab w:val="right" w:pos="8504" w:leader="none"/>
      </w:tabs>
    </w:pPr>
  </w:style>
  <w:style w:type="paragraph" w:styleId="para9">
    <w:name w:val="Balloon Text"/>
    <w:qFormat/>
    <w:basedOn w:val="para0"/>
    <w:rPr>
      <w:rFonts w:ascii="Segoe UI" w:hAnsi="Segoe UI" w:cs="Segoe UI"/>
      <w:sz w:val="18"/>
      <w:szCs w:val="18"/>
    </w:rPr>
  </w:style>
  <w:style w:type="character" w:styleId="char0" w:default="1">
    <w:name w:val="Default Paragraph Font"/>
  </w:style>
  <w:style w:type="character" w:styleId="char1" w:customStyle="1">
    <w:name w:val="Cabeçalho Char"/>
    <w:basedOn w:val="char0"/>
    <w:rPr>
      <w:rFonts w:ascii="Verdana" w:hAnsi="Verdana" w:eastAsia="Verdana" w:cs="Verdana"/>
      <w:lang w:val="pt-pt"/>
    </w:rPr>
  </w:style>
  <w:style w:type="character" w:styleId="char2" w:customStyle="1">
    <w:name w:val="Rodapé Char"/>
    <w:basedOn w:val="char0"/>
    <w:rPr>
      <w:rFonts w:ascii="Verdana" w:hAnsi="Verdana" w:eastAsia="Verdana" w:cs="Verdana"/>
      <w:lang w:val="pt-pt"/>
    </w:rPr>
  </w:style>
  <w:style w:type="character" w:styleId="char3" w:customStyle="1">
    <w:name w:val="Texto de balão Char"/>
    <w:basedOn w:val="char0"/>
    <w:rPr>
      <w:rFonts w:ascii="Segoe UI" w:hAnsi="Segoe UI" w:eastAsia="Verdana" w:cs="Segoe UI"/>
      <w:sz w:val="18"/>
      <w:szCs w:val="18"/>
      <w:lang w:val="pt-pt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 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Verdana"/>
        <a:ea typeface="Verdana"/>
        <a:cs typeface="Verdan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Maria Fernanda</cp:lastModifiedBy>
  <cp:revision>4</cp:revision>
  <cp:lastPrinted>2023-05-18T16:12:00Z</cp:lastPrinted>
  <dcterms:created xsi:type="dcterms:W3CDTF">2023-07-12T13:30:00Z</dcterms:created>
  <dcterms:modified xsi:type="dcterms:W3CDTF">2023-07-12T16:42:00Z</dcterms:modified>
</cp:coreProperties>
</file>