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4"/>
        <w:spacing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SECRETARIA MUNICIPAL DE CULTURA E TURISMO</w:t>
      </w:r>
    </w:p>
    <w:p>
      <w:pPr>
        <w:pStyle w:val="para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3"/>
        <w:ind w:left="1084" w:right="1796" w:firstLine="0"/>
        <w:spacing w:before="1"/>
        <w:jc w:val="center"/>
        <w:rPr>
          <w:rFonts w:ascii="Arial" w:hAnsi="Arial" w:cs="Arial"/>
          <w:sz w:val="22"/>
          <w:szCs w:val="22"/>
        </w:rPr>
      </w:pPr>
      <w:r/>
      <w:bookmarkStart w:id="0" w:name="ANEXO_I"/>
      <w:bookmarkEnd w:id="0"/>
      <w:r/>
      <w:r>
        <w:rPr>
          <w:rFonts w:ascii="Arial" w:hAnsi="Arial" w:cs="Arial"/>
          <w:sz w:val="22"/>
          <w:szCs w:val="22"/>
        </w:rPr>
        <w:t>ANEXO I</w:t>
      </w:r>
      <w:r>
        <w:rPr>
          <w:rFonts w:ascii="Arial" w:hAnsi="Arial" w:cs="Arial"/>
          <w:sz w:val="22"/>
          <w:szCs w:val="22"/>
        </w:rPr>
      </w:r>
    </w:p>
    <w:p>
      <w:pPr>
        <w:ind w:left="1084" w:right="1797"/>
        <w: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DISPENSA DE VALOR COM BASE NO ART. Nº 75, INCISO II DA LEI 14.133/2021</w:t>
      </w:r>
    </w:p>
    <w:p>
      <w:pPr>
        <w:pStyle w:val="para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</w:p>
    <w:p>
      <w:pPr>
        <w:ind w:left="2966" w:right="3679" w:firstLine="17"/>
        <w: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TERMO DE REFERÊNCIA </w:t>
      </w:r>
    </w:p>
    <w:p>
      <w:pPr>
        <w:ind w:left="2966" w:right="3679" w:firstLine="17"/>
        <w: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</w:p>
    <w:p>
      <w:pPr>
        <w:ind w:left="2966" w:right="3679" w:firstLine="17"/>
        <w: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PROCESSO Nº 170.16.122/2024</w:t>
      </w:r>
    </w:p>
    <w:p>
      <w:pPr>
        <w:ind w:left="2966" w:right="3679" w:firstLine="17"/>
        <w: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</w:p>
    <w:p>
      <w:pPr>
        <w:ind w:left="2966" w:right="3679" w:firstLine="17"/>
        <w: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DISPENSA Nº 122/2024</w:t>
      </w:r>
    </w:p>
    <w:p>
      <w:pPr>
        <w:ind w:left="2966" w:right="3679" w:firstLine="17"/>
        <w: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</w:p>
    <w:p>
      <w:pPr>
        <w:ind w:left="2966" w:right="3679" w:firstLine="17"/>
        <w: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</w:p>
    <w:p>
      <w:pPr>
        <w:pStyle w:val="para5"/>
        <w:numPr>
          <w:ilvl w:val="0"/>
          <w:numId w:val="1"/>
        </w:numPr>
        <w:ind w:left="810" w:hanging="489"/>
        <w:spacing/>
        <w:jc w:val="left"/>
        <w:tabs defTabSz="720">
          <w:tab w:val="left" w:pos="809" w:leader="none"/>
        </w:tabs>
        <w:rPr>
          <w:rFonts w:ascii="Arial" w:hAnsi="Arial" w:cs="Arial"/>
          <w:b/>
        </w:rPr>
      </w:pPr>
      <w:r/>
      <w:bookmarkStart w:id="1" w:name="2._DA_ESPECIFICAÇÃO_E_VALOR:"/>
      <w:bookmarkEnd w:id="1"/>
      <w:r/>
      <w:r>
        <w:rPr>
          <w:rFonts w:ascii="Arial" w:hAnsi="Arial" w:cs="Arial"/>
          <w:b/>
        </w:rPr>
        <w:t>OBJETO</w:t>
      </w:r>
      <w:r>
        <w:rPr>
          <w:rFonts w:ascii="Arial" w:hAnsi="Arial" w:cs="Arial"/>
          <w:b/>
        </w:rPr>
      </w:r>
    </w:p>
    <w:p>
      <w:pPr>
        <w:spacing/>
        <w:jc w:val="both"/>
        <w:tabs defTabSz="720">
          <w:tab w:val="left" w:pos="809" w:leader="none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</w:p>
    <w:p>
      <w:pPr>
        <w:spacing/>
        <w:jc w:val="both"/>
        <w:tabs defTabSz="720">
          <w:tab w:val="left" w:pos="809" w:leader="none"/>
        </w:tabs>
        <w:rPr>
          <w:rFonts w:ascii="Arial" w:hAnsi="Arial" w:cs="Arial"/>
        </w:rPr>
      </w:pPr>
      <w:r>
        <w:rPr>
          <w:rFonts w:ascii="Arial" w:hAnsi="Arial" w:cs="Arial"/>
        </w:rPr>
        <w:t>Constitui objeto do presente aviso de dispensa de licitação obter propostas adicionais de eventuais interessados para locação de Brinquedos Infláveis e Barraca de Pipoca e Algodão Doce, para eventos culturais.</w:t>
      </w:r>
    </w:p>
    <w:p>
      <w:pPr>
        <w:spacing/>
        <w:jc w:val="both"/>
        <w:tabs defTabSz="720">
          <w:tab w:val="left" w:pos="809" w:leader="none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</w:p>
    <w:p>
      <w:pPr>
        <w:tabs defTabSz="720">
          <w:tab w:val="left" w:pos="809" w:leader="none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</w:p>
    <w:tbl>
      <w:tblPr>
        <w:tblStyle w:val="NormalTable"/>
        <w:name w:val="Tabela1"/>
        <w:tabOrder w:val="0"/>
        <w:jc w:val="left"/>
        <w:tblInd w:w="225" w:type="dxa"/>
        <w:tblW w:w="9136" w:type="dxa"/>
        <w:tblLook w:val="0600" w:firstRow="0" w:lastRow="0" w:firstColumn="0" w:lastColumn="0" w:noHBand="1" w:noVBand="1"/>
      </w:tblPr>
      <w:tblGrid>
        <w:gridCol w:w="760"/>
        <w:gridCol w:w="3465"/>
        <w:gridCol w:w="802"/>
        <w:gridCol w:w="1053"/>
        <w:gridCol w:w="1451"/>
        <w:gridCol w:w="1605"/>
      </w:tblGrid>
      <w:tr>
        <w:trPr>
          <w:tblHeader w:val="0"/>
          <w:cantSplit w:val="0"/>
          <w:trHeight w:val="817" w:hRule="atLeast"/>
        </w:trPr>
        <w:tc>
          <w:tcPr>
            <w:tcW w:w="760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224"/>
              <w:spacing w:before="33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46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895"/>
              <w:spacing w:before="33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802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254"/>
              <w:spacing w:before="33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UNID</w:t>
            </w:r>
          </w:p>
        </w:tc>
        <w:tc>
          <w:tcPr>
            <w:tcW w:w="1053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199"/>
              <w:spacing w:before="33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QUANT.</w:t>
            </w:r>
          </w:p>
        </w:tc>
        <w:tc>
          <w:tcPr>
            <w:tcW w:w="1451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5" w:right="372"/>
              <w:spacing w:line="218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UNITÁRIO MÉDIO</w:t>
            </w:r>
          </w:p>
        </w:tc>
        <w:tc>
          <w:tcPr>
            <w:tcW w:w="160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447" w:right="392" w:hanging="15"/>
              <w:spacing w:before="33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>
        <w:trPr>
          <w:tblHeader w:val="0"/>
          <w:cantSplit w:val="0"/>
          <w:trHeight w:val="242" w:hRule="atLeast"/>
        </w:trPr>
        <w:tc>
          <w:tcPr>
            <w:tcW w:w="760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spacing/>
              <w:jc w:val="center"/>
            </w:pPr>
            <w:r>
              <w:t>01</w:t>
            </w:r>
          </w:p>
        </w:tc>
        <w:tc>
          <w:tcPr>
            <w:tcW w:w="346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4"/>
              <w:ind w:left="323" w:right="1026"/>
              <w:spacing w:before="37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TOBOGA GIGANTE</w:t>
            </w:r>
          </w:p>
        </w:tc>
        <w:tc>
          <w:tcPr>
            <w:tcW w:w="802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/>
            <w:r>
              <w:t>SV</w:t>
            </w:r>
          </w:p>
        </w:tc>
        <w:tc>
          <w:tcPr>
            <w:tcW w:w="1053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/>
            <w:r>
              <w:t>1</w:t>
            </w:r>
          </w:p>
        </w:tc>
        <w:tc>
          <w:tcPr>
            <w:tcW w:w="1451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22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1.200,00</w:t>
            </w:r>
          </w:p>
        </w:tc>
        <w:tc>
          <w:tcPr>
            <w:tcW w:w="160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1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1.200,00</w:t>
            </w:r>
          </w:p>
        </w:tc>
      </w:tr>
      <w:tr>
        <w:trPr>
          <w:tblHeader w:val="0"/>
          <w:cantSplit w:val="0"/>
          <w:trHeight w:val="153" w:hRule="atLeast"/>
        </w:trPr>
        <w:tc>
          <w:tcPr>
            <w:tcW w:w="760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spacing/>
              <w:jc w:val="center"/>
            </w:pPr>
            <w:r>
              <w:t>02</w:t>
            </w:r>
          </w:p>
        </w:tc>
        <w:tc>
          <w:tcPr>
            <w:tcW w:w="346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4"/>
              <w:ind w:left="323" w:right="1026"/>
              <w:spacing w:before="37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BALÃO BOLHA</w:t>
            </w:r>
          </w:p>
        </w:tc>
        <w:tc>
          <w:tcPr>
            <w:tcW w:w="802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/>
            <w:r>
              <w:t>SV</w:t>
            </w:r>
          </w:p>
        </w:tc>
        <w:tc>
          <w:tcPr>
            <w:tcW w:w="1053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51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22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1.200,00</w:t>
            </w:r>
          </w:p>
        </w:tc>
        <w:tc>
          <w:tcPr>
            <w:tcW w:w="160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1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1.200,00</w:t>
            </w:r>
          </w:p>
        </w:tc>
      </w:tr>
      <w:tr>
        <w:trPr>
          <w:tblHeader w:val="0"/>
          <w:cantSplit w:val="0"/>
          <w:trHeight w:val="114" w:hRule="atLeast"/>
        </w:trPr>
        <w:tc>
          <w:tcPr>
            <w:tcW w:w="760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spacing/>
              <w:jc w:val="center"/>
            </w:pPr>
            <w:r>
              <w:t>03</w:t>
            </w:r>
          </w:p>
        </w:tc>
        <w:tc>
          <w:tcPr>
            <w:tcW w:w="346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4"/>
              <w:ind w:left="323" w:right="1026"/>
              <w:spacing w:before="37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FUTEBOL DE SABÃO</w:t>
            </w:r>
          </w:p>
        </w:tc>
        <w:tc>
          <w:tcPr>
            <w:tcW w:w="802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/>
            <w:r>
              <w:t>SV</w:t>
            </w:r>
          </w:p>
        </w:tc>
        <w:tc>
          <w:tcPr>
            <w:tcW w:w="1053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51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22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2.000,00</w:t>
            </w:r>
          </w:p>
        </w:tc>
        <w:tc>
          <w:tcPr>
            <w:tcW w:w="160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1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2.000,00</w:t>
            </w:r>
          </w:p>
        </w:tc>
      </w:tr>
      <w:tr>
        <w:trPr>
          <w:tblHeader w:val="0"/>
          <w:cantSplit w:val="0"/>
          <w:trHeight w:val="470" w:hRule="atLeast"/>
        </w:trPr>
        <w:tc>
          <w:tcPr>
            <w:tcW w:w="760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spacing/>
              <w:jc w:val="center"/>
            </w:pPr>
            <w:r>
              <w:t>04</w:t>
            </w:r>
          </w:p>
        </w:tc>
        <w:tc>
          <w:tcPr>
            <w:tcW w:w="346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4"/>
              <w:ind w:left="323" w:right="1026"/>
              <w:spacing w:before="37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GUERRA DE COTONETE</w:t>
            </w:r>
          </w:p>
        </w:tc>
        <w:tc>
          <w:tcPr>
            <w:tcW w:w="802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/>
            <w:r>
              <w:t>SV</w:t>
            </w:r>
          </w:p>
        </w:tc>
        <w:tc>
          <w:tcPr>
            <w:tcW w:w="1053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51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22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1.000,00</w:t>
            </w:r>
          </w:p>
        </w:tc>
        <w:tc>
          <w:tcPr>
            <w:tcW w:w="160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1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1.000,00</w:t>
            </w:r>
          </w:p>
        </w:tc>
      </w:tr>
      <w:tr>
        <w:trPr>
          <w:tblHeader w:val="0"/>
          <w:cantSplit w:val="0"/>
          <w:trHeight w:val="362" w:hRule="atLeast"/>
        </w:trPr>
        <w:tc>
          <w:tcPr>
            <w:tcW w:w="760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spacing/>
              <w:jc w:val="center"/>
            </w:pPr>
            <w:r>
              <w:t>05</w:t>
            </w:r>
          </w:p>
        </w:tc>
        <w:tc>
          <w:tcPr>
            <w:tcW w:w="346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4"/>
              <w:ind w:left="323" w:right="1026"/>
              <w:spacing w:before="37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CAMA ELÁSTICA</w:t>
            </w:r>
          </w:p>
        </w:tc>
        <w:tc>
          <w:tcPr>
            <w:tcW w:w="802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/>
            <w:r>
              <w:t>SV</w:t>
            </w:r>
          </w:p>
        </w:tc>
        <w:tc>
          <w:tcPr>
            <w:tcW w:w="1053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/>
            <w:r>
              <w:t>1</w:t>
            </w:r>
          </w:p>
        </w:tc>
        <w:tc>
          <w:tcPr>
            <w:tcW w:w="1451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22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734,00</w:t>
            </w:r>
          </w:p>
        </w:tc>
        <w:tc>
          <w:tcPr>
            <w:tcW w:w="160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1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734,00</w:t>
            </w:r>
          </w:p>
        </w:tc>
      </w:tr>
      <w:tr>
        <w:trPr>
          <w:tblHeader w:val="0"/>
          <w:cantSplit w:val="0"/>
          <w:trHeight w:val="490" w:hRule="atLeast"/>
        </w:trPr>
        <w:tc>
          <w:tcPr>
            <w:tcW w:w="760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spacing/>
              <w:jc w:val="center"/>
            </w:pPr>
            <w:r>
              <w:t>06</w:t>
            </w:r>
          </w:p>
        </w:tc>
        <w:tc>
          <w:tcPr>
            <w:tcW w:w="346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/>
            <w:r>
              <w:t>BARRACA DE ALGODÃO DOCE</w:t>
            </w:r>
          </w:p>
        </w:tc>
        <w:tc>
          <w:tcPr>
            <w:tcW w:w="802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/>
            <w:r>
              <w:t>SV</w:t>
            </w:r>
          </w:p>
        </w:tc>
        <w:tc>
          <w:tcPr>
            <w:tcW w:w="1053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51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22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1.000,00</w:t>
            </w:r>
          </w:p>
        </w:tc>
        <w:tc>
          <w:tcPr>
            <w:tcW w:w="160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1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1.000,00</w:t>
            </w:r>
          </w:p>
        </w:tc>
      </w:tr>
      <w:tr>
        <w:trPr>
          <w:tblHeader w:val="0"/>
          <w:cantSplit w:val="0"/>
          <w:trHeight w:val="70" w:hRule="atLeast"/>
        </w:trPr>
        <w:tc>
          <w:tcPr>
            <w:tcW w:w="760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spacing/>
              <w:jc w:val="center"/>
            </w:pPr>
            <w:r>
              <w:t>07</w:t>
            </w:r>
          </w:p>
        </w:tc>
        <w:tc>
          <w:tcPr>
            <w:tcW w:w="346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4"/>
              <w:ind w:left="323" w:right="1026"/>
              <w:spacing w:before="37" w:line="288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BARRACA DE PIPOCA</w:t>
            </w:r>
          </w:p>
        </w:tc>
        <w:tc>
          <w:tcPr>
            <w:tcW w:w="802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/>
            <w:r>
              <w:t>SV</w:t>
            </w:r>
          </w:p>
        </w:tc>
        <w:tc>
          <w:tcPr>
            <w:tcW w:w="1053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/>
            <w:r>
              <w:t>1</w:t>
            </w:r>
          </w:p>
        </w:tc>
        <w:tc>
          <w:tcPr>
            <w:tcW w:w="1451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22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1.000,00</w:t>
            </w:r>
          </w:p>
        </w:tc>
        <w:tc>
          <w:tcPr>
            <w:tcW w:w="1605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1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1.000,00</w:t>
            </w:r>
          </w:p>
        </w:tc>
      </w:tr>
      <w:tr>
        <w:trPr>
          <w:tblHeader w:val="0"/>
          <w:cantSplit w:val="0"/>
          <w:trHeight w:val="267" w:hRule="atLeast"/>
        </w:trPr>
        <w:tc>
          <w:tcPr>
            <w:tcW w:w="6080" w:type="dxa"/>
            <w:gridSpan w:val="4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6"/>
              <w:ind w:left="5"/>
              <w:spacing w:before="12" w:line="235" w:lineRule="exac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TOTAL MÉDIO</w:t>
            </w:r>
          </w:p>
        </w:tc>
        <w:tc>
          <w:tcPr>
            <w:tcW w:w="3056" w:type="dxa"/>
            <w:gridSpan w:val="2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27101879" protected="0"/>
          </w:tcPr>
          <w:p>
            <w:pPr>
              <w:pStyle w:val="para4"/>
              <w:spacing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R$ 8.134,00</w:t>
            </w:r>
          </w:p>
        </w:tc>
      </w:tr>
    </w:tbl>
    <w:p>
      <w:pPr>
        <w:tabs defTabSz="720">
          <w:tab w:val="left" w:pos="809" w:leader="none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</w:p>
    <w:p>
      <w:pPr>
        <w:tabs defTabSz="720">
          <w:tab w:val="left" w:pos="809" w:leader="none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</w:p>
    <w:p>
      <w:pPr>
        <w:pStyle w:val="para5"/>
        <w:numPr>
          <w:ilvl w:val="0"/>
          <w:numId w:val="1"/>
        </w:numPr>
        <w:ind w:left="810" w:hanging="489"/>
        <w:spacing/>
        <w:jc w:val="left"/>
        <w:tabs defTabSz="720">
          <w:tab w:val="left" w:pos="809" w:leader="none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>
        <w:rPr>
          <w:rFonts w:ascii="Arial" w:hAnsi="Arial" w:cs="Arial"/>
          <w:b/>
          <w:spacing w:val="-5"/>
        </w:rPr>
        <w:t xml:space="preserve"> </w:t>
      </w:r>
      <w:r>
        <w:rPr>
          <w:rFonts w:ascii="Arial" w:hAnsi="Arial" w:cs="Arial"/>
          <w:b/>
        </w:rPr>
        <w:t>JUSTIFICATIVA</w:t>
      </w:r>
    </w:p>
    <w:p>
      <w:pPr>
        <w:ind w:left="323" w:right="1037" w:firstLine="284"/>
        <w:spacing w:line="288" w:lineRule="auto"/>
        <w:jc w:val="both"/>
        <w:tabs defTabSz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Times New Roman" w:cs="Arial"/>
          <w:kern w:val="1"/>
          <w:sz w:val="20"/>
          <w:szCs w:val="20"/>
          <w:shd w:val="clear" w:fill="fafbfc"/>
          <w:lang w:eastAsia="zh-cn"/>
        </w:rPr>
      </w:pPr>
      <w:r>
        <w:rPr>
          <w:rFonts w:ascii="Arial" w:hAnsi="Arial" w:eastAsia="Times New Roman" w:cs="Arial"/>
          <w:kern w:val="1"/>
          <w:sz w:val="20"/>
          <w:szCs w:val="20"/>
          <w:lang w:eastAsia="zh-cn"/>
        </w:rPr>
        <w:t>O objeto do presente termo é importante para a realização de  eventos culturais promovidos pela Secretaraia Municipal da Cultura, sendo este um evento aberto ao público proporcionando aos munícipes,principalmente às crianças, recreação e diversão, ressaltando</w:t>
      </w:r>
      <w:r>
        <w:rPr>
          <w:rFonts w:ascii="Arial" w:hAnsi="Arial" w:eastAsia="Times New Roman" w:cs="Arial"/>
          <w:color w:val="3a4f66"/>
          <w:kern w:val="1"/>
          <w:sz w:val="20"/>
          <w:szCs w:val="20"/>
          <w:shd w:val="clear" w:fill="fafbfc"/>
          <w:lang w:eastAsia="zh-cn"/>
        </w:rPr>
        <w:t xml:space="preserve"> </w:t>
      </w:r>
      <w:r>
        <w:rPr>
          <w:rFonts w:ascii="Arial" w:hAnsi="Arial" w:eastAsia="Times New Roman" w:cs="Arial"/>
          <w:kern w:val="1"/>
          <w:sz w:val="20"/>
          <w:szCs w:val="20"/>
          <w:shd w:val="clear" w:fill="fafbfc"/>
          <w:lang w:eastAsia="zh-cn"/>
        </w:rPr>
        <w:t>a importância do brincar para o desenvolvimento integral da criança, destaca-se então que ela está em uma constante fase de crescimento, agindo, interagindo e transformando o mundo, portanto na infância é fundamental que a criança aprenda a brincar, pois é através do brincar que a criança desenvolve, constrói pensamentos e seu próprio jeito de ver o mundo, aprendendo a interagir com a realidade, sendo capaz de se comunicar,  expressar sentimentos de alegria, tristeza, angústia, sempre partindo do brincar, pois é através do brincar que a criança desenvolve habilidades psicomotoras, sociais, físicas, afetivas e cognitivas.</w:t>
      </w:r>
    </w:p>
    <w:p>
      <w:pPr>
        <w:pStyle w:val="para4"/>
        <w:spacing w:before="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5"/>
        <w:numPr>
          <w:ilvl w:val="0"/>
          <w:numId w:val="1"/>
        </w:numPr>
        <w:ind w:left="878" w:hanging="557"/>
        <w:spacing/>
        <w:jc w:val="left"/>
        <w:tabs defTabSz="720">
          <w:tab w:val="left" w:pos="877" w:leader="none"/>
        </w:tabs>
        <w:rPr>
          <w:rFonts w:ascii="Arial" w:hAnsi="Arial" w:cs="Arial"/>
          <w:b/>
        </w:rPr>
      </w:pPr>
      <w:r/>
      <w:bookmarkStart w:id="2" w:name="4.__DA_EXECUÇÃO_E_PRODUÇÃO_DOS_ITENS"/>
      <w:bookmarkEnd w:id="2"/>
      <w:r/>
      <w:r>
        <w:rPr>
          <w:rFonts w:ascii="Arial" w:hAnsi="Arial" w:cs="Arial"/>
          <w:b/>
        </w:rPr>
        <w:t>DA EXECUÇÃO E PRODUÇÃO DOS</w:t>
      </w:r>
      <w:r>
        <w:rPr>
          <w:rFonts w:ascii="Arial" w:hAnsi="Arial" w:cs="Arial"/>
          <w:b/>
          <w:spacing w:val="-13"/>
        </w:rPr>
        <w:t xml:space="preserve"> </w:t>
      </w:r>
      <w:r>
        <w:rPr>
          <w:rFonts w:ascii="Arial" w:hAnsi="Arial" w:cs="Arial"/>
          <w:b/>
        </w:rPr>
        <w:t>ITENS</w:t>
      </w:r>
      <w:r>
        <w:rPr>
          <w:rFonts w:ascii="Arial" w:hAnsi="Arial" w:cs="Arial"/>
          <w:b/>
        </w:rPr>
      </w:r>
    </w:p>
    <w:p>
      <w:pPr>
        <w:pStyle w:val="para4"/>
        <w:ind w:left="323" w:right="30" w:firstLine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Deverá a empresa contratada entregar o objeto da presente em local determinado pelo município e pelo período de 08:00 horas, após o recebimento da Autorização de fornecimento .</w:t>
      </w:r>
    </w:p>
    <w:p>
      <w:pPr>
        <w:pStyle w:val="para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3"/>
        <w:numPr>
          <w:ilvl w:val="0"/>
          <w:numId w:val="1"/>
        </w:numPr>
        <w:ind w:left="891" w:hanging="506"/>
        <w:tabs defTabSz="720">
          <w:tab w:val="left" w:pos="890" w:leader="none"/>
        </w:tabs>
        <w:rPr>
          <w:rFonts w:ascii="Arial" w:hAnsi="Arial" w:cs="Arial"/>
          <w:sz w:val="22"/>
          <w:szCs w:val="22"/>
        </w:rPr>
      </w:pPr>
      <w:r/>
      <w:bookmarkStart w:id="3" w:name="5._DAS_CONDIÇÕES_DE_PAGAMENTO"/>
      <w:bookmarkEnd w:id="3"/>
      <w:r/>
      <w:r>
        <w:rPr>
          <w:rFonts w:ascii="Arial" w:hAnsi="Arial" w:cs="Arial"/>
          <w:sz w:val="22"/>
          <w:szCs w:val="22"/>
        </w:rPr>
        <w:t>DAS CONDIÇÕES DE</w:t>
      </w:r>
      <w:r>
        <w:rPr>
          <w:rFonts w:ascii="Arial" w:hAnsi="Arial" w:cs="Arial"/>
          <w:spacing w:val="-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PAGAMENTO</w:t>
      </w:r>
      <w:r>
        <w:rPr>
          <w:rFonts w:ascii="Arial" w:hAnsi="Arial" w:cs="Arial"/>
          <w:sz w:val="22"/>
          <w:szCs w:val="22"/>
        </w:rPr>
      </w:r>
    </w:p>
    <w:p>
      <w:pPr>
        <w:pStyle w:val="para4"/>
        <w:ind w:left="100" w:right="1037" w:firstLine="284"/>
        <w:spacing w:before="38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pagamento ocorrerá em até 30 (trinta) dias da emissão da nota fiscal, após ateste do setor competente, nos termos da Lei Federal nº 14.133/2021.</w:t>
      </w:r>
    </w:p>
    <w:p>
      <w:pPr>
        <w:pStyle w:val="para4"/>
        <w:ind w:left="100" w:right="1035" w:firstLine="284"/>
        <w:spacing w:before="185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inadimplência da Contratada com relação aos encargos sociais, trabalhistas, fiscais e comerciais ou indenizações não transfere à Contratante a responsabilidade por seu pagamento, nem poderá onerar o</w:t>
      </w:r>
      <w:r>
        <w:rPr>
          <w:rFonts w:ascii="Arial" w:hAnsi="Arial" w:cs="Arial"/>
          <w:spacing w:val="3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objeto.contratado, de acordo com o artigo 121, parágrafo único, da Lei Federal nº.</w:t>
      </w:r>
      <w:r>
        <w:rPr>
          <w:rFonts w:ascii="Arial" w:hAnsi="Arial" w:cs="Arial"/>
          <w:spacing w:val="-4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14.133/2021.</w:t>
      </w:r>
    </w:p>
    <w:p>
      <w:pPr>
        <w:pStyle w:val="para4"/>
        <w:spacing w:before="1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3"/>
        <w:numPr>
          <w:ilvl w:val="0"/>
          <w:numId w:val="1"/>
        </w:numPr>
        <w:ind w:left="810" w:hanging="489"/>
        <w:spacing w:line="287" w:lineRule="exact"/>
        <w:tabs defTabSz="720">
          <w:tab w:val="left" w:pos="809" w:leader="none"/>
        </w:tabs>
        <w:rPr>
          <w:rFonts w:ascii="Arial" w:hAnsi="Arial" w:cs="Arial"/>
          <w:sz w:val="22"/>
          <w:szCs w:val="22"/>
        </w:rPr>
      </w:pPr>
      <w:r/>
      <w:bookmarkStart w:id="4" w:name="A_entrega_dos_produtos_será_realizada_no"/>
      <w:bookmarkEnd w:id="4"/>
      <w:r/>
      <w:bookmarkStart w:id="5" w:name="6._DO_LOCAL_DE_ENTREGA_DOS_PRODUTOS_ADQU"/>
      <w:bookmarkEnd w:id="5"/>
      <w:r/>
      <w:r>
        <w:rPr>
          <w:rFonts w:ascii="Arial" w:hAnsi="Arial" w:cs="Arial"/>
          <w:sz w:val="22"/>
          <w:szCs w:val="22"/>
        </w:rPr>
        <w:t>DO LOCAL DE ENTREGA DOS PRODUTOS</w:t>
      </w:r>
      <w:r>
        <w:rPr>
          <w:rFonts w:ascii="Arial" w:hAnsi="Arial" w:cs="Arial"/>
          <w:spacing w:val="-1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ADQUIRIDOS</w:t>
      </w:r>
      <w:r>
        <w:rPr>
          <w:rFonts w:ascii="Arial" w:hAnsi="Arial" w:cs="Arial"/>
          <w:sz w:val="22"/>
          <w:szCs w:val="22"/>
        </w:rPr>
      </w:r>
    </w:p>
    <w:p>
      <w:pPr>
        <w:pStyle w:val="para4"/>
        <w:ind w:left="100" w:right="881" w:firstLine="284"/>
        <w: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entrega dos produtos será realizada em locais e horários determinados pela Secretaria Municipal da Cultura, constante na Autorização de Fornecimento.</w:t>
      </w:r>
    </w:p>
    <w:p>
      <w:pPr>
        <w:pStyle w:val="para4"/>
        <w:spacing w:before="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3"/>
        <w:numPr>
          <w:ilvl w:val="0"/>
          <w:numId w:val="1"/>
        </w:numPr>
        <w:ind w:left="810" w:hanging="489"/>
        <w:spacing w:before="1"/>
        <w:tabs defTabSz="720">
          <w:tab w:val="left" w:pos="809" w:leader="none"/>
        </w:tabs>
        <w:rPr>
          <w:rFonts w:ascii="Arial" w:hAnsi="Arial" w:cs="Arial"/>
          <w:sz w:val="22"/>
          <w:szCs w:val="22"/>
        </w:rPr>
      </w:pPr>
      <w:r/>
      <w:bookmarkStart w:id="6" w:name="7._DO_PRAZO_DE_ENTREGA_DOS_PRODUTOS_E_DA"/>
      <w:bookmarkEnd w:id="6"/>
      <w:r/>
      <w:r>
        <w:rPr>
          <w:rFonts w:ascii="Arial" w:hAnsi="Arial" w:cs="Arial"/>
          <w:sz w:val="22"/>
          <w:szCs w:val="22"/>
        </w:rPr>
        <w:t>DO PRAZO DE ENTREGA DOS PRODUTOS E DA</w:t>
      </w:r>
      <w:r>
        <w:rPr>
          <w:rFonts w:ascii="Arial" w:hAnsi="Arial" w:cs="Arial"/>
          <w:spacing w:val="-2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VIGÊNCIA</w:t>
      </w:r>
      <w:r>
        <w:rPr>
          <w:rFonts w:ascii="Arial" w:hAnsi="Arial" w:cs="Arial"/>
          <w:sz w:val="22"/>
          <w:szCs w:val="22"/>
        </w:rPr>
      </w:r>
    </w:p>
    <w:p>
      <w:pPr>
        <w:pStyle w:val="para4"/>
        <w:ind w:left="100" w:right="1032" w:firstLine="284"/>
        <w:spacing w:before="37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prazo de vigência para a entrega dos produtos será em até 02 (dois) dias sendo total e imediata após o recebimento da Autorização de Fornecimento, a contar da assinatura deste instrumento, limitando-se aos devidos créditos orçamentários, nos termos do art. 105 e 106 da Lei Federal 14.133/2021, podendo ser prorrogado por igual período nos termos do disposto no art. 107 da referida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norma.</w:t>
      </w:r>
    </w:p>
    <w:p>
      <w:pPr>
        <w:pStyle w:val="para4"/>
        <w:spacing w:before="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3"/>
        <w:numPr>
          <w:ilvl w:val="0"/>
          <w:numId w:val="1"/>
        </w:numPr>
        <w:ind w:left="810" w:hanging="489"/>
        <w:tabs defTabSz="720">
          <w:tab w:val="left" w:pos="809" w:leader="none"/>
        </w:tabs>
        <w:rPr>
          <w:rFonts w:ascii="Arial" w:hAnsi="Arial" w:cs="Arial"/>
          <w:sz w:val="22"/>
          <w:szCs w:val="22"/>
        </w:rPr>
      </w:pPr>
      <w:r/>
      <w:bookmarkStart w:id="7" w:name="8._OBRIGAÇÕES_DA_CONTRATANTE"/>
      <w:bookmarkEnd w:id="7"/>
      <w:r/>
      <w:r>
        <w:rPr>
          <w:rFonts w:ascii="Arial" w:hAnsi="Arial" w:cs="Arial"/>
          <w:sz w:val="22"/>
          <w:szCs w:val="22"/>
        </w:rPr>
        <w:t>OBRIGAÇÕES DA</w:t>
      </w:r>
      <w:r>
        <w:rPr>
          <w:rFonts w:ascii="Arial" w:hAnsi="Arial" w:cs="Arial"/>
          <w:spacing w:val="-1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CONTRATANTE</w:t>
      </w:r>
      <w:r>
        <w:rPr>
          <w:rFonts w:ascii="Arial" w:hAnsi="Arial" w:cs="Arial"/>
          <w:sz w:val="22"/>
          <w:szCs w:val="22"/>
        </w:rPr>
      </w:r>
    </w:p>
    <w:p>
      <w:pPr>
        <w:pStyle w:val="para4"/>
        <w:ind w:left="100" w:right="878" w:firstLine="284"/>
        <w:spacing w:before="38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Supervisionar a entrega da prestação do objeto, promovendo o acompanhamento e afiscalização sob os aspectos quantitativos e qualitativos.</w:t>
      </w:r>
    </w:p>
    <w:p>
      <w:pPr>
        <w:pStyle w:val="para5"/>
        <w:numPr>
          <w:ilvl w:val="0"/>
          <w:numId w:val="3"/>
        </w:numPr>
        <w:ind w:left="323" w:right="1032" w:firstLine="0"/>
        <w:spacing w:line="288" w:lineRule="auto"/>
        <w:tabs defTabSz="720">
          <w:tab w:val="left" w:pos="655" w:leader="none"/>
        </w:tabs>
        <w:rPr>
          <w:rFonts w:ascii="Arial" w:hAnsi="Arial" w:cs="Arial"/>
        </w:rPr>
      </w:pPr>
      <w:r>
        <w:rPr>
          <w:rFonts w:ascii="Arial" w:hAnsi="Arial" w:cs="Arial"/>
        </w:rPr>
        <w:t>Notificar, por escrito e verbalmente, à  CONTRATADA  sobre  a  ocorrência de eventuais imperfeições no curso de prestação do objeto, fixando prazo para a sua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correção.</w:t>
      </w:r>
    </w:p>
    <w:p>
      <w:pPr>
        <w:pStyle w:val="para5"/>
        <w:numPr>
          <w:ilvl w:val="0"/>
          <w:numId w:val="3"/>
        </w:numPr>
        <w:ind w:left="323" w:right="1039" w:firstLine="0"/>
        <w:spacing w:before="2" w:line="288" w:lineRule="auto"/>
        <w:tabs defTabSz="720">
          <w:tab w:val="left" w:pos="607" w:leader="none"/>
        </w:tabs>
        <w:rPr>
          <w:rFonts w:ascii="Arial" w:hAnsi="Arial" w:cs="Arial"/>
        </w:rPr>
      </w:pPr>
      <w:r>
        <w:rPr>
          <w:rFonts w:ascii="Arial" w:hAnsi="Arial" w:cs="Arial"/>
        </w:rPr>
        <w:t>Proporcionar todas as  facilidades  para  que  a  CONTRATADA  possa  cumprir suas obrigaçõesdentro das normas e condições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contratuais.</w:t>
      </w:r>
    </w:p>
    <w:p>
      <w:pPr>
        <w:pStyle w:val="para5"/>
        <w:numPr>
          <w:ilvl w:val="0"/>
          <w:numId w:val="3"/>
        </w:numPr>
        <w:ind w:left="323" w:right="1037" w:firstLine="0"/>
        <w:spacing w:line="288" w:lineRule="auto"/>
        <w:tabs defTabSz="720">
          <w:tab w:val="left" w:pos="565" w:leader="none"/>
        </w:tabs>
        <w:rPr>
          <w:rFonts w:ascii="Arial" w:hAnsi="Arial" w:cs="Arial"/>
        </w:rPr>
      </w:pPr>
      <w:r>
        <w:rPr>
          <w:rFonts w:ascii="Arial" w:hAnsi="Arial" w:cs="Arial"/>
        </w:rPr>
        <w:t>Prestar à CONTRATADA todas as informações solicitadas e necessárias para  o cumprimento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doobjeto;</w:t>
      </w:r>
    </w:p>
    <w:p>
      <w:pPr>
        <w:pStyle w:val="para5"/>
        <w:numPr>
          <w:ilvl w:val="0"/>
          <w:numId w:val="3"/>
        </w:numPr>
        <w:ind w:left="323" w:right="1039" w:firstLine="0"/>
        <w:spacing w:line="288" w:lineRule="auto"/>
        <w:tabs defTabSz="720">
          <w:tab w:val="left" w:pos="566" w:leader="none"/>
        </w:tabs>
        <w:rPr>
          <w:rFonts w:ascii="Arial" w:hAnsi="Arial" w:cs="Arial"/>
        </w:rPr>
      </w:pPr>
      <w:r>
        <w:rPr>
          <w:rFonts w:ascii="Arial" w:hAnsi="Arial" w:cs="Arial"/>
        </w:rPr>
        <w:t>Rejeitar, no todo ou em parte, os serviços prestados em desacordo com as obrigações assumidas pela empresa na sua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proposta.</w:t>
      </w:r>
    </w:p>
    <w:p>
      <w:pPr>
        <w:pStyle w:val="para5"/>
        <w:numPr>
          <w:ilvl w:val="0"/>
          <w:numId w:val="3"/>
        </w:numPr>
        <w:ind w:left="323" w:right="1033" w:firstLine="0"/>
        <w:spacing w:before="1" w:line="288" w:lineRule="auto"/>
        <w:tabs defTabSz="720">
          <w:tab w:val="left" w:pos="575" w:leader="none"/>
        </w:tabs>
        <w:rPr>
          <w:rFonts w:ascii="Arial" w:hAnsi="Arial" w:cs="Arial"/>
        </w:rPr>
      </w:pPr>
      <w:r>
        <w:rPr>
          <w:rFonts w:ascii="Arial" w:hAnsi="Arial" w:cs="Arial"/>
        </w:rPr>
        <w:t>Colocar à disposição da CONTRATADA os elementos e informações necessárias à execução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doobjeto;</w:t>
      </w:r>
    </w:p>
    <w:p>
      <w:pPr>
        <w:pStyle w:val="para5"/>
        <w:numPr>
          <w:ilvl w:val="0"/>
          <w:numId w:val="3"/>
        </w:numPr>
        <w:ind w:left="323" w:right="1037" w:firstLine="0"/>
        <w:spacing w:line="288" w:lineRule="auto"/>
        <w:tabs defTabSz="720">
          <w:tab w:val="left" w:pos="532" w:leader="none"/>
        </w:tabs>
        <w:rPr>
          <w:rFonts w:ascii="Arial" w:hAnsi="Arial" w:cs="Arial"/>
        </w:rPr>
      </w:pPr>
      <w:r>
        <w:rPr>
          <w:rFonts w:ascii="Arial" w:hAnsi="Arial" w:cs="Arial"/>
        </w:rPr>
        <w:t>Não permitir que o pessoal da CONTRATADA execute tarefas em desacordo com as</w:t>
      </w:r>
      <w:r>
        <w:rPr>
          <w:rFonts w:ascii="Arial" w:hAnsi="Arial" w:cs="Arial"/>
          <w:spacing w:val="-19"/>
        </w:rPr>
        <w:t xml:space="preserve"> </w:t>
      </w:r>
      <w:r>
        <w:rPr>
          <w:rFonts w:ascii="Arial" w:hAnsi="Arial" w:cs="Arial"/>
        </w:rPr>
        <w:t>condiçõespreestabelecidas.</w:t>
      </w:r>
    </w:p>
    <w:p>
      <w:pPr>
        <w:pStyle w:val="para5"/>
        <w:numPr>
          <w:ilvl w:val="0"/>
          <w:numId w:val="3"/>
        </w:numPr>
        <w:ind w:left="555" w:right="879" w:hanging="233"/>
        <w:tabs defTabSz="720">
          <w:tab w:val="left" w:pos="555" w:leader="none"/>
        </w:tabs>
        <w:rPr>
          <w:rFonts w:ascii="Arial" w:hAnsi="Arial" w:cs="Arial"/>
        </w:rPr>
      </w:pPr>
      <w:r>
        <w:rPr>
          <w:rFonts w:ascii="Arial" w:hAnsi="Arial" w:cs="Arial"/>
        </w:rPr>
        <w:t>Responsabilizar-se pela comunicação, em tempo hábil, dos serviços a serem prestados.</w:t>
      </w:r>
    </w:p>
    <w:p>
      <w:pPr>
        <w:pStyle w:val="para5"/>
        <w:numPr>
          <w:ilvl w:val="0"/>
          <w:numId w:val="3"/>
        </w:numPr>
        <w:ind w:left="323" w:right="1035" w:firstLine="0"/>
        <w:spacing w:before="1" w:line="288" w:lineRule="auto"/>
        <w:tabs defTabSz="720">
          <w:tab w:val="left" w:pos="810" w:leader="none"/>
        </w:tabs>
        <w:rPr>
          <w:rFonts w:ascii="Arial" w:hAnsi="Arial" w:cs="Arial"/>
        </w:rPr>
      </w:pPr>
      <w:r>
        <w:rPr>
          <w:rFonts w:ascii="Arial" w:hAnsi="Arial" w:cs="Arial"/>
        </w:rPr>
        <w:t>Efetuar, quando julgar necessário, inspeção e vistoria dos serviços prestados, ou já previamente em execução, colocados à sua disposição, com a finalidade de verificar as condições em perfeitaconcordância com a proposta e o Presente instrumento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Contratual.</w:t>
      </w:r>
    </w:p>
    <w:p>
      <w:pPr>
        <w:pStyle w:val="para5"/>
        <w:numPr>
          <w:ilvl w:val="0"/>
          <w:numId w:val="3"/>
        </w:numPr>
        <w:ind w:left="323" w:right="1041" w:firstLine="0"/>
        <w:spacing w:line="288" w:lineRule="auto"/>
        <w:tabs defTabSz="720">
          <w:tab w:val="left" w:pos="560" w:leader="none"/>
        </w:tabs>
        <w:rPr>
          <w:rFonts w:ascii="Arial" w:hAnsi="Arial" w:cs="Arial"/>
        </w:rPr>
      </w:pPr>
      <w:r>
        <w:rPr>
          <w:rFonts w:ascii="Arial" w:hAnsi="Arial" w:cs="Arial"/>
        </w:rPr>
        <w:t>Aplicar multas ou penalidades, quando do não cumprimento do contrato ou ações previstas neste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Termo;</w:t>
      </w:r>
    </w:p>
    <w:p>
      <w:pPr>
        <w:pStyle w:val="para5"/>
        <w:numPr>
          <w:ilvl w:val="0"/>
          <w:numId w:val="3"/>
        </w:numPr>
        <w:ind w:left="488" w:right="878" w:hanging="166"/>
        <w:spacing w:before="1"/>
        <w:tabs defTabSz="720">
          <w:tab w:val="left" w:pos="488" w:leader="none"/>
        </w:tabs>
        <w:rPr>
          <w:rFonts w:ascii="Arial" w:hAnsi="Arial" w:cs="Arial"/>
        </w:rPr>
      </w:pPr>
      <w:r>
        <w:rPr>
          <w:rFonts w:ascii="Arial" w:hAnsi="Arial" w:cs="Arial"/>
        </w:rPr>
        <w:t>Fazer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>deduzir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diretamente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fonte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multas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demais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penalidades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previstas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neste instrumento;</w:t>
      </w:r>
    </w:p>
    <w:p>
      <w:pPr>
        <w:pStyle w:val="para5"/>
        <w:numPr>
          <w:ilvl w:val="0"/>
          <w:numId w:val="3"/>
        </w:numPr>
        <w:ind w:left="323" w:right="1040" w:firstLine="0"/>
        <w:spacing w:before="45" w:line="288" w:lineRule="auto"/>
        <w:tabs defTabSz="720">
          <w:tab w:val="left" w:pos="618" w:leader="none"/>
        </w:tabs>
        <w:rPr>
          <w:rFonts w:ascii="Arial" w:hAnsi="Arial" w:cs="Arial"/>
        </w:rPr>
      </w:pPr>
      <w:r>
        <w:rPr>
          <w:rFonts w:ascii="Arial" w:hAnsi="Arial" w:cs="Arial"/>
        </w:rPr>
        <w:t>Atuar com poder de império suspendendo a execução do contrato sem ônus para a administração a qualquer tempo, resguardando a CONTRATADA de seus direitos adquiridos;</w:t>
      </w:r>
    </w:p>
    <w:p>
      <w:pPr>
        <w:pStyle w:val="para5"/>
        <w:numPr>
          <w:ilvl w:val="0"/>
          <w:numId w:val="3"/>
        </w:numPr>
        <w:ind w:left="555" w:hanging="234"/>
        <w:spacing w:before="1"/>
        <w:tabs defTabSz="720">
          <w:tab w:val="left" w:pos="555" w:leader="none"/>
        </w:tabs>
        <w:rPr>
          <w:rFonts w:ascii="Arial" w:hAnsi="Arial" w:cs="Arial"/>
        </w:rPr>
      </w:pPr>
      <w:r>
        <w:rPr>
          <w:rFonts w:ascii="Arial" w:hAnsi="Arial" w:cs="Arial"/>
        </w:rPr>
        <w:t>Rejeitar os serviços em desconformidade com o presente</w:t>
      </w:r>
      <w:r>
        <w:rPr>
          <w:rFonts w:ascii="Arial" w:hAnsi="Arial" w:cs="Arial"/>
          <w:spacing w:val="-26"/>
        </w:rPr>
        <w:t xml:space="preserve"> </w:t>
      </w:r>
      <w:r>
        <w:rPr>
          <w:rFonts w:ascii="Arial" w:hAnsi="Arial" w:cs="Arial"/>
        </w:rPr>
        <w:t>instrumento;</w:t>
      </w:r>
    </w:p>
    <w:p>
      <w:pPr>
        <w:pStyle w:val="para4"/>
        <w:spacing w:before="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3"/>
        <w:numPr>
          <w:ilvl w:val="0"/>
          <w:numId w:val="1"/>
        </w:numPr>
        <w:ind w:left="810" w:hanging="489"/>
        <w:spacing w:before="100"/>
        <w:jc w:val="both"/>
        <w:tabs defTabSz="720">
          <w:tab w:val="left" w:pos="810" w:leader="none"/>
        </w:tabs>
        <w:rPr>
          <w:rFonts w:ascii="Arial" w:hAnsi="Arial" w:cs="Arial"/>
          <w:sz w:val="22"/>
          <w:szCs w:val="22"/>
        </w:rPr>
      </w:pPr>
      <w:r/>
      <w:bookmarkStart w:id="8" w:name="9._OBRIGAÇÕES_DA_CONTRATADA"/>
      <w:bookmarkEnd w:id="8"/>
      <w:r/>
      <w:r>
        <w:rPr>
          <w:rFonts w:ascii="Arial" w:hAnsi="Arial" w:cs="Arial"/>
          <w:sz w:val="22"/>
          <w:szCs w:val="22"/>
        </w:rPr>
        <w:t>OBRIGAÇÕES DA</w:t>
      </w:r>
      <w:r>
        <w:rPr>
          <w:rFonts w:ascii="Arial" w:hAnsi="Arial" w:cs="Arial"/>
          <w:spacing w:val="-1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sz w:val="22"/>
          <w:szCs w:val="22"/>
        </w:rPr>
      </w:r>
    </w:p>
    <w:p>
      <w:pPr>
        <w:pStyle w:val="para4"/>
        <w:ind w:left="100" w:right="1028" w:firstLine="426"/>
        <w:spacing w:before="38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Responsabilizar-se pelo fiel cumprimento do objeto deste aviso, utilizando-se de mão de obra especializada.</w:t>
      </w:r>
    </w:p>
    <w:p>
      <w:pPr>
        <w:pStyle w:val="para4"/>
        <w:ind w:left="100" w:right="1027" w:firstLine="426"/>
        <w:spacing w:before="46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Prestar esclarecimento a CONTRATANTE sobre eventuais atos ou fatos noticiados que a envolvam, bem como relatar toda e qualquer irregularidade observada em função da execução do objeto, bem assim tomar providências necessárias imediatas para a correção, evitando repetição dos fatos.</w:t>
      </w:r>
    </w:p>
    <w:p>
      <w:pPr>
        <w:pStyle w:val="para5"/>
        <w:numPr>
          <w:ilvl w:val="0"/>
          <w:numId w:val="6"/>
        </w:numPr>
        <w:ind w:left="323" w:right="1029" w:firstLine="0"/>
        <w:spacing w:before="2" w:line="288" w:lineRule="auto"/>
        <w:tabs defTabSz="720">
          <w:tab w:val="left" w:pos="597" w:leader="none"/>
        </w:tabs>
        <w:rPr>
          <w:rFonts w:ascii="Arial" w:hAnsi="Arial" w:cs="Arial"/>
        </w:rPr>
      </w:pPr>
      <w:r>
        <w:rPr>
          <w:rFonts w:ascii="Arial" w:hAnsi="Arial" w:cs="Arial"/>
        </w:rPr>
        <w:t>Acatar as orientações do Fiscal do Contrato ou seu representante legal, sujeitando-se a mais ampla e irrestrita fiscalização por parte da</w:t>
      </w:r>
      <w:r>
        <w:rPr>
          <w:rFonts w:ascii="Arial" w:hAnsi="Arial" w:cs="Arial"/>
          <w:spacing w:val="-38"/>
        </w:rPr>
        <w:t xml:space="preserve"> </w:t>
      </w:r>
      <w:r>
        <w:rPr>
          <w:rFonts w:ascii="Arial" w:hAnsi="Arial" w:cs="Arial"/>
        </w:rPr>
        <w:t>CONTRATANTE.</w:t>
      </w:r>
    </w:p>
    <w:p>
      <w:pPr>
        <w:pStyle w:val="para5"/>
        <w:numPr>
          <w:ilvl w:val="0"/>
          <w:numId w:val="6"/>
        </w:numPr>
        <w:ind w:left="545" w:right="878" w:hanging="223"/>
        <w:spacing w:before="1"/>
        <w:tabs defTabSz="720">
          <w:tab w:val="left" w:pos="545" w:leader="none"/>
        </w:tabs>
        <w:rPr>
          <w:rFonts w:ascii="Arial" w:hAnsi="Arial" w:cs="Arial"/>
        </w:rPr>
      </w:pPr>
      <w:r>
        <w:rPr>
          <w:rFonts w:ascii="Arial" w:hAnsi="Arial" w:cs="Arial"/>
        </w:rPr>
        <w:t>Zelar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>para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>sejam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cumpridas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normas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relativas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à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>segurança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>prevenção de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acidentes.</w:t>
      </w:r>
    </w:p>
    <w:p>
      <w:pPr>
        <w:pStyle w:val="para5"/>
        <w:numPr>
          <w:ilvl w:val="0"/>
          <w:numId w:val="6"/>
        </w:numPr>
        <w:ind w:left="636" w:hanging="313"/>
        <w:spacing w:before="45"/>
        <w:tabs defTabSz="720">
          <w:tab w:val="left" w:pos="636" w:leader="none"/>
        </w:tabs>
        <w:rPr>
          <w:rFonts w:ascii="Arial" w:hAnsi="Arial" w:cs="Arial"/>
        </w:rPr>
      </w:pPr>
      <w:r>
        <w:rPr>
          <w:rFonts w:ascii="Arial" w:hAnsi="Arial" w:cs="Arial"/>
        </w:rPr>
        <w:t>Cumprir os prazos previstos neste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instrumento;</w:t>
      </w:r>
    </w:p>
    <w:p>
      <w:pPr>
        <w:pStyle w:val="para5"/>
        <w:numPr>
          <w:ilvl w:val="0"/>
          <w:numId w:val="6"/>
        </w:numPr>
        <w:ind w:left="323" w:right="1036" w:firstLine="0"/>
        <w:spacing w:before="50" w:line="288" w:lineRule="auto"/>
        <w:tabs defTabSz="720">
          <w:tab w:val="left" w:pos="573" w:leader="none"/>
        </w:tabs>
        <w:rPr>
          <w:rFonts w:ascii="Arial" w:hAnsi="Arial" w:cs="Arial"/>
        </w:rPr>
      </w:pPr>
      <w:r>
        <w:rPr>
          <w:rFonts w:ascii="Arial" w:hAnsi="Arial" w:cs="Arial"/>
        </w:rPr>
        <w:t>Manter, durante toda a execução do contrato, em compatibilidade com as obrigações assumidas, todas as condições de habilitação e qualificação exigidas na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licitação.</w:t>
      </w:r>
    </w:p>
    <w:p>
      <w:pPr>
        <w:pStyle w:val="para5"/>
        <w:numPr>
          <w:ilvl w:val="0"/>
          <w:numId w:val="6"/>
        </w:numPr>
        <w:ind w:left="323" w:right="1040" w:firstLine="0"/>
        <w:spacing w:before="1" w:line="288" w:lineRule="auto"/>
        <w:tabs defTabSz="720">
          <w:tab w:val="left" w:pos="561" w:leader="none"/>
        </w:tabs>
        <w:rPr>
          <w:rFonts w:ascii="Arial" w:hAnsi="Arial" w:cs="Arial"/>
        </w:rPr>
      </w:pPr>
      <w:r>
        <w:rPr>
          <w:rFonts w:ascii="Arial" w:hAnsi="Arial" w:cs="Arial"/>
        </w:rPr>
        <w:t>Assumir a responsabilidade por todos os encargos previdenciários, fiscais e comerciais resultantes da execução do contrato, sob pena de rescisão contratual, sem prejuízo das demais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</w:rPr>
        <w:t>sanções;</w:t>
      </w:r>
    </w:p>
    <w:p>
      <w:pPr>
        <w:pStyle w:val="para5"/>
        <w:numPr>
          <w:ilvl w:val="0"/>
          <w:numId w:val="6"/>
        </w:numPr>
        <w:ind w:left="488" w:right="878" w:hanging="166"/>
        <w:tabs defTabSz="720">
          <w:tab w:val="left" w:pos="488" w:leader="none"/>
        </w:tabs>
        <w:rPr>
          <w:rFonts w:ascii="Arial" w:hAnsi="Arial" w:cs="Arial"/>
        </w:rPr>
      </w:pPr>
      <w:r>
        <w:rPr>
          <w:rFonts w:ascii="Arial" w:hAnsi="Arial" w:cs="Arial"/>
        </w:rPr>
        <w:t>Realizar a prestação dos serviços em conformidade e no prazo estabelecido neste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instrumento.</w:t>
      </w:r>
    </w:p>
    <w:p>
      <w:pPr>
        <w:pStyle w:val="para5"/>
        <w:numPr>
          <w:ilvl w:val="0"/>
          <w:numId w:val="6"/>
        </w:numPr>
        <w:ind w:left="323" w:right="1030" w:firstLine="0"/>
        <w:spacing w:before="46" w:line="288" w:lineRule="auto"/>
        <w:tabs defTabSz="720">
          <w:tab w:val="left" w:pos="636" w:leader="none"/>
        </w:tabs>
        <w:rPr>
          <w:rFonts w:ascii="Arial" w:hAnsi="Arial" w:cs="Arial"/>
        </w:rPr>
      </w:pPr>
      <w:r>
        <w:rPr>
          <w:rFonts w:ascii="Arial" w:hAnsi="Arial" w:cs="Arial"/>
        </w:rPr>
        <w:t>A contratada tem a obrigação do contratado de manter, durante toda a execução do contrato, em compatibilidade com as obrigações por ele assumidas, todas as condições de habilitação e qualificação exigidas na licitação, podendo a qualquer tempo o gestor do contrato diligenciar a apresentação de qualquer documento previsto no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>edital;</w:t>
      </w:r>
    </w:p>
    <w:p>
      <w:pPr>
        <w:pStyle w:val="para5"/>
        <w:numPr>
          <w:ilvl w:val="0"/>
          <w:numId w:val="6"/>
        </w:numPr>
        <w:ind w:left="323" w:right="1027" w:firstLine="0"/>
        <w:spacing w:before="1" w:line="288" w:lineRule="auto"/>
        <w:tabs defTabSz="720">
          <w:tab w:val="left" w:pos="580" w:leader="none"/>
        </w:tabs>
        <w:rPr>
          <w:rFonts w:ascii="Arial" w:hAnsi="Arial" w:cs="Arial"/>
        </w:rPr>
      </w:pPr>
      <w:r>
        <w:rPr>
          <w:rFonts w:ascii="Arial" w:hAnsi="Arial" w:cs="Arial"/>
        </w:rPr>
        <w:t>O contratado é responsável pelos danos causados diretamente à Administração ou a terceiros, decorrentes de sua culpa ou dolo na execução do contrato, não excluindo ou reduzindo essa responsabilidade a fiscalização ou o acompanhamento pelo órgão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interessado;</w:t>
      </w:r>
    </w:p>
    <w:p>
      <w:pPr>
        <w:pStyle w:val="para5"/>
        <w:numPr>
          <w:ilvl w:val="0"/>
          <w:numId w:val="6"/>
        </w:numPr>
        <w:ind w:left="323" w:right="1027" w:firstLine="0"/>
        <w:spacing w:before="1" w:line="288" w:lineRule="auto"/>
        <w:jc w:val="left"/>
        <w:tabs defTabSz="720">
          <w:tab w:val="left" w:pos="580" w:leader="none"/>
        </w:tabs>
        <w:rPr>
          <w:rFonts w:ascii="Arial" w:hAnsi="Arial" w:cs="Arial"/>
        </w:rPr>
      </w:pPr>
      <w:r>
        <w:rPr>
          <w:rFonts w:ascii="Arial" w:hAnsi="Arial" w:cs="Arial"/>
          <w:color w:val="2c363a"/>
          <w:shd w:val="clear" w:fill="ffffff"/>
        </w:rPr>
        <w:t>O vencedor terá que entregar no Setor de Compras regularidade fiscal referente a empresa:</w:t>
      </w:r>
      <w:r>
        <w:rPr>
          <w:rFonts w:ascii="Arial" w:hAnsi="Arial" w:cs="Arial"/>
          <w:color w:val="2c363a"/>
        </w:rPr>
        <w:br w:type="textWrapping"/>
      </w:r>
      <w:r>
        <w:rPr>
          <w:rFonts w:ascii="Arial" w:hAnsi="Arial" w:cs="Arial"/>
          <w:color w:val="2c363a"/>
          <w:shd w:val="clear" w:fill="ffffff"/>
        </w:rPr>
        <w:t>Contrato Social;</w:t>
      </w:r>
      <w:r>
        <w:rPr>
          <w:rFonts w:ascii="Arial" w:hAnsi="Arial" w:cs="Arial"/>
          <w:color w:val="2c363a"/>
        </w:rPr>
        <w:br w:type="textWrapping"/>
      </w:r>
      <w:r>
        <w:rPr>
          <w:rFonts w:ascii="Arial" w:hAnsi="Arial" w:cs="Arial"/>
          <w:color w:val="2c363a"/>
          <w:shd w:val="clear" w:fill="ffffff"/>
        </w:rPr>
        <w:t>Certidão Fiscal Municipal;</w:t>
      </w:r>
      <w:r>
        <w:rPr>
          <w:rFonts w:ascii="Arial" w:hAnsi="Arial" w:cs="Arial"/>
          <w:color w:val="2c363a"/>
        </w:rPr>
        <w:br w:type="textWrapping"/>
      </w:r>
      <w:r>
        <w:rPr>
          <w:rFonts w:ascii="Arial" w:hAnsi="Arial" w:cs="Arial"/>
          <w:color w:val="2c363a"/>
          <w:shd w:val="clear" w:fill="ffffff"/>
        </w:rPr>
        <w:t>Certidão Fiscal Estadual;</w:t>
      </w:r>
      <w:r>
        <w:rPr>
          <w:rFonts w:ascii="Arial" w:hAnsi="Arial" w:cs="Arial"/>
          <w:color w:val="2c363a"/>
        </w:rPr>
        <w:br w:type="textWrapping"/>
      </w:r>
      <w:r>
        <w:rPr>
          <w:rFonts w:ascii="Arial" w:hAnsi="Arial" w:cs="Arial"/>
          <w:color w:val="2c363a"/>
          <w:shd w:val="clear" w:fill="ffffff"/>
        </w:rPr>
        <w:t>Certidão Fiscal Federal com INSS;</w:t>
      </w:r>
      <w:r>
        <w:rPr>
          <w:rFonts w:ascii="Arial" w:hAnsi="Arial" w:cs="Arial"/>
          <w:color w:val="2c363a"/>
        </w:rPr>
        <w:br w:type="textWrapping"/>
      </w:r>
      <w:r>
        <w:rPr>
          <w:rFonts w:ascii="Arial" w:hAnsi="Arial" w:cs="Arial"/>
          <w:color w:val="2c363a"/>
          <w:shd w:val="clear" w:fill="ffffff"/>
        </w:rPr>
        <w:t>Certidão Fiscal Concordata e Falência;</w:t>
      </w:r>
      <w:r>
        <w:rPr>
          <w:rFonts w:ascii="Arial" w:hAnsi="Arial" w:cs="Arial"/>
          <w:color w:val="2c363a"/>
        </w:rPr>
        <w:br w:type="textWrapping"/>
      </w:r>
      <w:r>
        <w:rPr>
          <w:rFonts w:ascii="Arial" w:hAnsi="Arial" w:cs="Arial"/>
          <w:color w:val="2c363a"/>
          <w:shd w:val="clear" w:fill="ffffff"/>
        </w:rPr>
        <w:t>Certidão Fiscal Trabalhista;</w:t>
      </w:r>
      <w:r>
        <w:rPr>
          <w:rFonts w:ascii="Arial" w:hAnsi="Arial" w:cs="Arial"/>
          <w:color w:val="2c363a"/>
        </w:rPr>
        <w:br w:type="textWrapping"/>
      </w:r>
      <w:r>
        <w:rPr>
          <w:rFonts w:ascii="Arial" w:hAnsi="Arial" w:cs="Arial"/>
          <w:color w:val="2c363a"/>
          <w:shd w:val="clear" w:fill="ffffff"/>
        </w:rPr>
        <w:t>Todos os documentos devem ser enviados no prazo, após duas horas que receber a Ordem de Serviço ou Autorização de Fornecimento, por meio eletrônico: no site: </w:t>
      </w:r>
      <w:hyperlink r:id="rId8" w:history="1">
        <w:r>
          <w:rPr>
            <w:rStyle w:val="char4"/>
            <w:rFonts w:ascii="Arial" w:hAnsi="Arial" w:cs="Arial"/>
            <w:color w:val="00acff"/>
            <w:shd w:val="clear" w:fill="ffffff"/>
          </w:rPr>
          <w:t>dispensalicitacao@cravinhos.sp.gov.br</w:t>
        </w:r>
      </w:hyperlink>
    </w:p>
    <w:p>
      <w:pPr>
        <w:pStyle w:val="para4"/>
        <w:spacing w:before="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5"/>
        <w:numPr>
          <w:ilvl w:val="0"/>
          <w:numId w:val="1"/>
        </w:numPr>
        <w:ind w:left="100" w:right="1029" w:firstLine="221"/>
        <w:spacing w:line="281" w:lineRule="auto"/>
        <w:jc w:val="right"/>
        <w:tabs defTabSz="720">
          <w:tab w:val="left" w:pos="810" w:leader="none"/>
        </w:tabs>
        <w:rPr>
          <w:rFonts w:ascii="Arial" w:hAnsi="Arial" w:cs="Arial"/>
        </w:rPr>
      </w:pPr>
      <w:r/>
      <w:bookmarkStart w:id="9" w:name="10._DO_ACOMPANHAMENTO,_EXECUÇÃO_E_FISCAL"/>
      <w:bookmarkEnd w:id="9"/>
      <w:r/>
      <w:r>
        <w:rPr>
          <w:rFonts w:ascii="Arial" w:hAnsi="Arial" w:cs="Arial"/>
          <w:b/>
        </w:rPr>
        <w:t>DO ACOMPANHAMENTO, EXECUÇÃO E FISCALIZAÇÃO</w:t>
      </w:r>
      <w:r>
        <w:rPr>
          <w:rFonts w:ascii="Arial" w:hAnsi="Arial" w:cs="Arial"/>
          <w:b/>
          <w:spacing w:val="-44"/>
        </w:rPr>
        <w:t xml:space="preserve"> </w:t>
      </w:r>
      <w:r>
        <w:rPr>
          <w:rFonts w:ascii="Arial" w:hAnsi="Arial" w:cs="Arial"/>
          <w:b/>
        </w:rPr>
        <w:t>DO</w:t>
      </w:r>
      <w:r>
        <w:rPr>
          <w:rFonts w:ascii="Arial" w:hAnsi="Arial" w:cs="Arial"/>
          <w:b/>
          <w:spacing w:val="-11"/>
        </w:rPr>
        <w:t xml:space="preserve"> </w:t>
      </w:r>
      <w:r>
        <w:rPr>
          <w:rFonts w:ascii="Arial" w:hAnsi="Arial" w:cs="Arial"/>
          <w:b/>
        </w:rPr>
        <w:t xml:space="preserve">CONTRATO </w:t>
      </w:r>
      <w:r>
        <w:rPr>
          <w:rFonts w:ascii="Arial" w:hAnsi="Arial" w:cs="Arial"/>
        </w:rPr>
      </w:r>
    </w:p>
    <w:p>
      <w:pPr>
        <w:pStyle w:val="para5"/>
        <w:ind w:left="321" w:right="1029"/>
        <w:spacing w:line="281" w:lineRule="auto"/>
        <w:tabs defTabSz="720">
          <w:tab w:val="left" w:pos="810" w:leader="none"/>
        </w:tabs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fiscalização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Contrato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será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exercida pelo servidor JULIO TUNIS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representante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da Secretaria Municipal de Cultura e pela Gestora Andréa Gaspar Carrascosa,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aos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quais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competirão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dirimir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dúvidas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surgirem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curso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da</w:t>
      </w:r>
    </w:p>
    <w:p>
      <w:pPr>
        <w:pStyle w:val="para4"/>
        <w:ind w:left="100"/>
        <w:spacing w:before="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execução do contrato e de tudo dará ciência à Administração;</w:t>
      </w:r>
    </w:p>
    <w:p>
      <w:pPr>
        <w:pStyle w:val="para4"/>
        <w:ind w:left="100" w:right="1037" w:firstLine="284"/>
        <w:spacing w:before="49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Durante todo o período de vigência deste contrato, a CONTRATADA deverá manter preposto aceito pela CONTRATANTE, para representá-la administrativamente sempre que for necessário;</w:t>
      </w:r>
    </w:p>
    <w:p>
      <w:pPr>
        <w:pStyle w:val="para4"/>
        <w:ind w:left="100" w:right="1041" w:firstLine="284"/>
        <w:spacing w:before="1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comunicação entre a fiscalização e a contratada será realizada através de correspondência oficial e anotações;</w:t>
      </w:r>
    </w:p>
    <w:p>
      <w:pPr>
        <w:pStyle w:val="para4"/>
        <w:ind w:left="100" w:right="1043" w:firstLine="284"/>
        <w:spacing w:before="1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relatório de entrega dos serviços será destinado ao registro de fatos e comunicações pertinentes aos mesmos;</w:t>
      </w:r>
    </w:p>
    <w:p>
      <w:pPr>
        <w:ind w:left="100" w:right="878" w:firstLine="284"/>
        <w:spacing/>
        <w:jc w:val="both"/>
        <w:rPr>
          <w:rFonts w:ascii="Arial" w:hAnsi="Arial" w:cs="Arial"/>
        </w:rPr>
      </w:pPr>
      <w:r>
        <w:rPr>
          <w:rFonts w:ascii="Arial" w:hAnsi="Arial" w:cs="Arial"/>
        </w:rPr>
        <w:t>Todos os atos e instituições emanados ou emitidos pela fiscalização serão considerados como se fossem praticados pelo Contratante.</w:t>
      </w:r>
    </w:p>
    <w:p>
      <w:pPr>
        <w:pStyle w:val="para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3"/>
        <w:numPr>
          <w:ilvl w:val="0"/>
          <w:numId w:val="1"/>
        </w:numPr>
        <w:ind w:left="810" w:hanging="489"/>
        <w:spacing/>
        <w:jc w:val="both"/>
        <w:tabs defTabSz="720">
          <w:tab w:val="left" w:pos="810" w:leader="none"/>
        </w:tabs>
        <w:rPr>
          <w:rFonts w:ascii="Arial" w:hAnsi="Arial" w:cs="Arial"/>
          <w:sz w:val="22"/>
          <w:szCs w:val="22"/>
        </w:rPr>
      </w:pPr>
      <w:r/>
      <w:bookmarkStart w:id="10" w:name="11._DAS_SANÇÕES"/>
      <w:bookmarkEnd w:id="10"/>
      <w:r/>
      <w:r>
        <w:rPr>
          <w:rFonts w:ascii="Arial" w:hAnsi="Arial" w:cs="Arial"/>
          <w:sz w:val="22"/>
          <w:szCs w:val="22"/>
        </w:rPr>
        <w:t>DAS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SANÇÕES</w:t>
      </w:r>
      <w:r>
        <w:rPr>
          <w:rFonts w:ascii="Arial" w:hAnsi="Arial" w:cs="Arial"/>
          <w:sz w:val="22"/>
          <w:szCs w:val="22"/>
        </w:rPr>
      </w:r>
    </w:p>
    <w:p>
      <w:pPr>
        <w:pStyle w:val="para4"/>
        <w:ind w:left="100" w:right="1031" w:firstLine="426"/>
        <w:spacing w:before="100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descumprimento total ou parcial das obrigações assumidas pela CONTRATADA, sem justificativa aceita, poderá acarretar sanções previstas no art. 155 da Lei 14.133/21, observada a respectiva gradação.</w:t>
      </w:r>
    </w:p>
    <w:p>
      <w:pPr>
        <w:pStyle w:val="para5"/>
        <w:numPr>
          <w:ilvl w:val="0"/>
          <w:numId w:val="5"/>
        </w:numPr>
        <w:ind w:left="555" w:hanging="234"/>
        <w:spacing w:before="1"/>
        <w:tabs defTabSz="720">
          <w:tab w:val="left" w:pos="555" w:leader="none"/>
        </w:tabs>
        <w:rPr>
          <w:rFonts w:ascii="Arial" w:hAnsi="Arial" w:cs="Arial"/>
        </w:rPr>
      </w:pPr>
      <w:r>
        <w:rPr>
          <w:rFonts w:ascii="Arial" w:hAnsi="Arial" w:cs="Arial"/>
        </w:rPr>
        <w:t>Dar causa à inexecução parcial do</w:t>
      </w:r>
      <w:r>
        <w:rPr>
          <w:rFonts w:ascii="Arial" w:hAnsi="Arial" w:cs="Arial"/>
          <w:spacing w:val="-19"/>
        </w:rPr>
        <w:t xml:space="preserve"> </w:t>
      </w:r>
      <w:r>
        <w:rPr>
          <w:rFonts w:ascii="Arial" w:hAnsi="Arial" w:cs="Arial"/>
        </w:rPr>
        <w:t>contrato;</w:t>
      </w:r>
    </w:p>
    <w:p>
      <w:pPr>
        <w:pStyle w:val="para5"/>
        <w:numPr>
          <w:ilvl w:val="0"/>
          <w:numId w:val="5"/>
        </w:numPr>
        <w:ind w:left="323" w:right="1039" w:firstLine="0"/>
        <w:spacing w:before="45" w:line="288" w:lineRule="auto"/>
        <w:tabs defTabSz="720">
          <w:tab w:val="left" w:pos="645" w:leader="none"/>
        </w:tabs>
        <w:rPr>
          <w:rFonts w:ascii="Arial" w:hAnsi="Arial" w:cs="Arial"/>
        </w:rPr>
      </w:pPr>
      <w:r>
        <w:rPr>
          <w:rFonts w:ascii="Arial" w:hAnsi="Arial" w:cs="Arial"/>
        </w:rPr>
        <w:t>Dar causa à inexecução parcial do contrato que cause grave dano à Administração, o funcionamento dos serviços públicos ou ao interesse</w:t>
      </w:r>
      <w:r>
        <w:rPr>
          <w:rFonts w:ascii="Arial" w:hAnsi="Arial" w:cs="Arial"/>
          <w:spacing w:val="-31"/>
        </w:rPr>
        <w:t xml:space="preserve"> </w:t>
      </w:r>
      <w:r>
        <w:rPr>
          <w:rFonts w:ascii="Arial" w:hAnsi="Arial" w:cs="Arial"/>
        </w:rPr>
        <w:t>coletivo;</w:t>
      </w:r>
    </w:p>
    <w:p>
      <w:pPr>
        <w:pStyle w:val="para5"/>
        <w:numPr>
          <w:ilvl w:val="0"/>
          <w:numId w:val="5"/>
        </w:numPr>
        <w:ind w:left="545" w:hanging="224"/>
        <w:spacing w:before="2"/>
        <w:tabs defTabSz="720">
          <w:tab w:val="left" w:pos="545" w:leader="none"/>
        </w:tabs>
        <w:rPr>
          <w:rFonts w:ascii="Arial" w:hAnsi="Arial" w:cs="Arial"/>
        </w:rPr>
      </w:pPr>
      <w:r>
        <w:rPr>
          <w:rFonts w:ascii="Arial" w:hAnsi="Arial" w:cs="Arial"/>
        </w:rPr>
        <w:t>Dar causa à inexecução total do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</w:rPr>
        <w:t>contrato;</w:t>
      </w:r>
    </w:p>
    <w:p>
      <w:pPr>
        <w:pStyle w:val="para5"/>
        <w:numPr>
          <w:ilvl w:val="0"/>
          <w:numId w:val="5"/>
        </w:numPr>
        <w:ind w:left="555" w:right="878" w:hanging="233"/>
        <w:spacing w:before="45"/>
        <w:tabs defTabSz="720">
          <w:tab w:val="left" w:pos="555" w:leader="none"/>
          <w:tab w:val="left" w:pos="2391" w:leader="none"/>
          <w:tab w:val="left" w:pos="3545" w:leader="none"/>
          <w:tab w:val="left" w:pos="4264" w:leader="none"/>
          <w:tab w:val="left" w:pos="4782" w:leader="none"/>
          <w:tab w:val="left" w:pos="6148" w:leader="none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Não 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 xml:space="preserve">manter 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a</w:t>
        <w:tab/>
        <w:t>proposta,</w:t>
        <w:tab/>
        <w:t>salvo</w:t>
        <w:tab/>
        <w:t>em</w:t>
        <w:tab/>
        <w:t>decorrência</w:t>
        <w:tab/>
        <w:t>de fato superveniente devidamente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justificado;</w:t>
      </w:r>
    </w:p>
    <w:p>
      <w:pPr>
        <w:pStyle w:val="para5"/>
        <w:numPr>
          <w:ilvl w:val="0"/>
          <w:numId w:val="5"/>
        </w:numPr>
        <w:ind w:left="323" w:right="1033" w:firstLine="0"/>
        <w:spacing w:before="46" w:line="288" w:lineRule="auto"/>
        <w:tabs defTabSz="720">
          <w:tab w:val="left" w:pos="597" w:leader="none"/>
        </w:tabs>
        <w:rPr>
          <w:rFonts w:ascii="Arial" w:hAnsi="Arial" w:cs="Arial"/>
        </w:rPr>
      </w:pPr>
      <w:r>
        <w:rPr>
          <w:rFonts w:ascii="Arial" w:hAnsi="Arial" w:cs="Arial"/>
        </w:rPr>
        <w:t>Não celebrar o contrato ou não entregar a documentação exigida para a contratação, quando convocado dentro do prazo de validade de sua</w:t>
      </w:r>
      <w:r>
        <w:rPr>
          <w:rFonts w:ascii="Arial" w:hAnsi="Arial" w:cs="Arial"/>
          <w:spacing w:val="-31"/>
        </w:rPr>
        <w:t xml:space="preserve"> </w:t>
      </w:r>
      <w:r>
        <w:rPr>
          <w:rFonts w:ascii="Arial" w:hAnsi="Arial" w:cs="Arial"/>
        </w:rPr>
        <w:t>proposta;</w:t>
      </w:r>
    </w:p>
    <w:p>
      <w:pPr>
        <w:pStyle w:val="para5"/>
        <w:numPr>
          <w:ilvl w:val="0"/>
          <w:numId w:val="5"/>
        </w:numPr>
        <w:ind w:left="501" w:right="879" w:hanging="180"/>
        <w:tabs defTabSz="720">
          <w:tab w:val="left" w:pos="502" w:leader="none"/>
        </w:tabs>
        <w:rPr>
          <w:rFonts w:ascii="Arial" w:hAnsi="Arial" w:cs="Arial"/>
        </w:rPr>
      </w:pPr>
      <w:r>
        <w:rPr>
          <w:rFonts w:ascii="Arial" w:hAnsi="Arial" w:cs="Arial"/>
        </w:rPr>
        <w:t>Ensejar o retardamento da execução ou da entrega do objeto da licitação sem motivo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justificado;</w:t>
      </w:r>
    </w:p>
    <w:p>
      <w:pPr>
        <w:pStyle w:val="para5"/>
        <w:numPr>
          <w:ilvl w:val="0"/>
          <w:numId w:val="5"/>
        </w:numPr>
        <w:ind w:left="555" w:hanging="234"/>
        <w:spacing w:before="45"/>
        <w:tabs defTabSz="720">
          <w:tab w:val="left" w:pos="555" w:leader="none"/>
        </w:tabs>
        <w:rPr>
          <w:rFonts w:ascii="Arial" w:hAnsi="Arial" w:cs="Arial"/>
        </w:rPr>
      </w:pPr>
      <w:r>
        <w:rPr>
          <w:rFonts w:ascii="Arial" w:hAnsi="Arial" w:cs="Arial"/>
        </w:rPr>
        <w:t>Praticar atos ilícitos com vistas a frustrar os objetivos da</w:t>
      </w:r>
      <w:r>
        <w:rPr>
          <w:rFonts w:ascii="Arial" w:hAnsi="Arial" w:cs="Arial"/>
          <w:spacing w:val="-33"/>
        </w:rPr>
        <w:t xml:space="preserve"> </w:t>
      </w:r>
      <w:r>
        <w:rPr>
          <w:rFonts w:ascii="Arial" w:hAnsi="Arial" w:cs="Arial"/>
        </w:rPr>
        <w:t>licitação;</w:t>
      </w:r>
    </w:p>
    <w:p>
      <w:pPr>
        <w:pStyle w:val="para5"/>
        <w:numPr>
          <w:ilvl w:val="0"/>
          <w:numId w:val="5"/>
        </w:numPr>
        <w:ind w:left="555" w:right="878" w:hanging="233"/>
        <w:spacing w:before="46"/>
        <w:tabs defTabSz="720">
          <w:tab w:val="left" w:pos="555" w:leader="none"/>
        </w:tabs>
        <w:rPr>
          <w:rFonts w:ascii="Arial" w:hAnsi="Arial" w:cs="Arial"/>
        </w:rPr>
      </w:pPr>
      <w:r>
        <w:rPr>
          <w:rFonts w:ascii="Arial" w:hAnsi="Arial" w:cs="Arial"/>
        </w:rPr>
        <w:t>Praticar ato lesivo previsto no art. 5º da Lei nº 12.846, de 1º de agosto de 2013.</w:t>
      </w:r>
    </w:p>
    <w:p>
      <w:pPr>
        <w:pStyle w:val="para4"/>
        <w:ind w:left="323" w:right="879"/>
        <w:spacing w:before="45"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Serão aplicadas ao responsável pelas infrações administrativas previstas acima, as seguintes penalidades, nos limites previstos no art. 156 da Lei Federal 14.133/2021.</w:t>
      </w:r>
    </w:p>
    <w:p>
      <w:pPr>
        <w:pStyle w:val="para5"/>
        <w:numPr>
          <w:ilvl w:val="0"/>
          <w:numId w:val="2"/>
        </w:numPr>
        <w:ind w:left="323" w:right="1035" w:firstLine="0"/>
        <w:spacing w:before="1" w:line="288" w:lineRule="auto"/>
        <w:tabs defTabSz="720">
          <w:tab w:val="left" w:pos="592" w:leader="none"/>
        </w:tabs>
        <w:rPr>
          <w:rFonts w:ascii="Arial" w:hAnsi="Arial" w:cs="Arial"/>
        </w:rPr>
      </w:pPr>
      <w:r>
        <w:rPr>
          <w:rFonts w:ascii="Arial" w:hAnsi="Arial" w:cs="Arial"/>
        </w:rPr>
        <w:t>O valor da multa, aplicada será descontado imediatamente no pagamento subsequente, sendo ainda aplicado juros de mora de 1,00% (um por cento) ao mês, ou 0,0333% por dia de</w:t>
      </w:r>
      <w:r>
        <w:rPr>
          <w:rFonts w:ascii="Arial" w:hAnsi="Arial" w:cs="Arial"/>
          <w:spacing w:val="-13"/>
        </w:rPr>
        <w:t xml:space="preserve"> </w:t>
      </w:r>
      <w:r>
        <w:rPr>
          <w:rFonts w:ascii="Arial" w:hAnsi="Arial" w:cs="Arial"/>
        </w:rPr>
        <w:t>atraso.</w:t>
      </w:r>
    </w:p>
    <w:p>
      <w:pPr>
        <w:pStyle w:val="para5"/>
        <w:numPr>
          <w:ilvl w:val="0"/>
          <w:numId w:val="2"/>
        </w:numPr>
        <w:ind w:left="323" w:right="1029" w:firstLine="0"/>
        <w:spacing w:before="1" w:line="288" w:lineRule="auto"/>
        <w:tabs defTabSz="720">
          <w:tab w:val="left" w:pos="597" w:leader="none"/>
        </w:tabs>
        <w:rPr>
          <w:rFonts w:ascii="Arial" w:hAnsi="Arial" w:cs="Arial"/>
        </w:rPr>
      </w:pPr>
      <w:r>
        <w:rPr>
          <w:rFonts w:ascii="Arial" w:hAnsi="Arial" w:cs="Arial"/>
        </w:rPr>
        <w:t>Na impossibilidade de desconto no pagamento subsequente, será liquidado do seguro caução previsto neste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>instrumento.</w:t>
      </w:r>
    </w:p>
    <w:p>
      <w:pPr>
        <w:pStyle w:val="para5"/>
        <w:numPr>
          <w:ilvl w:val="0"/>
          <w:numId w:val="2"/>
        </w:numPr>
        <w:ind w:left="323" w:right="1036" w:firstLine="0"/>
        <w:spacing w:before="1" w:line="288" w:lineRule="auto"/>
        <w:tabs defTabSz="720">
          <w:tab w:val="left" w:pos="596" w:leader="none"/>
        </w:tabs>
        <w:rPr>
          <w:rFonts w:ascii="Arial" w:hAnsi="Arial" w:cs="Arial"/>
        </w:rPr>
      </w:pPr>
      <w:r>
        <w:rPr>
          <w:rFonts w:ascii="Arial" w:hAnsi="Arial" w:cs="Arial"/>
        </w:rPr>
        <w:t>As sanções previstas nestes instrumentos poderão ser aplicadas cumulativamente, exceto as multas escalonadas por datas, e a multa de advertência.</w:t>
      </w:r>
    </w:p>
    <w:p>
      <w:pPr>
        <w:pStyle w:val="para5"/>
        <w:numPr>
          <w:ilvl w:val="0"/>
          <w:numId w:val="2"/>
        </w:numPr>
        <w:ind w:left="323" w:right="1029" w:firstLine="0"/>
        <w:spacing w:before="1" w:line="288" w:lineRule="auto"/>
        <w:tabs defTabSz="720">
          <w:tab w:val="left" w:pos="592" w:leader="none"/>
        </w:tabs>
        <w:rPr>
          <w:rFonts w:ascii="Arial" w:hAnsi="Arial" w:cs="Arial"/>
        </w:rPr>
      </w:pPr>
      <w:r>
        <w:rPr>
          <w:rFonts w:ascii="Arial" w:hAnsi="Arial" w:cs="Arial"/>
        </w:rPr>
        <w:t>No caso de multa, cuja apuração ainda esteja em processamento, ou seja, na fase da defesa prévia, o CONTRATANTE poderá fazer a retenção do valor correspondente à multa, até a decisão final da defesa prévia. Caso a defesa prévia seja aceita, ou aceita parcialmente, pelo CONTRATANTE, o valor retido correspondente será depositado em favor da CONTRATADA, em até 05 (cinco) dias úteis a contar da data da decisão final da defesa</w:t>
      </w:r>
      <w:r>
        <w:rPr>
          <w:rFonts w:ascii="Arial" w:hAnsi="Arial" w:cs="Arial"/>
          <w:spacing w:val="-26"/>
        </w:rPr>
        <w:t xml:space="preserve"> </w:t>
      </w:r>
      <w:r>
        <w:rPr>
          <w:rFonts w:ascii="Arial" w:hAnsi="Arial" w:cs="Arial"/>
        </w:rPr>
        <w:t>apresentada.</w:t>
      </w:r>
    </w:p>
    <w:p>
      <w:pPr>
        <w:ind w:right="1029"/>
        <w:spacing w:before="1" w:line="288" w:lineRule="auto"/>
        <w:tabs defTabSz="720">
          <w:tab w:val="left" w:pos="592" w:leader="none"/>
        </w:tabs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3"/>
        <w:numPr>
          <w:ilvl w:val="0"/>
          <w:numId w:val="1"/>
        </w:numPr>
        <w:ind w:left="810" w:hanging="489"/>
        <w:spacing/>
        <w:jc w:val="both"/>
        <w:tabs defTabSz="720">
          <w:tab w:val="left" w:pos="810" w:leader="none"/>
        </w:tabs>
        <w:rPr>
          <w:rFonts w:ascii="Arial" w:hAnsi="Arial" w:cs="Arial"/>
          <w:sz w:val="22"/>
          <w:szCs w:val="22"/>
        </w:rPr>
      </w:pPr>
      <w:r/>
      <w:bookmarkStart w:id="11" w:name="12._DOTAÇÃO_ORÇAMENTARIA:"/>
      <w:bookmarkEnd w:id="11"/>
      <w:r/>
      <w:r>
        <w:rPr>
          <w:rFonts w:ascii="Arial" w:hAnsi="Arial" w:cs="Arial"/>
          <w:sz w:val="22"/>
          <w:szCs w:val="22"/>
        </w:rPr>
        <w:t>DOTAÇÃO</w:t>
      </w:r>
      <w:r>
        <w:rPr>
          <w:rFonts w:ascii="Arial" w:hAnsi="Arial" w:cs="Arial"/>
          <w:spacing w:val="-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ORÇAMENT</w:t>
      </w:r>
      <w:r>
        <w:rPr>
          <w:rFonts w:ascii="Arial" w:hAnsi="Arial" w:cs="Arial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RIA:</w:t>
      </w:r>
      <w:r>
        <w:rPr>
          <w:rFonts w:ascii="Arial" w:hAnsi="Arial" w:cs="Arial"/>
          <w:sz w:val="22"/>
          <w:szCs w:val="22"/>
        </w:rPr>
      </w:r>
    </w:p>
    <w:p>
      <w:pPr>
        <w:pStyle w:val="para4"/>
        <w:ind w:left="323" w:right="30" w:firstLine="284"/>
        <w:spacing w:before="38"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despesas com a execução de eventual ajuste, correrão à conta de dotação específica, constante da reserva orçamentária em anexo.</w:t>
      </w:r>
    </w:p>
    <w:p>
      <w:pPr>
        <w:pStyle w:val="para4"/>
        <w:ind w:left="323" w:right="30" w:firstLine="284"/>
        <w:spacing w:before="38" w:line="288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4"/>
        <w:spacing w:before="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Cravinhos, 19 de setembro de 2024.</w:t>
      </w:r>
    </w:p>
    <w:p>
      <w:pPr>
        <w:pStyle w:val="para4"/>
        <w:spacing w:before="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4"/>
        <w:spacing w:before="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4"/>
        <w:spacing w:before="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4"/>
        <w:spacing w:before="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4"/>
        <w:spacing w:before="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4"/>
        <w:spacing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4"/>
        <w:spacing w:before="8"/>
        <w:jc w:val="center"/>
        <w:tabs defTabSz="720">
          <w:tab w:val="left" w:pos="2655" w:leader="none"/>
        </w:tabs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JÚLIO TÚNIS</w:t>
      </w:r>
    </w:p>
    <w:p>
      <w:pPr>
        <w:pStyle w:val="para4"/>
        <w:spacing w:before="8"/>
        <w:jc w:val="center"/>
        <w:tabs defTabSz="720">
          <w:tab w:val="left" w:pos="2655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FIiscal de Contrato</w:t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para4"/>
        <w:spacing w:before="8"/>
        <w:jc w:val="center"/>
        <w:tabs defTabSz="720">
          <w:tab w:val="left" w:pos="2655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4"/>
        <w:spacing w:before="8"/>
        <w:jc w:val="center"/>
        <w:tabs defTabSz="720">
          <w:tab w:val="left" w:pos="2655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4"/>
        <w:spacing w:before="8"/>
        <w:jc w:val="center"/>
        <w:tabs defTabSz="720">
          <w:tab w:val="left" w:pos="2655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4"/>
        <w:spacing w:before="8"/>
        <w:jc w:val="center"/>
        <w:tabs defTabSz="720">
          <w:tab w:val="left" w:pos="2655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4"/>
        <w:spacing w:before="8"/>
        <w:jc w:val="center"/>
        <w:tabs defTabSz="720">
          <w:tab w:val="left" w:pos="2655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4"/>
        <w:spacing w:before="8"/>
        <w:jc w:val="center"/>
        <w:tabs defTabSz="720">
          <w:tab w:val="left" w:pos="2655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pStyle w:val="para4"/>
        <w:spacing w:before="8"/>
        <w:jc w:val="center"/>
        <w:tabs defTabSz="720">
          <w:tab w:val="left" w:pos="2655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ANDREA GASPAR CARRASCOSA</w:t>
      </w:r>
    </w:p>
    <w:p>
      <w:pPr>
        <w:pStyle w:val="para4"/>
        <w:spacing w:before="8"/>
        <w:jc w:val="center"/>
        <w:tabs defTabSz="720">
          <w:tab w:val="left" w:pos="2655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Secretária Municipal de Cultura e Turismo</w:t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tabs defTabSz="720">
          <w:tab w:val="left" w:pos="3825" w:leader="none"/>
        </w:tabs>
        <w:rPr>
          <w:rFonts w:ascii="Arial" w:hAnsi="Arial" w:cs="Arial"/>
        </w:rPr>
      </w:pPr>
      <w:r>
        <w:rPr>
          <w:rFonts w:ascii="Arial" w:hAnsi="Arial" w:cs="Arial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9"/>
      <w:footerReference w:type="default" r:id="rId10"/>
      <w:type w:val="nextPage"/>
      <w:pgSz w:h="16840" w:w="11910"/>
      <w:pgMar w:left="1600" w:top="1740" w:right="820" w:bottom="880" w:header="289" w:footer="698"/>
      <w:paperSrc w:first="0" w:other="0" a="0" b="0"/>
      <w:pgNumType w:fmt="decimal"/>
      <w:tmGutter w:val="3"/>
      <w:mirrorMargins w:val="0"/>
      <w:tmSection w:h="-2">
        <w:tmHeader w:id="0" w:h="0" edge="289" text="0">
          <w:shd w:val="none"/>
        </w:tmHeader>
        <w:tmFooter w:id="0" w:h="0" edge="69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Verdana">
    <w:panose1 w:val="020B060403050404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0" hidden="0" allowOverlap="1">
              <wp:simplePos x="0" y="0"/>
              <wp:positionH relativeFrom="page">
                <wp:posOffset>1106805</wp:posOffset>
              </wp:positionH>
              <wp:positionV relativeFrom="page">
                <wp:posOffset>10074910</wp:posOffset>
              </wp:positionV>
              <wp:extent cx="5346065" cy="0"/>
              <wp:effectExtent l="8255" t="8255" r="8255" b="8255"/>
              <wp:wrapNone/>
              <wp:docPr id="2" name="Linh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2_t3vxZhMAAAAlAAAACg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N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zwYAAAAAAAAAAAAA+j0AAOMgAAAAAAAAAAAAAM8GAAD6PQAAKAAAAAgAAAABAAAAAQAAAA=="/>
                        </a:ext>
                      </a:extLst>
                    </wps:cNvSpPr>
                    <wps:spPr>
                      <a:xfrm>
                        <a:off x="0" y="0"/>
                        <a:ext cx="534606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255">
                        <a:solidFill>
                          <a:srgbClr val="000000"/>
                        </a:solidFill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ha1" o:spid="_x0000_s3073" style="position:absolute;mso-position-horizontal-relative:page;mso-position-vertical-relative:page;width:420.95pt;height:0.00pt;z-index:251658242;mso-wrap-distance-left:9.00pt;mso-wrap-distance-top:0.00pt;mso-wrap-distance-right:9.00pt;mso-wrap-distance-bottom:0.00pt;mso-wrap-style:square" from="87.15pt,793.30pt" to="508.10pt,793.30pt" strokeweight="0.65pt" fillcolor="#ffffff" v:ext="SMDATA_12_t3vxZhMAAAAlAAAACg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N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zwYAAAAAAAAAAAAA+j0AAOMgAAAAAAAAAAAAAM8GAAD6PQAAKAAAAAgAAAABAAAAAQAAAA==">
              <v:fill color2="#000000" type="solid" angle="90"/>
              <w10:wrap type="none"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0" hidden="0" allowOverlap="1">
              <wp:simplePos x="0" y="0"/>
              <wp:positionH relativeFrom="page">
                <wp:posOffset>1492885</wp:posOffset>
              </wp:positionH>
              <wp:positionV relativeFrom="page">
                <wp:posOffset>10073005</wp:posOffset>
              </wp:positionV>
              <wp:extent cx="4574540" cy="181610"/>
              <wp:effectExtent l="0" t="0" r="0" b="0"/>
              <wp:wrapNone/>
              <wp:docPr id="3" name="CaixaText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2_t3vxZhMAAAAlAAAAZA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LwkAAAAAAAAAAAAA9z0AACQcAAAeAQAAAAAAAC8JAAD3PQAAKAAAAAgAAAABAAAAAQAAAA=="/>
                        </a:ext>
                      </a:extLst>
                    </wps:cNvSpPr>
                    <wps:spPr>
                      <a:xfrm>
                        <a:off x="0" y="0"/>
                        <a:ext cx="4574540" cy="18161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ind w:left="20"/>
                            <w:spacing w:before="13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</w:r>
                        </w:p>
                      </w:txbxContent>
                    </wps:txbx>
                    <wps:bodyPr spcFirstLastPara="1" vertOverflow="clip" horzOverflow="clip" lIns="0" tIns="0" rIns="0" bIns="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CaixaTexto1" o:spid="_x0000_s3074" style="position:absolute;margin-left:117.55pt;margin-top:793.15pt;mso-position-horizontal-relative:page;mso-position-vertical-relative:page;width:360.20pt;height:14.30pt;z-index:251658243;mso-wrap-distance-left:9.00pt;mso-wrap-distance-top:0.00pt;mso-wrap-distance-right:9.00pt;mso-wrap-distance-bottom:0.00pt;mso-wrap-style:square" stroked="f" filled="f" v:ext="SMDATA_12_t3vxZhMAAAAlAAAAZA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LwkAAAAAAAAAAAAA9z0AACQcAAAeAQAAAAAAAC8JAAD3PQAAKAAAAAgAAAABAAAAAQAAAA==" o:insetmode="custom">
              <w10:wrap type="none" anchorx="page" anchory="page"/>
              <v:textbox inset="0.0pt,0.0pt,0.0pt,0.0pt">
                <w:txbxContent>
                  <w:p>
                    <w:pPr>
                      <w:ind w:left="20"/>
                      <w:spacing w:before="13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</w:r>
                  </w:p>
                </w:txbxContent>
              </v:textbox>
            </v:rect>
          </w:pict>
        </mc:Fallback>
      </mc:AlternateContent>
    </w: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 w:line="14" w:lineRule="auto"/>
      <w:jc w:val="center"/>
    </w:pPr>
    <w:r>
      <w:rPr>
        <w:noProof/>
      </w:rPr>
      <w:drawing>
        <wp:inline distT="0" distB="0" distL="0" distR="0">
          <wp:extent cx="2800350" cy="903605"/>
          <wp:effectExtent l="0" t="0" r="0" b="0"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/>
                  <pic:cNvPicPr>
                    <a:picLocks noChangeAspect="1"/>
                    <a:extLst>
                      <a:ext uri="smNativeData">
                        <sm:smNativeData xmlns:sm="smNativeData" val="SMDATA_14_t3vxZh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6EQAAjwU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00350" cy="90360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Lista numerada 5"/>
    <w:lvl w:ilvl="0">
      <w:start w:val="1"/>
      <w:numFmt w:val="decimal"/>
      <w:suff w:val="tab"/>
      <w:lvlText w:val="%1."/>
      <w:lvlJc w:val="left"/>
      <w:pPr>
        <w:ind w:left="305" w:hanging="0"/>
      </w:pPr>
      <w:rPr>
        <w:rFonts w:ascii="Verdana" w:hAnsi="Verdana" w:eastAsia="Verdana" w:cs="Verdana"/>
        <w:b/>
        <w:bCs/>
        <w:spacing w:val="-1"/>
        <w:w w:val="100"/>
        <w:sz w:val="24"/>
        <w:szCs w:val="24"/>
        <w:lang w:val="pt-pt" w:bidi="ar-sa"/>
      </w:rPr>
    </w:lvl>
    <w:lvl w:ilvl="1">
      <w:numFmt w:val="bullet"/>
      <w:suff w:val="tab"/>
      <w:lvlText w:val="•"/>
      <w:lvlJc w:val="left"/>
      <w:pPr>
        <w:ind w:left="315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277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240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203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166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129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092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055" w:hanging="0"/>
      </w:pPr>
      <w:rPr>
        <w:lang w:val="pt-pt" w:bidi="ar-sa"/>
      </w:rPr>
    </w:lvl>
  </w:abstractNum>
  <w:abstractNum w:abstractNumId="2">
    <w:multiLevelType w:val="hybridMultilevel"/>
    <w:name w:val="Lista numerada 1"/>
    <w:lvl w:ilvl="0">
      <w:start w:val="1"/>
      <w:numFmt w:val="lowerLetter"/>
      <w:suff w:val="tab"/>
      <w:lvlText w:val="%1)"/>
      <w:lvlJc w:val="left"/>
      <w:pPr>
        <w:ind w:left="54" w:hanging="0"/>
      </w:pPr>
      <w:rPr>
        <w:rFonts w:ascii="Arial" w:hAnsi="Arial" w:eastAsia="Arial" w:cs="Arial"/>
        <w:spacing w:val="-29"/>
        <w:w w:val="100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967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884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800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717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634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550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467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383" w:hanging="0"/>
      </w:pPr>
      <w:rPr>
        <w:lang w:val="pt-pt" w:bidi="ar-sa"/>
      </w:rPr>
    </w:lvl>
  </w:abstractNum>
  <w:abstractNum w:abstractNumId="3">
    <w:multiLevelType w:val="hybridMultilevel"/>
    <w:name w:val="Lista numerada 4"/>
    <w:lvl w:ilvl="0">
      <w:start w:val="1"/>
      <w:numFmt w:val="lowerLetter"/>
      <w:suff w:val="tab"/>
      <w:lvlText w:val="%1)"/>
      <w:lvlJc w:val="left"/>
      <w:pPr>
        <w:ind w:left="-9" w:hanging="0"/>
      </w:pPr>
      <w:rPr>
        <w:rFonts w:ascii="Arial" w:hAnsi="Arial" w:eastAsia="Arial" w:cs="Arial"/>
        <w:spacing w:val="-33"/>
        <w:w w:val="100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904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821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737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654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571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487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404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320" w:hanging="0"/>
      </w:pPr>
      <w:rPr>
        <w:lang w:val="pt-pt" w:bidi="ar-sa"/>
      </w:rPr>
    </w:lvl>
  </w:abstractNum>
  <w:abstractNum w:abstractNumId="4">
    <w:multiLevelType w:val="hybridMultilevel"/>
    <w:name w:val="Lista numerada 6"/>
    <w:lvl w:ilvl="0">
      <w:start w:val="0"/>
      <w:numFmt w:val="none"/>
      <w:suff w:val="tab"/>
      <w:lvlText w:val=""/>
      <w:lvlJc w:val="left"/>
      <w:pPr>
        <w:ind w:left="0" w:hanging="0"/>
      </w:p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5">
    <w:multiLevelType w:val="hybridMultilevel"/>
    <w:name w:val="Lista numerada 2"/>
    <w:lvl w:ilvl="0">
      <w:start w:val="1"/>
      <w:numFmt w:val="lowerLetter"/>
      <w:suff w:val="tab"/>
      <w:lvlText w:val="%1)"/>
      <w:lvlJc w:val="left"/>
      <w:pPr>
        <w:ind w:left="322" w:hanging="0"/>
      </w:pPr>
      <w:rPr>
        <w:rFonts w:ascii="Arial" w:hAnsi="Arial" w:eastAsia="Arial" w:cs="Arial"/>
        <w:spacing w:val="-1"/>
        <w:w w:val="100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1219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2112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3004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897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790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682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575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467" w:hanging="0"/>
      </w:pPr>
      <w:rPr>
        <w:lang w:val="pt-pt" w:bidi="ar-sa"/>
      </w:rPr>
    </w:lvl>
  </w:abstractNum>
  <w:abstractNum w:abstractNumId="6">
    <w:multiLevelType w:val="hybridMultilevel"/>
    <w:name w:val="Lista numerada 3"/>
    <w:lvl w:ilvl="0">
      <w:start w:val="1"/>
      <w:numFmt w:val="lowerLetter"/>
      <w:suff w:val="tab"/>
      <w:lvlText w:val="%1)"/>
      <w:lvlJc w:val="left"/>
      <w:pPr>
        <w:ind w:left="49" w:hanging="0"/>
      </w:pPr>
      <w:rPr>
        <w:rFonts w:ascii="Arial" w:hAnsi="Arial" w:eastAsia="Arial" w:cs="Arial"/>
        <w:spacing w:val="-15"/>
        <w:w w:val="100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962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879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795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712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629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545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462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378" w:hanging="0"/>
      </w:pPr>
      <w:rPr>
        <w:lang w:val="pt-pt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110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3075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0"/>
      <w:tmLastPosIdx w:val="13"/>
    </w:tmLastPosCaret>
    <w:tmLastPosAnchor>
      <w:tmLastPosPgfIdx w:val="0"/>
      <w:tmLastPosIdx w:val="0"/>
    </w:tmLastPosAnchor>
    <w:tmLastPosTblRect w:left="0" w:top="0" w:right="0" w:bottom="0"/>
  </w:tmLastPos>
  <w:tmAppRevision w:date="1727101879" w:val="982" w:fileVer="342" w:fileVerOS="4"/>
  <w:guidesAndGrid showGuides="1" lockGuides="0" snapToGuides="1" snapToPageMargins="0" tolerance="8" gridDistanceHorizontal="110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Verdana" w:hAnsi="Verdana" w:eastAsia="Verdana" w:cs="Verdana"/>
      <w:lang w:val="pt-pt"/>
    </w:rPr>
  </w:style>
  <w:style w:type="paragraph" w:styleId="para1">
    <w:name w:val="heading 1"/>
    <w:qFormat/>
    <w:basedOn w:val="para0"/>
    <w:pPr>
      <w:ind w:left="1018" w:right="1797"/>
      <w:spacing/>
      <w:jc w:val="center"/>
      <w:outlineLvl w:val="0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para2">
    <w:name w:val="heading 2"/>
    <w:qFormat/>
    <w:basedOn w:val="para0"/>
    <w:pPr>
      <w:ind w:left="20"/>
      <w:outlineLvl w:val="1"/>
    </w:pPr>
  </w:style>
  <w:style w:type="paragraph" w:styleId="para3">
    <w:name w:val="heading 3"/>
    <w:qFormat/>
    <w:basedOn w:val="para0"/>
    <w:pPr>
      <w:ind w:left="810" w:hanging="489"/>
      <w:outlineLvl w:val="2"/>
    </w:pPr>
    <w:rPr>
      <w:b/>
      <w:bCs/>
      <w:sz w:val="20"/>
      <w:szCs w:val="20"/>
    </w:rPr>
  </w:style>
  <w:style w:type="paragraph" w:styleId="para4">
    <w:name w:val="Body Text"/>
    <w:qFormat/>
    <w:basedOn w:val="para0"/>
    <w:rPr>
      <w:sz w:val="20"/>
      <w:szCs w:val="20"/>
    </w:rPr>
  </w:style>
  <w:style w:type="paragraph" w:styleId="para5">
    <w:name w:val="List Paragraph"/>
    <w:qFormat/>
    <w:basedOn w:val="para0"/>
    <w:pPr>
      <w:ind w:left="323"/>
      <w:spacing/>
      <w:jc w:val="both"/>
    </w:pPr>
  </w:style>
  <w:style w:type="paragraph" w:styleId="para6" w:customStyle="1">
    <w:name w:val="Table Paragraph"/>
    <w:qFormat/>
    <w:basedOn w:val="para0"/>
  </w:style>
  <w:style w:type="paragraph" w:styleId="para7">
    <w:name w:val="Header"/>
    <w:qFormat/>
    <w:basedOn w:val="para0"/>
    <w:pPr>
      <w:tabs defTabSz="720">
        <w:tab w:val="center" w:pos="4252" w:leader="none"/>
        <w:tab w:val="right" w:pos="8504" w:leader="none"/>
      </w:tabs>
    </w:pPr>
  </w:style>
  <w:style w:type="paragraph" w:styleId="para8">
    <w:name w:val="Footer"/>
    <w:qFormat/>
    <w:basedOn w:val="para0"/>
    <w:pPr>
      <w:tabs defTabSz="720">
        <w:tab w:val="center" w:pos="4252" w:leader="none"/>
        <w:tab w:val="right" w:pos="8504" w:leader="none"/>
      </w:tabs>
    </w:pPr>
  </w:style>
  <w:style w:type="paragraph" w:styleId="para9">
    <w:name w:val="Balloon Text"/>
    <w:qFormat/>
    <w:basedOn w:val="para0"/>
    <w:rPr>
      <w:rFonts w:ascii="Segoe UI" w:hAnsi="Segoe UI" w:cs="Segoe UI"/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  <w:rPr>
      <w:rFonts w:ascii="Verdana" w:hAnsi="Verdana" w:eastAsia="Verdana" w:cs="Verdana"/>
      <w:lang w:val="pt-pt"/>
    </w:rPr>
  </w:style>
  <w:style w:type="character" w:styleId="char2" w:customStyle="1">
    <w:name w:val="Rodapé Char"/>
    <w:basedOn w:val="char0"/>
    <w:rPr>
      <w:rFonts w:ascii="Verdana" w:hAnsi="Verdana" w:eastAsia="Verdana" w:cs="Verdana"/>
      <w:lang w:val="pt-pt"/>
    </w:rPr>
  </w:style>
  <w:style w:type="character" w:styleId="char3" w:customStyle="1">
    <w:name w:val="Texto de balão Char"/>
    <w:basedOn w:val="char0"/>
    <w:rPr>
      <w:rFonts w:ascii="Segoe UI" w:hAnsi="Segoe UI" w:eastAsia="Verdana" w:cs="Segoe UI"/>
      <w:sz w:val="18"/>
      <w:szCs w:val="18"/>
      <w:lang w:val="pt-pt"/>
    </w:rPr>
  </w:style>
  <w:style w:type="character" w:styleId="char4">
    <w:name w:val="Hyperlink"/>
    <w:basedOn w:val="char0"/>
    <w:rPr>
      <w:color w:val="0000ff"/>
      <w:u w:color="auto" w:val="single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Verdana" w:hAnsi="Verdana" w:eastAsia="Verdana" w:cs="Verdana"/>
      <w:lang w:val="pt-pt"/>
    </w:rPr>
  </w:style>
  <w:style w:type="paragraph" w:styleId="para1">
    <w:name w:val="heading 1"/>
    <w:qFormat/>
    <w:basedOn w:val="para0"/>
    <w:pPr>
      <w:ind w:left="1018" w:right="1797"/>
      <w:spacing/>
      <w:jc w:val="center"/>
      <w:outlineLvl w:val="0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para2">
    <w:name w:val="heading 2"/>
    <w:qFormat/>
    <w:basedOn w:val="para0"/>
    <w:pPr>
      <w:ind w:left="20"/>
      <w:outlineLvl w:val="1"/>
    </w:pPr>
  </w:style>
  <w:style w:type="paragraph" w:styleId="para3">
    <w:name w:val="heading 3"/>
    <w:qFormat/>
    <w:basedOn w:val="para0"/>
    <w:pPr>
      <w:ind w:left="810" w:hanging="489"/>
      <w:outlineLvl w:val="2"/>
    </w:pPr>
    <w:rPr>
      <w:b/>
      <w:bCs/>
      <w:sz w:val="20"/>
      <w:szCs w:val="20"/>
    </w:rPr>
  </w:style>
  <w:style w:type="paragraph" w:styleId="para4">
    <w:name w:val="Body Text"/>
    <w:qFormat/>
    <w:basedOn w:val="para0"/>
    <w:rPr>
      <w:sz w:val="20"/>
      <w:szCs w:val="20"/>
    </w:rPr>
  </w:style>
  <w:style w:type="paragraph" w:styleId="para5">
    <w:name w:val="List Paragraph"/>
    <w:qFormat/>
    <w:basedOn w:val="para0"/>
    <w:pPr>
      <w:ind w:left="323"/>
      <w:spacing/>
      <w:jc w:val="both"/>
    </w:pPr>
  </w:style>
  <w:style w:type="paragraph" w:styleId="para6" w:customStyle="1">
    <w:name w:val="Table Paragraph"/>
    <w:qFormat/>
    <w:basedOn w:val="para0"/>
  </w:style>
  <w:style w:type="paragraph" w:styleId="para7">
    <w:name w:val="Header"/>
    <w:qFormat/>
    <w:basedOn w:val="para0"/>
    <w:pPr>
      <w:tabs defTabSz="720">
        <w:tab w:val="center" w:pos="4252" w:leader="none"/>
        <w:tab w:val="right" w:pos="8504" w:leader="none"/>
      </w:tabs>
    </w:pPr>
  </w:style>
  <w:style w:type="paragraph" w:styleId="para8">
    <w:name w:val="Footer"/>
    <w:qFormat/>
    <w:basedOn w:val="para0"/>
    <w:pPr>
      <w:tabs defTabSz="720">
        <w:tab w:val="center" w:pos="4252" w:leader="none"/>
        <w:tab w:val="right" w:pos="8504" w:leader="none"/>
      </w:tabs>
    </w:pPr>
  </w:style>
  <w:style w:type="paragraph" w:styleId="para9">
    <w:name w:val="Balloon Text"/>
    <w:qFormat/>
    <w:basedOn w:val="para0"/>
    <w:rPr>
      <w:rFonts w:ascii="Segoe UI" w:hAnsi="Segoe UI" w:cs="Segoe UI"/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  <w:rPr>
      <w:rFonts w:ascii="Verdana" w:hAnsi="Verdana" w:eastAsia="Verdana" w:cs="Verdana"/>
      <w:lang w:val="pt-pt"/>
    </w:rPr>
  </w:style>
  <w:style w:type="character" w:styleId="char2" w:customStyle="1">
    <w:name w:val="Rodapé Char"/>
    <w:basedOn w:val="char0"/>
    <w:rPr>
      <w:rFonts w:ascii="Verdana" w:hAnsi="Verdana" w:eastAsia="Verdana" w:cs="Verdana"/>
      <w:lang w:val="pt-pt"/>
    </w:rPr>
  </w:style>
  <w:style w:type="character" w:styleId="char3" w:customStyle="1">
    <w:name w:val="Texto de balão Char"/>
    <w:basedOn w:val="char0"/>
    <w:rPr>
      <w:rFonts w:ascii="Segoe UI" w:hAnsi="Segoe UI" w:eastAsia="Verdana" w:cs="Segoe UI"/>
      <w:sz w:val="18"/>
      <w:szCs w:val="18"/>
      <w:lang w:val="pt-pt"/>
    </w:rPr>
  </w:style>
  <w:style w:type="character" w:styleId="char4">
    <w:name w:val="Hyperlink"/>
    <w:basedOn w:val="char0"/>
    <w:rPr>
      <w:color w:val="0000ff"/>
      <w:u w:color="auto" w:val="single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mailto:dispensalicitacao@cravinhos.sp.gov.br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Verdana"/>
        <a:ea typeface="Verdana"/>
        <a:cs typeface="Verdan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/>
  <cp:revision>8</cp:revision>
  <cp:lastPrinted>2024-03-07T19:38:00Z</cp:lastPrinted>
  <dcterms:created xsi:type="dcterms:W3CDTF">2024-03-07T19:03:00Z</dcterms:created>
  <dcterms:modified xsi:type="dcterms:W3CDTF">2024-09-23T14:31:19Z</dcterms:modified>
</cp:coreProperties>
</file>