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spacing w:lineRule="auto" w:line="276" w:before="238" w:after="0"/>
        <w:jc w:val="center"/>
        <w:rPr/>
      </w:pPr>
      <w:r>
        <w:rPr>
          <w:rStyle w:val="TtuloChar"/>
          <w:color w:val="111111"/>
        </w:rPr>
        <w:t>TERMO DE REFERÊNCIA</w:t>
      </w:r>
    </w:p>
    <w:p>
      <w:pPr>
        <w:pStyle w:val="Tpico1"/>
        <w:numPr>
          <w:ilvl w:val="0"/>
          <w:numId w:val="100"/>
        </w:numPr>
        <w:spacing w:lineRule="auto" w:line="276" w:before="238" w:after="0"/>
        <w:ind w:hanging="0" w:left="0"/>
        <w:rPr>
          <w:color w:val="111111"/>
        </w:rPr>
      </w:pPr>
      <w:r>
        <w:rPr>
          <w:color w:val="111111"/>
        </w:rPr>
        <w:t>DADOS GERAIS</w:t>
      </w:r>
    </w:p>
    <w:p>
      <w:pPr>
        <w:pStyle w:val="Tpico"/>
        <w:numPr>
          <w:ilvl w:val="0"/>
          <w:numId w:val="10"/>
        </w:numPr>
        <w:spacing w:lineRule="auto" w:line="276" w:before="238" w:after="0"/>
        <w:ind w:hanging="0" w:left="0"/>
        <w:rPr>
          <w:rFonts w:ascii="Segoe UI" w:hAnsi="Segoe UI" w:cs="Segoe UI"/>
          <w:color w:val="111111"/>
        </w:rPr>
      </w:pPr>
      <w:r>
        <w:rPr>
          <w:rFonts w:cs="Segoe UI" w:ascii="Segoe UI" w:hAnsi="Segoe UI"/>
          <w:color w:val="111111"/>
        </w:rPr>
        <w:t>Número do processo: 11179/2026</w:t>
      </w:r>
    </w:p>
    <w:p>
      <w:pPr>
        <w:pStyle w:val="Tpico"/>
        <w:numPr>
          <w:ilvl w:val="0"/>
          <w:numId w:val="101"/>
        </w:numPr>
        <w:spacing w:lineRule="auto" w:line="276" w:before="238" w:after="0"/>
        <w:ind w:hanging="0" w:left="0"/>
        <w:rPr>
          <w:rFonts w:ascii="Segoe UI" w:hAnsi="Segoe UI" w:cs="Segoe UI"/>
          <w:color w:val="111111"/>
        </w:rPr>
      </w:pPr>
      <w:r>
        <w:rPr>
          <w:rFonts w:cs="Segoe UI" w:ascii="Segoe UI" w:hAnsi="Segoe UI"/>
          <w:color w:val="111111"/>
        </w:rPr>
        <w:t>Secretaria demandante: Secretaria de Obras, Conservação e Serviços Públicos</w:t>
      </w:r>
    </w:p>
    <w:p>
      <w:pPr>
        <w:pStyle w:val="Tpico"/>
        <w:numPr>
          <w:ilvl w:val="0"/>
          <w:numId w:val="102"/>
        </w:numPr>
        <w:spacing w:lineRule="auto" w:line="276" w:before="238" w:after="0"/>
        <w:ind w:hanging="0" w:left="0"/>
        <w:rPr>
          <w:rFonts w:ascii="Segoe UI" w:hAnsi="Segoe UI" w:cs="Segoe UI"/>
          <w:color w:val="111111"/>
        </w:rPr>
      </w:pPr>
      <w:r>
        <w:rPr>
          <w:rFonts w:cs="Segoe UI" w:ascii="Segoe UI" w:hAnsi="Segoe UI"/>
          <w:color w:val="111111"/>
        </w:rPr>
        <w:t xml:space="preserve"> </w:t>
      </w:r>
      <w:r>
        <w:rPr>
          <w:rFonts w:cs="Segoe UI" w:ascii="Segoe UI" w:hAnsi="Segoe UI"/>
          <w:color w:val="111111"/>
        </w:rPr>
        <w:t>Responsável: Mário José Pastorelli – Coordenador de Área de Serviços Funerários e Velórios</w:t>
      </w:r>
      <w:bookmarkStart w:id="0" w:name="_Hlk114133479"/>
      <w:bookmarkStart w:id="1" w:name="_Hlk114133412"/>
      <w:bookmarkEnd w:id="0"/>
      <w:bookmarkEnd w:id="1"/>
    </w:p>
    <w:p>
      <w:pPr>
        <w:pStyle w:val="Tpico1"/>
        <w:numPr>
          <w:ilvl w:val="0"/>
          <w:numId w:val="103"/>
        </w:numPr>
        <w:spacing w:lineRule="auto" w:line="276" w:before="238" w:after="0"/>
        <w:ind w:hanging="0" w:left="0"/>
        <w:rPr>
          <w:color w:val="111111"/>
        </w:rPr>
      </w:pPr>
      <w:r>
        <w:rPr>
          <w:color w:val="111111"/>
        </w:rPr>
        <w:t>CONCEITUAÇÃO DO OBJETO</w:t>
      </w:r>
    </w:p>
    <w:p>
      <w:pPr>
        <w:pStyle w:val="Tpico2"/>
        <w:numPr>
          <w:ilvl w:val="1"/>
          <w:numId w:val="104"/>
        </w:numPr>
        <w:spacing w:lineRule="auto" w:line="276" w:before="238" w:after="0"/>
        <w:ind w:hanging="0" w:left="0"/>
        <w:rPr/>
      </w:pPr>
      <w:r>
        <w:rPr>
          <w:color w:val="111111"/>
        </w:rPr>
        <w:t xml:space="preserve">Objeto a ser contratado  </w:t>
      </w:r>
      <w:bookmarkStart w:id="2" w:name="_Hlk115684682"/>
      <w:r>
        <w:rPr>
          <w:b w:val="false"/>
          <w:bCs w:val="false"/>
          <w:color w:val="111111"/>
        </w:rPr>
        <w:t xml:space="preserve"> </w:t>
      </w:r>
      <w:bookmarkEnd w:id="2"/>
    </w:p>
    <w:p>
      <w:pPr>
        <w:pStyle w:val="Standard"/>
        <w:spacing w:lineRule="auto" w:line="276" w:before="238" w:after="0"/>
        <w:rPr>
          <w:color w:val="111111"/>
        </w:rPr>
      </w:pPr>
      <w:r>
        <w:rPr>
          <w:color w:val="111111"/>
        </w:rPr>
        <w:t>O fornecimento de 2 (dois) bebedouros industriais de coluna, com capacidade de 50 litros, 2 (duas) torneiras, tensão de 110 V, destinados ao atendimento dos Velórios Municipais (um localizado no município de Sertãozinho e outro no distrito de Cruz das Posses), conforme especificações técnicas, quantitativos e demais condições estabelecidas neste Termo de Referência e em seus anexos.</w:t>
      </w:r>
    </w:p>
    <w:p>
      <w:pPr>
        <w:pStyle w:val="Tpico2"/>
        <w:numPr>
          <w:ilvl w:val="1"/>
          <w:numId w:val="105"/>
        </w:numPr>
        <w:spacing w:lineRule="auto" w:line="276" w:before="238" w:after="0"/>
        <w:ind w:hanging="0" w:left="0"/>
        <w:rPr>
          <w:color w:val="111111"/>
        </w:rPr>
      </w:pPr>
      <w:r>
        <w:rPr>
          <w:color w:val="111111"/>
        </w:rPr>
        <w:t>Natureza do objeto</w:t>
      </w:r>
    </w:p>
    <w:p>
      <w:pPr>
        <w:pStyle w:val="Standard"/>
        <w:spacing w:lineRule="auto" w:line="276" w:before="238" w:after="0"/>
        <w:rPr>
          <w:color w:val="111111"/>
        </w:rPr>
      </w:pPr>
      <w:r>
        <w:rPr>
          <w:color w:val="111111"/>
        </w:rPr>
        <w:t xml:space="preserve">Aquisição de bens   </w:t>
      </w:r>
    </w:p>
    <w:p>
      <w:pPr>
        <w:pStyle w:val="Tpico2"/>
        <w:numPr>
          <w:ilvl w:val="1"/>
          <w:numId w:val="106"/>
        </w:numPr>
        <w:spacing w:lineRule="auto" w:line="276" w:before="238" w:after="0"/>
        <w:ind w:hanging="0" w:left="0"/>
        <w:rPr>
          <w:color w:val="111111"/>
        </w:rPr>
      </w:pPr>
      <w:r>
        <w:rPr>
          <w:color w:val="111111"/>
        </w:rPr>
        <w:t>Fundamentação da contratação</w:t>
      </w:r>
    </w:p>
    <w:p>
      <w:pPr>
        <w:pStyle w:val="Standard"/>
        <w:spacing w:lineRule="auto" w:line="276" w:before="238" w:after="0"/>
        <w:rPr>
          <w:color w:val="111111"/>
        </w:rPr>
      </w:pPr>
      <w:r>
        <w:rPr>
          <w:color w:val="111111"/>
        </w:rPr>
        <w:t>Não existe Estudo Técnico Preliminar elaborado.</w:t>
      </w:r>
    </w:p>
    <w:p>
      <w:pPr>
        <w:pStyle w:val="Nvel2-Red"/>
        <w:spacing w:lineRule="auto" w:line="276" w:before="238" w:after="0"/>
        <w:rPr>
          <w:color w:val="111111"/>
        </w:rPr>
      </w:pPr>
      <w:r>
        <w:rPr>
          <w:color w:val="111111"/>
        </w:rPr>
        <w:t>O objeto da contratação está previsto no Plano de Contratações Anual – PCA 2026, Item 738.</w:t>
      </w:r>
    </w:p>
    <w:p>
      <w:pPr>
        <w:pStyle w:val="Tpico2"/>
        <w:numPr>
          <w:ilvl w:val="1"/>
          <w:numId w:val="107"/>
        </w:numPr>
        <w:spacing w:lineRule="auto" w:line="276" w:before="238" w:after="0"/>
        <w:ind w:hanging="0" w:left="0"/>
        <w:rPr>
          <w:color w:val="111111"/>
        </w:rPr>
      </w:pPr>
      <w:r>
        <w:rPr>
          <w:color w:val="111111"/>
        </w:rPr>
        <w:t>Há legislação especial que deva ser considerada na contratação?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Quebras"/>
        <w:spacing w:lineRule="auto" w:line="276" w:before="238" w:after="0"/>
        <w:rPr>
          <w:color w:val="111111"/>
        </w:rPr>
      </w:pPr>
      <w:r>
        <w:rPr>
          <w:color w:val="111111"/>
        </w:rPr>
        <w:t xml:space="preserve">    </w:t>
      </w:r>
    </w:p>
    <w:p>
      <w:pPr>
        <w:pStyle w:val="Tpico2"/>
        <w:numPr>
          <w:ilvl w:val="1"/>
          <w:numId w:val="108"/>
        </w:numPr>
        <w:spacing w:lineRule="auto" w:line="276" w:before="238" w:after="0"/>
        <w:ind w:hanging="0" w:left="0"/>
        <w:rPr>
          <w:color w:val="111111"/>
        </w:rPr>
      </w:pPr>
      <w:bookmarkStart w:id="3" w:name="_Hlk114844323"/>
      <w:r>
        <w:rPr>
          <w:color w:val="111111"/>
        </w:rPr>
        <w:t>Justificativa da contratação</w:t>
      </w:r>
      <w:bookmarkEnd w:id="3"/>
    </w:p>
    <w:p>
      <w:pPr>
        <w:pStyle w:val="Standard"/>
        <w:spacing w:lineRule="auto" w:line="276" w:before="238" w:after="0"/>
        <w:rPr>
          <w:color w:val="111111"/>
        </w:rPr>
      </w:pPr>
      <w:r>
        <w:rPr>
          <w:color w:val="111111"/>
        </w:rPr>
        <w:t>A presente contratação justifica-se pela necessidade de disponibilizar água potável em condições adequadas de higiene, segurança e conforto aos visitantes e frequentadores dos Velórios Municipais, contribuindo para a melhoria do atendimento ao público.</w:t>
      </w:r>
    </w:p>
    <w:p>
      <w:pPr>
        <w:pStyle w:val="Standard"/>
        <w:spacing w:lineRule="auto" w:line="276" w:before="238" w:after="0"/>
        <w:rPr>
          <w:color w:val="111111"/>
        </w:rPr>
      </w:pPr>
      <w:r>
        <w:rPr>
          <w:color w:val="111111"/>
        </w:rPr>
        <w:t>Os bebedouros industriais serão utilizados para atender à demanda diária da unidade, proporcionando fornecimento contínuo de água refrigerada em quantidade compatível com o fluxo de visitantes e frequentadores, com maior praticidade e eficiência, especialmente em razão das condições climáticas.</w:t>
      </w:r>
    </w:p>
    <w:p>
      <w:pPr>
        <w:pStyle w:val="Standard"/>
        <w:spacing w:lineRule="auto" w:line="276" w:before="238" w:after="0"/>
        <w:rPr>
          <w:color w:val="111111"/>
        </w:rPr>
      </w:pPr>
      <w:r>
        <w:rPr>
          <w:color w:val="111111"/>
        </w:rPr>
        <w:t>A inexistência ou insuficiência desses equipamentos comprometerá as condições adequadas de atendimento e prejudicará o suporte oferecido aos visitantes e frequentadores dos Velórios Municipais, especialmente durante sua permanência nos Velórios Municipais.</w:t>
      </w:r>
    </w:p>
    <w:p>
      <w:pPr>
        <w:pStyle w:val="Standard"/>
        <w:spacing w:lineRule="auto" w:line="276" w:before="238" w:after="0"/>
        <w:rPr>
          <w:color w:val="111111"/>
        </w:rPr>
      </w:pPr>
      <w:r>
        <w:rPr>
          <w:color w:val="111111"/>
        </w:rPr>
        <w:t>A contratação está alinhada ao planejamento das atividades da Secretaria de Obras, Conservação e Serviços Públicos e visa proporcionar melhores condições de trabalho, bem-estar e atendimento à população.</w:t>
      </w:r>
    </w:p>
    <w:p>
      <w:pPr>
        <w:pStyle w:val="Standard"/>
        <w:spacing w:lineRule="auto" w:line="276" w:before="238" w:after="0"/>
        <w:rPr>
          <w:color w:val="111111"/>
        </w:rPr>
      </w:pPr>
      <w:r>
        <w:rPr>
          <w:color w:val="111111"/>
        </w:rPr>
        <w:t>Dessa forma, a aquisição dos bebedouros industriais de coluna mostram-se necessários para atender adequadamente à demanda dos Velórios Municipais, proporcionando maior conforto, praticidade e comodidade aos visitantes e frequentadores.</w:t>
      </w:r>
    </w:p>
    <w:p>
      <w:pPr>
        <w:pStyle w:val="Tpico2"/>
        <w:numPr>
          <w:ilvl w:val="1"/>
          <w:numId w:val="109"/>
        </w:numPr>
        <w:spacing w:lineRule="auto" w:line="276" w:before="238" w:after="0"/>
        <w:ind w:hanging="0" w:left="0"/>
        <w:rPr>
          <w:color w:val="111111"/>
        </w:rPr>
      </w:pPr>
      <w:r>
        <w:rPr>
          <w:color w:val="111111"/>
        </w:rPr>
        <w:t>Requisitos da contratação</w:t>
      </w:r>
    </w:p>
    <w:p>
      <w:pPr>
        <w:pStyle w:val="Standard"/>
        <w:spacing w:lineRule="auto" w:line="276" w:before="238" w:after="0"/>
        <w:rPr>
          <w:color w:val="111111"/>
        </w:rPr>
      </w:pPr>
      <w:r>
        <w:rPr>
          <w:color w:val="111111"/>
        </w:rPr>
        <w:t>A empresa contratada deverá fornecer bebedouros industriais novos, de primeiro uso, sem qualquer tipo de avaria, recondicionamento ou remanufatura, acompanhados de todos os acessórios necessários ao seu perfeito funcionamento, bem como manual de instruções em língua portuguesa.</w:t>
      </w:r>
    </w:p>
    <w:p>
      <w:pPr>
        <w:pStyle w:val="Standard"/>
        <w:spacing w:lineRule="auto" w:line="276" w:before="238" w:after="0"/>
        <w:rPr>
          <w:color w:val="111111"/>
        </w:rPr>
      </w:pPr>
      <w:r>
        <w:rPr>
          <w:color w:val="111111"/>
        </w:rPr>
        <w:t>Os equipamentos deverão possuir capacidade mínima de 50 (cinquenta) litros, potência de 110 W, tensão de 110 V, ser do tipo coluna e destinados ao uso institucional/comercial, adequados para atendimento contínuo de usuários.</w:t>
      </w:r>
    </w:p>
    <w:p>
      <w:pPr>
        <w:pStyle w:val="Standard"/>
        <w:spacing w:lineRule="auto" w:line="276" w:before="238" w:after="0"/>
        <w:rPr>
          <w:color w:val="111111"/>
        </w:rPr>
      </w:pPr>
      <w:r>
        <w:rPr>
          <w:color w:val="111111"/>
        </w:rPr>
        <w:t>Os bebedouros deverão possuir gabinete confeccionado em aço inoxidável, próprio para uso contínuo, resistente à corrosão, à umidade e de fácil higienização.</w:t>
      </w:r>
    </w:p>
    <w:p>
      <w:pPr>
        <w:pStyle w:val="Standard"/>
        <w:spacing w:lineRule="auto" w:line="276" w:before="238" w:after="0"/>
        <w:rPr>
          <w:color w:val="111111"/>
        </w:rPr>
      </w:pPr>
      <w:r>
        <w:rPr>
          <w:color w:val="111111"/>
        </w:rPr>
        <w:t>O reservatório deverá ser fabricado em material apropriado para contato com água potável, resistente à corrosão, atóxico e dotado de isolamento térmico, garantindo a conservação da temperatura da água.</w:t>
      </w:r>
    </w:p>
    <w:p>
      <w:pPr>
        <w:pStyle w:val="Standard"/>
        <w:spacing w:lineRule="auto" w:line="276" w:before="238" w:after="0"/>
        <w:rPr>
          <w:color w:val="111111"/>
        </w:rPr>
      </w:pPr>
      <w:r>
        <w:rPr>
          <w:color w:val="111111"/>
        </w:rPr>
        <w:t>Os equipamentos deverão possuir, no mínimo:</w:t>
      </w:r>
    </w:p>
    <w:p>
      <w:pPr>
        <w:pStyle w:val="Standard"/>
        <w:spacing w:lineRule="auto" w:line="276" w:before="238" w:after="0"/>
        <w:rPr>
          <w:color w:val="111111"/>
        </w:rPr>
      </w:pPr>
      <w:r>
        <w:rPr>
          <w:color w:val="111111"/>
        </w:rPr>
        <w:t xml:space="preserve">• </w:t>
      </w:r>
      <w:r>
        <w:rPr>
          <w:color w:val="111111"/>
        </w:rPr>
        <w:t>capacidade de armazenamento de 50 (cinquenta) litros;</w:t>
      </w:r>
    </w:p>
    <w:p>
      <w:pPr>
        <w:pStyle w:val="Standard"/>
        <w:spacing w:lineRule="auto" w:line="276" w:before="238" w:after="0"/>
        <w:rPr>
          <w:color w:val="111111"/>
        </w:rPr>
      </w:pPr>
      <w:r>
        <w:rPr>
          <w:color w:val="111111"/>
        </w:rPr>
        <w:t xml:space="preserve">• </w:t>
      </w:r>
      <w:r>
        <w:rPr>
          <w:color w:val="111111"/>
        </w:rPr>
        <w:t>02 (duas) torneiras de alta resistência para fornecimento de água, confeccionadas em material apropriado para uso contínuo;</w:t>
      </w:r>
    </w:p>
    <w:p>
      <w:pPr>
        <w:pStyle w:val="Standard"/>
        <w:spacing w:lineRule="auto" w:line="276" w:before="238" w:after="0"/>
        <w:rPr>
          <w:color w:val="111111"/>
        </w:rPr>
      </w:pPr>
      <w:r>
        <w:rPr>
          <w:color w:val="111111"/>
        </w:rPr>
        <w:t xml:space="preserve">• </w:t>
      </w:r>
      <w:r>
        <w:rPr>
          <w:color w:val="111111"/>
        </w:rPr>
        <w:t>sistema de refrigeração por compressor ou tecnologia equivalente, adequado à capacidade do equipamento;</w:t>
      </w:r>
    </w:p>
    <w:p>
      <w:pPr>
        <w:pStyle w:val="Standard"/>
        <w:spacing w:lineRule="auto" w:line="276" w:before="238" w:after="0"/>
        <w:rPr>
          <w:color w:val="111111"/>
        </w:rPr>
      </w:pPr>
      <w:r>
        <w:rPr>
          <w:color w:val="111111"/>
        </w:rPr>
        <w:t xml:space="preserve">• </w:t>
      </w:r>
      <w:r>
        <w:rPr>
          <w:color w:val="111111"/>
        </w:rPr>
        <w:t>termostato para controle da temperatura da água, quando aplicável;</w:t>
      </w:r>
    </w:p>
    <w:p>
      <w:pPr>
        <w:pStyle w:val="Standard"/>
        <w:spacing w:lineRule="auto" w:line="276" w:before="238" w:after="0"/>
        <w:rPr>
          <w:color w:val="111111"/>
        </w:rPr>
      </w:pPr>
      <w:r>
        <w:rPr>
          <w:color w:val="111111"/>
        </w:rPr>
      </w:r>
    </w:p>
    <w:p>
      <w:pPr>
        <w:pStyle w:val="Standard"/>
        <w:spacing w:lineRule="auto" w:line="276" w:before="238" w:after="0"/>
        <w:rPr>
          <w:color w:val="111111"/>
        </w:rPr>
      </w:pPr>
      <w:r>
        <w:rPr>
          <w:color w:val="111111"/>
        </w:rPr>
        <w:t xml:space="preserve">• </w:t>
      </w:r>
      <w:r>
        <w:rPr>
          <w:color w:val="111111"/>
        </w:rPr>
        <w:t>bandeja coletora de água removível, facilitando a limpeza e a higienização;</w:t>
      </w:r>
    </w:p>
    <w:p>
      <w:pPr>
        <w:pStyle w:val="Standard"/>
        <w:spacing w:lineRule="auto" w:line="276" w:before="238" w:after="0"/>
        <w:rPr>
          <w:color w:val="111111"/>
        </w:rPr>
      </w:pPr>
      <w:r>
        <w:rPr>
          <w:color w:val="111111"/>
        </w:rPr>
        <w:t xml:space="preserve">• </w:t>
      </w:r>
      <w:r>
        <w:rPr>
          <w:color w:val="111111"/>
        </w:rPr>
        <w:t>pés reguláveis ou sistema equivalente que assegure estabilidade durante a utilização;</w:t>
      </w:r>
    </w:p>
    <w:p>
      <w:pPr>
        <w:pStyle w:val="Standard"/>
        <w:spacing w:lineRule="auto" w:line="276" w:before="238" w:after="0"/>
        <w:rPr>
          <w:color w:val="111111"/>
        </w:rPr>
      </w:pPr>
      <w:r>
        <w:rPr>
          <w:color w:val="111111"/>
        </w:rPr>
        <w:t xml:space="preserve">• </w:t>
      </w:r>
      <w:r>
        <w:rPr>
          <w:color w:val="111111"/>
        </w:rPr>
        <w:t>dreno ou dispositivo que facilite a limpeza e a manutenção do reservatório, quando aplicável;</w:t>
      </w:r>
    </w:p>
    <w:p>
      <w:pPr>
        <w:pStyle w:val="Standard"/>
        <w:spacing w:lineRule="auto" w:line="276" w:before="238" w:after="0"/>
        <w:rPr>
          <w:color w:val="111111"/>
        </w:rPr>
      </w:pPr>
      <w:r>
        <w:rPr>
          <w:color w:val="111111"/>
        </w:rPr>
        <w:t xml:space="preserve">• </w:t>
      </w:r>
      <w:r>
        <w:rPr>
          <w:color w:val="111111"/>
        </w:rPr>
        <w:t>cabo de alimentação elétrica e plugue em conformidade com o padrão brasileiro (NBR 14136).</w:t>
      </w:r>
    </w:p>
    <w:p>
      <w:pPr>
        <w:pStyle w:val="Standard"/>
        <w:spacing w:lineRule="auto" w:line="276" w:before="238" w:after="0"/>
        <w:rPr>
          <w:color w:val="111111"/>
        </w:rPr>
      </w:pPr>
      <w:r>
        <w:rPr>
          <w:color w:val="111111"/>
        </w:rPr>
        <w:t>Os equipamentos deverão atender às normas técnicas e de segurança aplicáveis, possuindo certificação do INMETRO, quando exigível pela legislação vigente.</w:t>
      </w:r>
    </w:p>
    <w:p>
      <w:pPr>
        <w:pStyle w:val="Standard"/>
        <w:spacing w:lineRule="auto" w:line="276" w:before="238" w:after="0"/>
        <w:rPr>
          <w:color w:val="111111"/>
        </w:rPr>
      </w:pPr>
      <w:r>
        <w:rPr>
          <w:color w:val="111111"/>
        </w:rPr>
        <w:t>Os materiais empregados na fabricação deverão apresentar resistência mecânica, durabilidade e acabamento compatíveis com o uso institucional, assegurando adequado desempenho durante toda a vida útil do equipamento.</w:t>
      </w:r>
    </w:p>
    <w:p>
      <w:pPr>
        <w:pStyle w:val="Standard"/>
        <w:spacing w:lineRule="auto" w:line="276" w:before="238" w:after="0"/>
        <w:rPr>
          <w:color w:val="111111"/>
        </w:rPr>
      </w:pPr>
      <w:r>
        <w:rPr>
          <w:color w:val="111111"/>
        </w:rPr>
        <w:t>Os equipamentos deverão ser entregues devidamente acondicionados em embalagem original do fabricante, protegidos contra danos durante o transporte, responsabilizando-se a contratada por quaisquer avarias constatadas até o recebimento definitivo.</w:t>
      </w:r>
    </w:p>
    <w:p>
      <w:pPr>
        <w:pStyle w:val="Standard"/>
        <w:spacing w:lineRule="auto" w:line="276" w:before="238" w:after="0"/>
        <w:rPr>
          <w:color w:val="111111"/>
        </w:rPr>
      </w:pPr>
      <w:r>
        <w:rPr>
          <w:color w:val="111111"/>
        </w:rPr>
        <w:t>A contratada deverá fornecer todos os componentes necessários ao perfeito funcionamento do equipamento, inclusive mangueiras, conexões, acessórios de instalação e demais itens que acompanhem o produto originalmente.</w:t>
      </w:r>
    </w:p>
    <w:p>
      <w:pPr>
        <w:pStyle w:val="Standard"/>
        <w:spacing w:lineRule="auto" w:line="276" w:before="238" w:after="0"/>
        <w:rPr>
          <w:color w:val="111111"/>
        </w:rPr>
      </w:pPr>
      <w:r>
        <w:rPr>
          <w:color w:val="111111"/>
        </w:rPr>
        <w:t>Os equipamentos deverão possuir garantia mínima de 12 (doze) meses, contados da data do recebimento definitivo, abrangendo defeitos de fabricação, funcionamento e componentes, obrigando-se a contratada a promover, sem qualquer ônus para o Município, o reparo ou a substituição do equipamento que apresentar defeito durante o período de garantia.</w:t>
      </w:r>
    </w:p>
    <w:p>
      <w:pPr>
        <w:pStyle w:val="Standard"/>
        <w:spacing w:lineRule="auto" w:line="276" w:before="238" w:after="0"/>
        <w:rPr>
          <w:color w:val="111111"/>
        </w:rPr>
      </w:pPr>
      <w:r>
        <w:rPr>
          <w:color w:val="111111"/>
        </w:rPr>
        <w:t>A contratada deverá observar o prazo de entrega estabelecido pela Administração e fornecer os equipamentos em conformidade com as especificações constantes deste Termo de Referência, responsabilizando-se pela substituição daqueles entregues em desacordo com as exigências da contratação.</w:t>
      </w:r>
    </w:p>
    <w:p>
      <w:pPr>
        <w:pStyle w:val="Standard"/>
        <w:spacing w:lineRule="auto" w:line="276" w:before="238" w:after="0"/>
        <w:rPr>
          <w:color w:val="111111"/>
        </w:rPr>
      </w:pPr>
      <w:r>
        <w:rPr>
          <w:color w:val="111111"/>
        </w:rPr>
        <w:t>Os requisitos estabelecidos correspondem às características mínimas necessárias ao atendimento da necessidade administrativa, observando os padrões de qualidade praticados no mercado e preservando a ampla competitividade entre os potenciais fornecedores.</w:t>
      </w:r>
    </w:p>
    <w:p>
      <w:pPr>
        <w:pStyle w:val="Tpico2"/>
        <w:numPr>
          <w:ilvl w:val="1"/>
          <w:numId w:val="110"/>
        </w:numPr>
        <w:spacing w:lineRule="auto" w:line="276" w:before="238" w:after="0"/>
        <w:ind w:hanging="0" w:left="0"/>
        <w:rPr>
          <w:color w:val="111111"/>
        </w:rPr>
      </w:pPr>
      <w:r>
        <w:rPr>
          <w:color w:val="111111"/>
        </w:rPr>
        <w:t>Análise dos riscos da contratação</w:t>
      </w:r>
    </w:p>
    <w:p>
      <w:pPr>
        <w:pStyle w:val="Standard"/>
        <w:spacing w:lineRule="auto" w:line="276" w:before="238" w:after="0"/>
        <w:rPr>
          <w:color w:val="111111"/>
        </w:rPr>
      </w:pPr>
      <w:r>
        <w:rPr>
          <w:color w:val="111111"/>
        </w:rPr>
        <w:t>Considerando a natureza do objeto, consistente na aquisição de bem comum, de baixa complexidade operacional, foram identificados como principais riscos da contratação:</w:t>
      </w:r>
    </w:p>
    <w:p>
      <w:pPr>
        <w:pStyle w:val="Standard"/>
        <w:spacing w:lineRule="auto" w:line="276" w:before="238" w:after="0"/>
        <w:rPr>
          <w:b/>
          <w:bCs/>
          <w:color w:val="111111"/>
        </w:rPr>
      </w:pPr>
      <w:r>
        <w:rPr>
          <w:b/>
          <w:bCs/>
          <w:color w:val="111111"/>
        </w:rPr>
        <w:t>Risco 1 – Entrega de equipamentos em desacordo com as especificações estabelecidas no Termo de Referência.</w:t>
      </w:r>
    </w:p>
    <w:p>
      <w:pPr>
        <w:pStyle w:val="Standard"/>
        <w:spacing w:lineRule="auto" w:line="276" w:before="238" w:after="0"/>
        <w:rPr/>
      </w:pPr>
      <w:r>
        <w:rPr>
          <w:color w:val="111111"/>
          <w:u w:val="single"/>
        </w:rPr>
        <w:t>Possível consequência:</w:t>
      </w:r>
      <w:r>
        <w:rPr>
          <w:color w:val="111111"/>
        </w:rPr>
        <w:t xml:space="preserve"> recebimento de bebedouros com capacidade, potência, tensão, materiais de fabricação ou demais características diferentes das exigidas pela Administração, comprometendo o atendimento das necessidades dos Velórios Municipais.</w:t>
      </w:r>
    </w:p>
    <w:p>
      <w:pPr>
        <w:pStyle w:val="Standard"/>
        <w:spacing w:lineRule="auto" w:line="276" w:before="238" w:after="0"/>
        <w:rPr/>
      </w:pPr>
      <w:r>
        <w:rPr>
          <w:color w:val="111111"/>
          <w:u w:val="single"/>
        </w:rPr>
        <w:t>Medida de mitigação:</w:t>
      </w:r>
      <w:r>
        <w:rPr>
          <w:color w:val="111111"/>
        </w:rPr>
        <w:t xml:space="preserve"> estabelecer de forma clara e detalhada no Termo de Referência as especificações técnicas mínimas dos equipamentos, bem como realizar conferência no ato do recebimento e exigir a substituição imediata dos equipamentos entregues em desconformidade, sem qualquer ônus para o Município.</w:t>
      </w:r>
    </w:p>
    <w:p>
      <w:pPr>
        <w:pStyle w:val="Standard"/>
        <w:spacing w:lineRule="auto" w:line="276" w:before="238" w:after="0"/>
        <w:rPr>
          <w:b/>
          <w:bCs/>
          <w:color w:val="111111"/>
        </w:rPr>
      </w:pPr>
      <w:r>
        <w:rPr>
          <w:b/>
          <w:bCs/>
          <w:color w:val="111111"/>
        </w:rPr>
        <w:t>Risco 2 – Entrega de equipamentos com defeitos de fabricação ou falhas de funcionamento.</w:t>
      </w:r>
    </w:p>
    <w:p>
      <w:pPr>
        <w:pStyle w:val="Standard"/>
        <w:spacing w:lineRule="auto" w:line="276" w:before="238" w:after="0"/>
        <w:rPr/>
      </w:pPr>
      <w:r>
        <w:rPr>
          <w:color w:val="111111"/>
          <w:u w:val="single"/>
        </w:rPr>
        <w:t>Possível consequência:</w:t>
      </w:r>
      <w:r>
        <w:rPr>
          <w:color w:val="111111"/>
        </w:rPr>
        <w:t xml:space="preserve"> indisponibilidade dos equipamentos, comprometendo o fornecimento de água aos colaboradores e usuários das dependências dos Velórios Municipais.</w:t>
      </w:r>
    </w:p>
    <w:p>
      <w:pPr>
        <w:pStyle w:val="Standard"/>
        <w:spacing w:lineRule="auto" w:line="276" w:before="238" w:after="0"/>
        <w:rPr/>
      </w:pPr>
      <w:r>
        <w:rPr>
          <w:color w:val="111111"/>
          <w:u w:val="single"/>
        </w:rPr>
        <w:t>Medida de mitigação:</w:t>
      </w:r>
      <w:r>
        <w:rPr>
          <w:color w:val="111111"/>
        </w:rPr>
        <w:t xml:space="preserve"> exigir garantia mínima de 12 (doze) meses, realizar testes de funcionamento por ocasião do recebimento definitivo e prever a obrigação da contratada de reparar ou substituir os equipamentos que apresentarem defeitos durante o período de garantia.</w:t>
      </w:r>
    </w:p>
    <w:p>
      <w:pPr>
        <w:pStyle w:val="Standard"/>
        <w:spacing w:lineRule="auto" w:line="276" w:before="238" w:after="0"/>
        <w:rPr>
          <w:b/>
          <w:bCs/>
          <w:color w:val="111111"/>
        </w:rPr>
      </w:pPr>
      <w:r>
        <w:rPr>
          <w:b/>
          <w:bCs/>
          <w:color w:val="111111"/>
        </w:rPr>
        <w:t>Risco 3 – Atraso na entrega dos equipamentos.</w:t>
      </w:r>
    </w:p>
    <w:p>
      <w:pPr>
        <w:pStyle w:val="Standard"/>
        <w:spacing w:lineRule="auto" w:line="276" w:before="238" w:after="0"/>
        <w:rPr/>
      </w:pPr>
      <w:r>
        <w:rPr>
          <w:color w:val="111111"/>
          <w:u w:val="single"/>
        </w:rPr>
        <w:t>Possível consequência:</w:t>
      </w:r>
      <w:r>
        <w:rPr>
          <w:color w:val="111111"/>
        </w:rPr>
        <w:t xml:space="preserve"> atraso na disponibilização dos bebedouros, mantendo condições inadequadas para o atendimento dos munícipes que utilizam as instalações dos Velórios Municipais.</w:t>
      </w:r>
    </w:p>
    <w:p>
      <w:pPr>
        <w:pStyle w:val="Standard"/>
        <w:spacing w:lineRule="auto" w:line="276" w:before="238" w:after="0"/>
        <w:rPr/>
      </w:pPr>
      <w:r>
        <w:rPr>
          <w:color w:val="111111"/>
          <w:u w:val="single"/>
        </w:rPr>
        <w:t>Medida de mitigação:</w:t>
      </w:r>
      <w:r>
        <w:rPr>
          <w:color w:val="111111"/>
        </w:rPr>
        <w:t xml:space="preserve"> estabelecer prazo de entrega compatível com a necessidade da Administração, acompanhar a execução contratual por meio do fiscal do contrato e aplicar as penalidades previstas no instrumento contratual em caso de descumprimento injustificado.</w:t>
      </w:r>
    </w:p>
    <w:p>
      <w:pPr>
        <w:pStyle w:val="Standard"/>
        <w:spacing w:lineRule="auto" w:line="276" w:before="238" w:after="0"/>
        <w:rPr>
          <w:color w:val="111111"/>
        </w:rPr>
      </w:pPr>
      <w:r>
        <w:rPr>
          <w:color w:val="111111"/>
        </w:rPr>
        <w:t>Diante das características do objeto, não foram identificados riscos que justifiquem a elaboração de matriz de riscos específica, sendo suficiente a adoção das medidas preventivas e de acompanhamento acima indicadas.</w:t>
      </w:r>
    </w:p>
    <w:p>
      <w:pPr>
        <w:pStyle w:val="Tpico3"/>
        <w:numPr>
          <w:ilvl w:val="2"/>
          <w:numId w:val="111"/>
        </w:numPr>
        <w:spacing w:lineRule="auto" w:line="276" w:before="238" w:after="0"/>
        <w:ind w:hanging="0" w:left="0"/>
        <w:rPr>
          <w:color w:val="111111"/>
        </w:rPr>
      </w:pPr>
      <w:r>
        <w:rPr>
          <w:color w:val="111111"/>
        </w:rPr>
        <w:t>Haverá necessidade de matriz de alocação de riscos no contrato?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12"/>
        </w:numPr>
        <w:spacing w:lineRule="auto" w:line="276" w:before="238" w:after="0"/>
        <w:ind w:hanging="0" w:left="0"/>
        <w:rPr>
          <w:color w:val="111111"/>
        </w:rPr>
      </w:pPr>
      <w:r>
        <w:rPr>
          <w:color w:val="111111"/>
        </w:rPr>
        <w:t>A seleção será restrita a produtos pré-qualificados?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13"/>
        </w:numPr>
        <w:spacing w:lineRule="auto" w:line="276" w:before="238" w:after="0"/>
        <w:ind w:hanging="0" w:left="0"/>
        <w:rPr>
          <w:color w:val="111111"/>
        </w:rPr>
      </w:pPr>
      <w:r>
        <w:rPr>
          <w:color w:val="111111"/>
        </w:rPr>
        <w:t>O objeto é um produto com julgamento pelo ciclo de vida?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14"/>
        </w:numPr>
        <w:spacing w:lineRule="auto" w:line="276" w:before="238" w:after="0"/>
        <w:ind w:hanging="0" w:left="0"/>
        <w:rPr>
          <w:color w:val="111111"/>
        </w:rPr>
      </w:pPr>
      <w:r>
        <w:rPr>
          <w:color w:val="111111"/>
        </w:rPr>
        <w:t>O objeto possui critérios de inovação e/ou desenvolvimento nacional sustentável?</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1"/>
        <w:numPr>
          <w:ilvl w:val="0"/>
          <w:numId w:val="115"/>
        </w:numPr>
        <w:spacing w:lineRule="auto" w:line="276" w:before="238" w:after="0"/>
        <w:ind w:hanging="0" w:left="0"/>
        <w:rPr>
          <w:color w:val="111111"/>
        </w:rPr>
      </w:pPr>
      <w:r>
        <w:rPr>
          <w:color w:val="111111"/>
        </w:rPr>
        <w:t>DESCRIÇÃO DA SOLUÇÃO</w:t>
      </w:r>
    </w:p>
    <w:p>
      <w:pPr>
        <w:pStyle w:val="Tpico2"/>
        <w:numPr>
          <w:ilvl w:val="1"/>
          <w:numId w:val="116"/>
        </w:numPr>
        <w:spacing w:lineRule="auto" w:line="276" w:before="238" w:after="0"/>
        <w:ind w:hanging="0" w:left="0"/>
        <w:rPr>
          <w:color w:val="111111"/>
        </w:rPr>
      </w:pPr>
      <w:r>
        <w:rPr>
          <w:color w:val="111111"/>
        </w:rPr>
        <w:t>Especificação e quantidades da solução:</w:t>
      </w:r>
    </w:p>
    <w:tbl>
      <w:tblPr>
        <w:tblW w:w="9383" w:type="dxa"/>
        <w:jc w:val="left"/>
        <w:tblInd w:w="-109" w:type="dxa"/>
        <w:tblLayout w:type="fixed"/>
        <w:tblCellMar>
          <w:top w:w="0" w:type="dxa"/>
          <w:left w:w="108" w:type="dxa"/>
          <w:bottom w:w="0" w:type="dxa"/>
          <w:right w:w="108" w:type="dxa"/>
        </w:tblCellMar>
        <w:tblLook w:firstRow="1" w:noVBand="1" w:lastRow="0" w:firstColumn="1" w:lastColumn="0" w:noHBand="0" w:val="04a0"/>
      </w:tblPr>
      <w:tblGrid>
        <w:gridCol w:w="3127"/>
        <w:gridCol w:w="3126"/>
        <w:gridCol w:w="1097"/>
        <w:gridCol w:w="2032"/>
      </w:tblGrid>
      <w:tr>
        <w:trPr>
          <w:trHeight w:val="339" w:hRule="atLeast"/>
        </w:trPr>
        <w:tc>
          <w:tcPr>
            <w:tcW w:w="3127"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b/>
                <w:color w:val="111111"/>
                <w:sz w:val="16"/>
                <w:szCs w:val="16"/>
              </w:rPr>
            </w:pPr>
            <w:r>
              <w:rPr>
                <w:b/>
                <w:color w:val="111111"/>
                <w:sz w:val="16"/>
                <w:szCs w:val="16"/>
              </w:rPr>
              <w:t>Item</w:t>
            </w:r>
          </w:p>
        </w:tc>
        <w:tc>
          <w:tcPr>
            <w:tcW w:w="3126"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b/>
                <w:color w:val="111111"/>
                <w:sz w:val="16"/>
                <w:szCs w:val="16"/>
              </w:rPr>
            </w:pPr>
            <w:r>
              <w:rPr>
                <w:b/>
                <w:color w:val="111111"/>
                <w:sz w:val="16"/>
                <w:szCs w:val="16"/>
              </w:rPr>
              <w:t>Descrição</w:t>
            </w:r>
          </w:p>
        </w:tc>
        <w:tc>
          <w:tcPr>
            <w:tcW w:w="1097"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b/>
                <w:color w:val="111111"/>
                <w:sz w:val="16"/>
                <w:szCs w:val="16"/>
              </w:rPr>
            </w:pPr>
            <w:r>
              <w:rPr>
                <w:b/>
                <w:color w:val="111111"/>
                <w:sz w:val="16"/>
                <w:szCs w:val="16"/>
              </w:rPr>
              <w:t>Unidade</w:t>
            </w:r>
          </w:p>
        </w:tc>
        <w:tc>
          <w:tcPr>
            <w:tcW w:w="2032"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b/>
                <w:color w:val="111111"/>
                <w:sz w:val="16"/>
                <w:szCs w:val="16"/>
              </w:rPr>
            </w:pPr>
            <w:r>
              <w:rPr>
                <w:b/>
                <w:color w:val="111111"/>
                <w:sz w:val="16"/>
                <w:szCs w:val="16"/>
              </w:rPr>
              <w:t>Quantidade</w:t>
            </w:r>
          </w:p>
        </w:tc>
      </w:tr>
      <w:tr>
        <w:trPr>
          <w:trHeight w:val="350" w:hRule="atLeast"/>
        </w:trPr>
        <w:tc>
          <w:tcPr>
            <w:tcW w:w="3127"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color w:val="111111"/>
                <w:sz w:val="16"/>
                <w:szCs w:val="16"/>
              </w:rPr>
            </w:pPr>
            <w:r>
              <w:rPr>
                <w:color w:val="111111"/>
                <w:sz w:val="16"/>
                <w:szCs w:val="16"/>
              </w:rPr>
              <w:t>01</w:t>
            </w:r>
          </w:p>
        </w:tc>
        <w:tc>
          <w:tcPr>
            <w:tcW w:w="3126"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color w:val="111111"/>
                <w:sz w:val="16"/>
                <w:szCs w:val="16"/>
              </w:rPr>
            </w:pPr>
            <w:r>
              <w:rPr>
                <w:color w:val="111111"/>
                <w:sz w:val="16"/>
                <w:szCs w:val="16"/>
              </w:rPr>
              <w:t>Bebedouro industrial de coluna, capacidade mínima de 50 litros, Unidade 02 (duas) alimentação elétrica de 110 V, potência de 110 W, equipado com 02 (duas) torneiras, destinado ao fornecimento contínuo de água potável para atendimento dos usuários dos Velórios Municipais, conforme especificações técnicas abaixo.</w:t>
            </w:r>
          </w:p>
        </w:tc>
        <w:tc>
          <w:tcPr>
            <w:tcW w:w="1097"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color w:val="111111"/>
                <w:sz w:val="16"/>
                <w:szCs w:val="16"/>
              </w:rPr>
            </w:pPr>
            <w:r>
              <w:rPr>
                <w:color w:val="111111"/>
                <w:sz w:val="16"/>
                <w:szCs w:val="16"/>
              </w:rPr>
              <w:t>Unidade</w:t>
            </w:r>
          </w:p>
        </w:tc>
        <w:tc>
          <w:tcPr>
            <w:tcW w:w="2032" w:type="dxa"/>
            <w:tcBorders>
              <w:top w:val="single" w:sz="4" w:space="0" w:color="000000"/>
              <w:left w:val="single" w:sz="4" w:space="0" w:color="000000"/>
              <w:bottom w:val="single" w:sz="4" w:space="0" w:color="000000"/>
              <w:right w:val="single" w:sz="4" w:space="0" w:color="000000"/>
            </w:tcBorders>
          </w:tcPr>
          <w:p>
            <w:pPr>
              <w:pStyle w:val="Standard"/>
              <w:spacing w:lineRule="auto" w:line="276" w:before="238" w:after="0"/>
              <w:rPr>
                <w:color w:val="111111"/>
                <w:sz w:val="16"/>
                <w:szCs w:val="16"/>
              </w:rPr>
            </w:pPr>
            <w:r>
              <w:rPr>
                <w:color w:val="111111"/>
                <w:sz w:val="16"/>
                <w:szCs w:val="16"/>
              </w:rPr>
              <w:t>02 (duas)</w:t>
            </w:r>
          </w:p>
        </w:tc>
      </w:tr>
    </w:tbl>
    <w:p>
      <w:pPr>
        <w:pStyle w:val="Standard"/>
        <w:spacing w:lineRule="auto" w:line="276" w:before="238" w:after="0"/>
        <w:rPr>
          <w:b/>
          <w:bCs/>
          <w:color w:val="111111"/>
        </w:rPr>
      </w:pPr>
      <w:r>
        <w:rPr>
          <w:b/>
          <w:bCs/>
          <w:color w:val="111111"/>
        </w:rPr>
        <w:t>Especificações técnicas mínimas:</w:t>
      </w:r>
    </w:p>
    <w:p>
      <w:pPr>
        <w:pStyle w:val="Standard"/>
        <w:spacing w:lineRule="auto" w:line="276" w:before="238" w:after="0"/>
        <w:rPr>
          <w:color w:val="111111"/>
        </w:rPr>
      </w:pPr>
      <w:r>
        <w:rPr>
          <w:color w:val="111111"/>
        </w:rPr>
        <w:t xml:space="preserve">• </w:t>
      </w:r>
      <w:r>
        <w:rPr>
          <w:color w:val="111111"/>
        </w:rPr>
        <w:t>Tipo industrial, de coluna;</w:t>
      </w:r>
    </w:p>
    <w:p>
      <w:pPr>
        <w:pStyle w:val="Standard"/>
        <w:spacing w:lineRule="auto" w:line="276" w:before="238" w:after="0"/>
        <w:rPr>
          <w:color w:val="111111"/>
        </w:rPr>
      </w:pPr>
      <w:r>
        <w:rPr>
          <w:color w:val="111111"/>
        </w:rPr>
        <w:t xml:space="preserve">• </w:t>
      </w:r>
      <w:r>
        <w:rPr>
          <w:color w:val="111111"/>
        </w:rPr>
        <w:t>Capacidade mínima de reservatório de 50 litros;</w:t>
      </w:r>
    </w:p>
    <w:p>
      <w:pPr>
        <w:pStyle w:val="Standard"/>
        <w:spacing w:lineRule="auto" w:line="276" w:before="238" w:after="0"/>
        <w:rPr>
          <w:color w:val="111111"/>
        </w:rPr>
      </w:pPr>
      <w:r>
        <w:rPr>
          <w:color w:val="111111"/>
        </w:rPr>
        <w:t xml:space="preserve">• </w:t>
      </w:r>
      <w:r>
        <w:rPr>
          <w:color w:val="111111"/>
        </w:rPr>
        <w:t>Alimentação elétrica em 110 V;</w:t>
      </w:r>
    </w:p>
    <w:p>
      <w:pPr>
        <w:pStyle w:val="Standard"/>
        <w:spacing w:lineRule="auto" w:line="276" w:before="238" w:after="0"/>
        <w:rPr>
          <w:color w:val="111111"/>
        </w:rPr>
      </w:pPr>
      <w:r>
        <w:rPr>
          <w:color w:val="111111"/>
        </w:rPr>
        <w:t xml:space="preserve">• </w:t>
      </w:r>
      <w:r>
        <w:rPr>
          <w:color w:val="111111"/>
        </w:rPr>
        <w:t>Potência de 110 W;</w:t>
      </w:r>
    </w:p>
    <w:p>
      <w:pPr>
        <w:pStyle w:val="Standard"/>
        <w:spacing w:lineRule="auto" w:line="276" w:before="238" w:after="0"/>
        <w:rPr>
          <w:color w:val="111111"/>
        </w:rPr>
      </w:pPr>
      <w:r>
        <w:rPr>
          <w:color w:val="111111"/>
        </w:rPr>
        <w:t xml:space="preserve">• </w:t>
      </w:r>
      <w:r>
        <w:rPr>
          <w:color w:val="111111"/>
        </w:rPr>
        <w:t>02 (duas) torneiras de alta resistência, próprias para água gelada;</w:t>
      </w:r>
    </w:p>
    <w:p>
      <w:pPr>
        <w:pStyle w:val="Standard"/>
        <w:spacing w:lineRule="auto" w:line="276" w:before="238" w:after="0"/>
        <w:rPr>
          <w:color w:val="111111"/>
        </w:rPr>
      </w:pPr>
      <w:r>
        <w:rPr>
          <w:color w:val="111111"/>
        </w:rPr>
        <w:t xml:space="preserve">• </w:t>
      </w:r>
      <w:r>
        <w:rPr>
          <w:color w:val="111111"/>
        </w:rPr>
        <w:t>Reservatório em aço inox ou material anticorrosivo de qualidade equivalente;</w:t>
      </w:r>
    </w:p>
    <w:p>
      <w:pPr>
        <w:pStyle w:val="Standard"/>
        <w:spacing w:lineRule="auto" w:line="276" w:before="238" w:after="0"/>
        <w:rPr>
          <w:color w:val="111111"/>
        </w:rPr>
      </w:pPr>
      <w:r>
        <w:rPr>
          <w:color w:val="111111"/>
        </w:rPr>
        <w:t xml:space="preserve">• </w:t>
      </w:r>
      <w:r>
        <w:rPr>
          <w:color w:val="111111"/>
        </w:rPr>
        <w:t>Gabinete em aço inox ou chapa galvanizada com pintura eletrostática de alta resistência;</w:t>
      </w:r>
    </w:p>
    <w:p>
      <w:pPr>
        <w:pStyle w:val="Standard"/>
        <w:spacing w:lineRule="auto" w:line="276" w:before="238" w:after="0"/>
        <w:rPr>
          <w:color w:val="111111"/>
        </w:rPr>
      </w:pPr>
      <w:r>
        <w:rPr>
          <w:color w:val="111111"/>
        </w:rPr>
        <w:t xml:space="preserve">• </w:t>
      </w:r>
      <w:r>
        <w:rPr>
          <w:color w:val="111111"/>
        </w:rPr>
        <w:t>Sistema de refrigeração capaz de manter a água em temperatura adequada para consumo;</w:t>
      </w:r>
    </w:p>
    <w:p>
      <w:pPr>
        <w:pStyle w:val="Standard"/>
        <w:spacing w:lineRule="auto" w:line="276" w:before="238" w:after="0"/>
        <w:rPr>
          <w:color w:val="111111"/>
        </w:rPr>
      </w:pPr>
      <w:r>
        <w:rPr>
          <w:color w:val="111111"/>
        </w:rPr>
        <w:t xml:space="preserve">• </w:t>
      </w:r>
      <w:r>
        <w:rPr>
          <w:color w:val="111111"/>
        </w:rPr>
        <w:t>Isolamento térmico eficiente;</w:t>
      </w:r>
    </w:p>
    <w:p>
      <w:pPr>
        <w:pStyle w:val="Standard"/>
        <w:spacing w:lineRule="auto" w:line="276" w:before="238" w:after="0"/>
        <w:rPr>
          <w:color w:val="111111"/>
        </w:rPr>
      </w:pPr>
      <w:r>
        <w:rPr/>
      </w:r>
    </w:p>
    <w:p>
      <w:pPr>
        <w:pStyle w:val="Standard"/>
        <w:spacing w:lineRule="auto" w:line="276" w:before="238" w:after="0"/>
        <w:rPr>
          <w:color w:val="111111"/>
        </w:rPr>
      </w:pPr>
      <w:r>
        <w:rPr>
          <w:color w:val="111111"/>
        </w:rPr>
        <w:t xml:space="preserve">• </w:t>
      </w:r>
      <w:r>
        <w:rPr>
          <w:color w:val="111111"/>
        </w:rPr>
        <w:t>Controle automático de temperatura;</w:t>
      </w:r>
    </w:p>
    <w:p>
      <w:pPr>
        <w:pStyle w:val="Standard"/>
        <w:spacing w:lineRule="auto" w:line="276" w:before="238" w:after="0"/>
        <w:rPr>
          <w:color w:val="111111"/>
        </w:rPr>
      </w:pPr>
      <w:r>
        <w:rPr>
          <w:color w:val="111111"/>
        </w:rPr>
        <w:t xml:space="preserve">• </w:t>
      </w:r>
      <w:r>
        <w:rPr>
          <w:color w:val="111111"/>
        </w:rPr>
        <w:t>Pés reguláveis ou sistema que permita perfeito nivelamento do equipamento;</w:t>
      </w:r>
    </w:p>
    <w:p>
      <w:pPr>
        <w:pStyle w:val="Standard"/>
        <w:spacing w:lineRule="auto" w:line="276" w:before="238" w:after="0"/>
        <w:rPr>
          <w:color w:val="111111"/>
        </w:rPr>
      </w:pPr>
      <w:r>
        <w:rPr>
          <w:color w:val="111111"/>
        </w:rPr>
        <w:t xml:space="preserve">• </w:t>
      </w:r>
      <w:r>
        <w:rPr>
          <w:color w:val="111111"/>
        </w:rPr>
        <w:t>Componentes elétricos em conformidade com as normas técnicas aplicáveis;</w:t>
      </w:r>
    </w:p>
    <w:p>
      <w:pPr>
        <w:pStyle w:val="Standard"/>
        <w:spacing w:lineRule="auto" w:line="276" w:before="238" w:after="0"/>
        <w:rPr>
          <w:color w:val="111111"/>
        </w:rPr>
      </w:pPr>
      <w:r>
        <w:rPr>
          <w:color w:val="111111"/>
        </w:rPr>
        <w:t xml:space="preserve">• </w:t>
      </w:r>
      <w:r>
        <w:rPr>
          <w:color w:val="111111"/>
        </w:rPr>
        <w:t>Equipamento novo, sem uso anterior;</w:t>
      </w:r>
    </w:p>
    <w:p>
      <w:pPr>
        <w:pStyle w:val="Standard"/>
        <w:spacing w:lineRule="auto" w:line="276" w:before="238" w:after="0"/>
        <w:rPr>
          <w:color w:val="111111"/>
        </w:rPr>
      </w:pPr>
      <w:r>
        <w:rPr>
          <w:color w:val="111111"/>
        </w:rPr>
        <w:t xml:space="preserve">• </w:t>
      </w:r>
      <w:r>
        <w:rPr>
          <w:color w:val="111111"/>
        </w:rPr>
        <w:t>Manual de instruções em língua portuguesa;</w:t>
      </w:r>
    </w:p>
    <w:p>
      <w:pPr>
        <w:pStyle w:val="Standard"/>
        <w:spacing w:lineRule="auto" w:line="276" w:before="238" w:after="0"/>
        <w:rPr>
          <w:color w:val="111111"/>
        </w:rPr>
      </w:pPr>
      <w:r>
        <w:rPr>
          <w:color w:val="111111"/>
        </w:rPr>
        <w:t xml:space="preserve">• </w:t>
      </w:r>
      <w:r>
        <w:rPr>
          <w:color w:val="111111"/>
        </w:rPr>
        <w:t>Garantia mínima de 12 (doze) meses contra defeitos de fabricação;</w:t>
      </w:r>
    </w:p>
    <w:p>
      <w:pPr>
        <w:pStyle w:val="Standard"/>
        <w:spacing w:lineRule="auto" w:line="276" w:before="238" w:after="0"/>
        <w:rPr>
          <w:color w:val="111111"/>
        </w:rPr>
      </w:pPr>
      <w:r>
        <w:rPr>
          <w:color w:val="111111"/>
        </w:rPr>
        <w:t xml:space="preserve">• </w:t>
      </w:r>
      <w:r>
        <w:rPr>
          <w:color w:val="111111"/>
        </w:rPr>
        <w:t>Entrega no local indicado pela Administração.</w:t>
      </w:r>
    </w:p>
    <w:p>
      <w:pPr>
        <w:pStyle w:val="Standard"/>
        <w:spacing w:lineRule="auto" w:line="276" w:before="238" w:after="0"/>
        <w:rPr>
          <w:color w:val="111111"/>
        </w:rPr>
      </w:pPr>
      <w:r>
        <w:rPr>
          <w:color w:val="111111"/>
        </w:rPr>
        <w:t>O equipamento deverá atender integralmente às normas técnicas brasileiras aplicáveis, possuir excelente acabamento, elevada resistência ao uso contínuo e proporcionar segurança aos usuários.</w:t>
      </w:r>
    </w:p>
    <w:p>
      <w:pPr>
        <w:pStyle w:val="Standard"/>
        <w:spacing w:lineRule="auto" w:line="276" w:before="238" w:after="0"/>
        <w:rPr>
          <w:color w:val="111111"/>
        </w:rPr>
      </w:pPr>
      <w:r>
        <w:rPr>
          <w:color w:val="111111"/>
        </w:rPr>
        <w:t xml:space="preserve">Todos os materiais, acessórios, componentes e demais itens necessários à instalação e ao pleno funcionamento do equipamento deverão ser fornecidos pela Contratada, sem qualquer custo adicional para o Município, estando seus custos integralmente incluídos no valor contratado. </w:t>
      </w:r>
    </w:p>
    <w:p>
      <w:pPr>
        <w:pStyle w:val="Standard"/>
        <w:spacing w:lineRule="auto" w:line="276" w:before="238" w:after="0"/>
        <w:rPr>
          <w:color w:val="111111"/>
        </w:rPr>
      </w:pPr>
      <w:r>
        <w:rPr>
          <w:color w:val="111111"/>
        </w:rPr>
        <w:t>Caso seja constatada qualquer desconformidade durante o recebimento, o equipamento deverá ser substituído integralmente pela contratada, sem ônus para a Administração.</w:t>
      </w:r>
    </w:p>
    <w:p>
      <w:pPr>
        <w:pStyle w:val="Tpico2"/>
        <w:numPr>
          <w:ilvl w:val="1"/>
          <w:numId w:val="117"/>
        </w:numPr>
        <w:spacing w:lineRule="auto" w:line="276" w:before="238" w:after="0"/>
        <w:ind w:hanging="0" w:left="0"/>
        <w:rPr>
          <w:color w:val="111111"/>
        </w:rPr>
      </w:pPr>
      <w:bookmarkStart w:id="4" w:name="_Hlk115714204"/>
      <w:r>
        <w:rPr>
          <w:color w:val="111111"/>
        </w:rPr>
        <w:t>Prazo para início da execução do objeto</w:t>
      </w:r>
      <w:bookmarkEnd w:id="4"/>
    </w:p>
    <w:p>
      <w:pPr>
        <w:pStyle w:val="Standard"/>
        <w:spacing w:lineRule="auto" w:line="276" w:before="238" w:after="0"/>
        <w:rPr>
          <w:color w:val="111111"/>
        </w:rPr>
      </w:pPr>
      <w:r>
        <w:rPr>
          <w:color w:val="111111"/>
        </w:rPr>
        <w:t>A entrega deverá ser iniciada imediatamente após o recebimento da Autorização de Fornecimento emitida pela Administração Municipal.</w:t>
      </w:r>
    </w:p>
    <w:p>
      <w:pPr>
        <w:pStyle w:val="Tpico2"/>
        <w:numPr>
          <w:ilvl w:val="1"/>
          <w:numId w:val="118"/>
        </w:numPr>
        <w:spacing w:lineRule="auto" w:line="276" w:before="238" w:after="0"/>
        <w:ind w:hanging="0" w:left="0"/>
        <w:rPr>
          <w:color w:val="111111"/>
        </w:rPr>
      </w:pPr>
      <w:bookmarkStart w:id="5" w:name="_Hlk115714285"/>
      <w:r>
        <w:rPr>
          <w:color w:val="111111"/>
        </w:rPr>
        <w:t xml:space="preserve">Prazo de entrega ou de execução do objeto </w:t>
      </w:r>
      <w:bookmarkEnd w:id="5"/>
      <w:r>
        <w:rPr>
          <w:color w:val="111111"/>
        </w:rPr>
        <w:t xml:space="preserve">  </w:t>
      </w:r>
    </w:p>
    <w:p>
      <w:pPr>
        <w:pStyle w:val="Standard"/>
        <w:spacing w:lineRule="auto" w:line="276" w:before="238" w:after="0"/>
        <w:rPr>
          <w:color w:val="111111"/>
        </w:rPr>
      </w:pPr>
      <w:r>
        <w:rPr>
          <w:color w:val="111111"/>
        </w:rPr>
        <w:t>O prazo para entrega dos materiais será de até 15 (quinze) dias corridos, contados do recebimento da Autorização de Fornecimento (AF) ou instrumento equivalente.</w:t>
      </w:r>
    </w:p>
    <w:p>
      <w:pPr>
        <w:pStyle w:val="Standard"/>
        <w:spacing w:lineRule="auto" w:line="276" w:before="238" w:after="0"/>
        <w:rPr>
          <w:sz w:val="12"/>
          <w:szCs w:val="12"/>
        </w:rPr>
      </w:pPr>
      <w:r>
        <w:rPr>
          <w:sz w:val="12"/>
          <w:szCs w:val="12"/>
        </w:rPr>
      </w:r>
    </w:p>
    <w:p>
      <w:pPr>
        <w:pStyle w:val="Tpico2"/>
        <w:numPr>
          <w:ilvl w:val="1"/>
          <w:numId w:val="119"/>
        </w:numPr>
        <w:spacing w:lineRule="auto" w:line="276" w:before="238" w:after="0"/>
        <w:ind w:hanging="0" w:left="0"/>
        <w:rPr>
          <w:color w:val="111111"/>
        </w:rPr>
      </w:pPr>
      <w:bookmarkStart w:id="6" w:name="_Hlk115714372"/>
      <w:r>
        <w:rPr>
          <w:color w:val="111111"/>
        </w:rPr>
        <w:t>Local de entrega ou execução</w:t>
      </w:r>
      <w:bookmarkEnd w:id="6"/>
    </w:p>
    <w:p>
      <w:pPr>
        <w:pStyle w:val="Standard"/>
        <w:spacing w:lineRule="auto" w:line="276" w:before="238" w:after="120"/>
        <w:rPr>
          <w:color w:val="111111"/>
        </w:rPr>
      </w:pPr>
      <w:r>
        <w:rPr>
          <w:color w:val="111111"/>
        </w:rPr>
        <w:t xml:space="preserve">Cemitério Papa Paulo VI – Rua Eduardo Vassimon, s/nº – CEP 14.166-020 – Sertãozinho/SP – Telefone: (16) 3942-5694 </w:t>
      </w:r>
    </w:p>
    <w:p>
      <w:pPr>
        <w:pStyle w:val="Standard"/>
        <w:spacing w:lineRule="auto" w:line="276" w:before="238" w:after="0"/>
        <w:rPr>
          <w:color w:val="111111"/>
        </w:rPr>
      </w:pPr>
      <w:r>
        <w:rPr>
          <w:color w:val="111111"/>
        </w:rPr>
        <w:t>A entrega deverá ser realizada nos seguintes horários: das 7h30 às 11h30 e das 13h30 às 16h30.</w:t>
      </w:r>
    </w:p>
    <w:p>
      <w:pPr>
        <w:pStyle w:val="Tpico2"/>
        <w:numPr>
          <w:ilvl w:val="1"/>
          <w:numId w:val="120"/>
        </w:numPr>
        <w:spacing w:lineRule="auto" w:line="276" w:before="238" w:after="0"/>
        <w:ind w:hanging="0" w:left="0"/>
        <w:rPr>
          <w:color w:val="111111"/>
        </w:rPr>
      </w:pPr>
      <w:r>
        <w:rPr>
          <w:color w:val="111111"/>
        </w:rPr>
        <w:t>O objeto possui exigências a serem feitas após a entrega/execução?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3"/>
        <w:numPr>
          <w:ilvl w:val="2"/>
          <w:numId w:val="121"/>
        </w:numPr>
        <w:spacing w:lineRule="auto" w:line="276" w:before="238" w:after="0"/>
        <w:ind w:hanging="0" w:left="0"/>
        <w:rPr/>
      </w:pPr>
      <w:bookmarkStart w:id="7" w:name="_Hlk115714573"/>
      <w:r>
        <w:rPr>
          <w:color w:val="111111"/>
        </w:rPr>
        <w:t>Garantia exigida do objeto:</w:t>
      </w:r>
      <w:r>
        <w:rPr>
          <w:b w:val="false"/>
          <w:bCs w:val="false"/>
          <w:color w:val="111111"/>
        </w:rPr>
        <w:t xml:space="preserve"> </w:t>
      </w:r>
      <w:bookmarkEnd w:id="7"/>
      <w:r>
        <w:rPr>
          <w:color w:val="111111"/>
        </w:rPr>
        <w:t xml:space="preserve">  </w:t>
      </w:r>
    </w:p>
    <w:p>
      <w:pPr>
        <w:pStyle w:val="Standard"/>
        <w:spacing w:lineRule="auto" w:line="276" w:before="238" w:after="0"/>
        <w:rPr>
          <w:iCs/>
          <w:color w:val="111111"/>
        </w:rPr>
      </w:pPr>
      <w:r>
        <w:rPr>
          <w:iCs/>
          <w:color w:val="111111"/>
        </w:rPr>
        <w:t>Os bebedouros deverão ser entregues em conformidade com as especificações estabelecidas neste Termo de Referência, em perfeito estado de funcionamento.</w:t>
      </w:r>
    </w:p>
    <w:p>
      <w:pPr>
        <w:pStyle w:val="Standard"/>
        <w:spacing w:lineRule="auto" w:line="276" w:before="238" w:after="0"/>
        <w:rPr>
          <w:iCs/>
          <w:color w:val="111111"/>
        </w:rPr>
      </w:pPr>
      <w:r>
        <w:rPr>
          <w:iCs/>
          <w:color w:val="111111"/>
        </w:rPr>
        <w:t>A contratada responderá por vícios, defeitos de fabricação ou quaisquer desconformidades constatadas durante o recebimento ou no período de garantia, devendo promover, sem ônus para a Administração, o reparo ou a substituição integral do equipamento sempre que necessário.</w:t>
      </w:r>
    </w:p>
    <w:p>
      <w:pPr>
        <w:pStyle w:val="Standard"/>
        <w:spacing w:lineRule="auto" w:line="276" w:before="238" w:after="0"/>
        <w:rPr>
          <w:iCs/>
          <w:color w:val="111111"/>
        </w:rPr>
      </w:pPr>
      <w:r>
        <w:rPr>
          <w:iCs/>
          <w:color w:val="111111"/>
        </w:rPr>
        <w:t>A garantia mínima do objeto será de 12 (doze) meses, contados da data do recebimento definitivo, sem prejuízo da garantia legal prevista no Código de Defesa do Consumidor.</w:t>
      </w:r>
    </w:p>
    <w:p>
      <w:pPr>
        <w:pStyle w:val="Standard"/>
        <w:spacing w:lineRule="auto" w:line="276" w:before="238" w:after="0"/>
        <w:rPr>
          <w:iCs/>
          <w:color w:val="111111"/>
        </w:rPr>
      </w:pPr>
      <w:r>
        <w:rPr>
          <w:iCs/>
          <w:color w:val="111111"/>
        </w:rPr>
        <w:t>Não será exigida garantia da contratação prevista nos artigos 96 e seguintes da Lei nº 14.133/2021, em razão da natureza do objeto, de sua baixa complexidade, do reduzido risco de inadimplemento e do baixo impacto financeiro da contratação para a Administração.</w:t>
      </w:r>
    </w:p>
    <w:p>
      <w:pPr>
        <w:pStyle w:val="Standard"/>
        <w:spacing w:lineRule="auto" w:line="276" w:before="238" w:after="0"/>
        <w:rPr>
          <w:iCs/>
          <w:color w:val="111111"/>
        </w:rPr>
      </w:pPr>
      <w:r>
        <w:rPr>
          <w:iCs/>
          <w:color w:val="111111"/>
        </w:rPr>
        <w:t>Caso sejam constatados defeitos de fabricação ou funcionamento durante o período de garantia, a contratada deverá realizar o reparo ou promover a substituição do equipamento, sem qualquer ônus para a Administração, no prazo máximo de 10 (dez) dias úteis, contados da comunicação formal.</w:t>
      </w:r>
    </w:p>
    <w:p>
      <w:pPr>
        <w:pStyle w:val="Standard"/>
        <w:spacing w:lineRule="auto" w:line="276" w:before="238" w:after="0"/>
        <w:rPr>
          <w:iCs/>
          <w:color w:val="111111"/>
        </w:rPr>
      </w:pPr>
      <w:r>
        <w:rPr>
          <w:iCs/>
          <w:color w:val="111111"/>
        </w:rPr>
        <w:t>O contrato oferece maior detalhamento das regras que serão aplicadas em relação à garantia da contratação.</w:t>
      </w:r>
    </w:p>
    <w:p>
      <w:pPr>
        <w:pStyle w:val="Tpico3"/>
        <w:numPr>
          <w:ilvl w:val="2"/>
          <w:numId w:val="122"/>
        </w:numPr>
        <w:spacing w:lineRule="auto" w:line="276" w:before="238" w:after="0"/>
        <w:ind w:hanging="0" w:left="0"/>
        <w:rPr>
          <w:color w:val="111111"/>
        </w:rPr>
      </w:pPr>
      <w:bookmarkStart w:id="8" w:name="_Hlk115714590"/>
      <w:r>
        <w:rPr>
          <w:color w:val="111111"/>
        </w:rPr>
        <w:t>Condições de manutenção:</w:t>
      </w:r>
      <w:bookmarkEnd w:id="8"/>
    </w:p>
    <w:p>
      <w:pPr>
        <w:pStyle w:val="Standard"/>
        <w:spacing w:lineRule="auto" w:line="276" w:before="238" w:after="0"/>
        <w:rPr>
          <w:color w:val="111111"/>
        </w:rPr>
      </w:pPr>
      <w:r>
        <w:rPr>
          <w:color w:val="111111"/>
        </w:rPr>
        <w:t>Não se aplica.</w:t>
      </w:r>
    </w:p>
    <w:p>
      <w:pPr>
        <w:pStyle w:val="Tpico3"/>
        <w:numPr>
          <w:ilvl w:val="2"/>
          <w:numId w:val="123"/>
        </w:numPr>
        <w:spacing w:lineRule="auto" w:line="276" w:before="238" w:after="0"/>
        <w:ind w:hanging="0" w:left="0"/>
        <w:rPr>
          <w:color w:val="111111"/>
        </w:rPr>
      </w:pPr>
      <w:bookmarkStart w:id="9" w:name="_Hlk115714610"/>
      <w:r>
        <w:rPr>
          <w:color w:val="111111"/>
        </w:rPr>
        <w:t>Condições de assistência técnica:</w:t>
      </w:r>
      <w:bookmarkEnd w:id="9"/>
    </w:p>
    <w:p>
      <w:pPr>
        <w:pStyle w:val="Standard"/>
        <w:spacing w:lineRule="auto" w:line="276" w:before="238" w:after="0"/>
        <w:rPr>
          <w:color w:val="111111"/>
        </w:rPr>
      </w:pPr>
      <w:r>
        <w:rPr>
          <w:color w:val="111111"/>
        </w:rPr>
        <w:t>A assistência técnica deverá ser prestada durante todo o período de garantia, por empresa autorizada pelo fabricante ou pela própria contratada, mediante atendimento no local de instalação ou em assistência técnica credenciada.</w:t>
      </w:r>
    </w:p>
    <w:p>
      <w:pPr>
        <w:pStyle w:val="Standard"/>
        <w:spacing w:lineRule="auto" w:line="276" w:before="238" w:after="0"/>
        <w:rPr>
          <w:color w:val="111111"/>
        </w:rPr>
      </w:pPr>
      <w:r>
        <w:rPr>
          <w:color w:val="111111"/>
        </w:rPr>
        <w:t>Todas as despesas com transporte, retirada, reinstalação, peças, componentes, mão de obra e demais custos necessários ao perfeito funcionamento do equipamento correrão por conta da contratada, sem qualquer ônus para a Administração.</w:t>
      </w:r>
    </w:p>
    <w:p>
      <w:pPr>
        <w:pStyle w:val="Tpico3"/>
        <w:numPr>
          <w:ilvl w:val="2"/>
          <w:numId w:val="124"/>
        </w:numPr>
        <w:spacing w:lineRule="auto" w:line="276" w:before="238" w:after="0"/>
        <w:ind w:hanging="0" w:left="0"/>
        <w:rPr>
          <w:color w:val="111111"/>
        </w:rPr>
      </w:pPr>
      <w:r>
        <w:rPr>
          <w:color w:val="111111"/>
        </w:rPr>
        <w:t>Exige respeito às normas específicas de descarte?</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1"/>
        <w:numPr>
          <w:ilvl w:val="0"/>
          <w:numId w:val="125"/>
        </w:numPr>
        <w:spacing w:lineRule="auto" w:line="276" w:before="238" w:after="0"/>
        <w:ind w:hanging="0" w:left="0"/>
        <w:rPr>
          <w:color w:val="111111"/>
        </w:rPr>
      </w:pPr>
      <w:r>
        <w:rPr>
          <w:color w:val="111111"/>
        </w:rPr>
        <w:t>MODELO DE EXECUÇÃO DO OBJETO</w:t>
      </w:r>
    </w:p>
    <w:p>
      <w:pPr>
        <w:pStyle w:val="Tpico2"/>
        <w:numPr>
          <w:ilvl w:val="1"/>
          <w:numId w:val="126"/>
        </w:numPr>
        <w:spacing w:lineRule="auto" w:line="276" w:before="238" w:after="0"/>
        <w:ind w:hanging="0" w:left="0"/>
        <w:rPr>
          <w:color w:val="111111"/>
        </w:rPr>
      </w:pPr>
      <w:r>
        <w:rPr>
          <w:color w:val="111111"/>
        </w:rPr>
        <w:t>Como atingiremos os resultados pretendidos do contrato?</w:t>
      </w:r>
    </w:p>
    <w:p>
      <w:pPr>
        <w:pStyle w:val="Standard"/>
        <w:spacing w:lineRule="auto" w:line="276" w:before="238" w:after="0"/>
        <w:rPr>
          <w:color w:val="111111"/>
        </w:rPr>
      </w:pPr>
      <w:r>
        <w:rPr>
          <w:color w:val="111111"/>
        </w:rPr>
        <w:t>Os resultados pretendidos com a presente contratação consistem em assegurar o fornecimento de 02 (dois) bebedouros industriais destinados aos Velórios Municipais (um localizado no município de Sertãozinho e outro no distrito de Cruz das Posses), compatíveis com a demanda diária dos visitantes e frequentadores, proporcionando maior praticidade e condições adequadas de atendimento ao público, especialmente durante sua permanência nos Velórios Municipais.</w:t>
      </w:r>
    </w:p>
    <w:p>
      <w:pPr>
        <w:pStyle w:val="Standard"/>
        <w:spacing w:lineRule="auto" w:line="276" w:before="238" w:after="0"/>
        <w:rPr>
          <w:color w:val="111111"/>
        </w:rPr>
      </w:pPr>
      <w:r>
        <w:rPr>
          <w:color w:val="111111"/>
        </w:rPr>
        <w:t>Para o alcance desses resultados, a contratada deverá fornecer equipamentos novos, em estrita conformidade com as especificações técnicas estabelecidas neste Termo de Referência, observando os quantitativos contratados, os prazos de entrega e os padrões de qualidade exigidos pela Administração.</w:t>
      </w:r>
    </w:p>
    <w:p>
      <w:pPr>
        <w:pStyle w:val="Standard"/>
        <w:spacing w:lineRule="auto" w:line="276" w:before="238" w:after="0"/>
        <w:rPr>
          <w:color w:val="111111"/>
        </w:rPr>
      </w:pPr>
      <w:r>
        <w:rPr>
          <w:color w:val="111111"/>
        </w:rPr>
        <w:t>Os equipamentos deverão ser entregues em perfeitas condições de funcionamento, acompanhados dos respectivos manuais de instrução e certificados de garantia, permitindo sua utilização imediata.</w:t>
      </w:r>
    </w:p>
    <w:p>
      <w:pPr>
        <w:pStyle w:val="Standard"/>
        <w:spacing w:lineRule="auto" w:line="276" w:before="238" w:after="0"/>
        <w:rPr>
          <w:color w:val="111111"/>
        </w:rPr>
      </w:pPr>
      <w:r>
        <w:rPr>
          <w:color w:val="111111"/>
        </w:rPr>
        <w:t>A entrega será acompanhada e fiscalizada pelo servidor Mário José Pastorelli (Coordenador de Área), que verificará a conformidade dos equipamentos fornecidos, o cumprimento dos prazos e das demais obrigações assumidas pela contratada, adotando as medidas cabíveis em caso de descumprimento.</w:t>
      </w:r>
    </w:p>
    <w:p>
      <w:pPr>
        <w:pStyle w:val="Standard"/>
        <w:spacing w:lineRule="auto" w:line="276" w:before="238" w:after="0"/>
        <w:rPr>
          <w:color w:val="111111"/>
        </w:rPr>
      </w:pPr>
      <w:r>
        <w:rPr>
          <w:color w:val="111111"/>
        </w:rPr>
        <w:t>Indicadores de desempenho da contratação:</w:t>
      </w:r>
    </w:p>
    <w:p>
      <w:pPr>
        <w:pStyle w:val="Standard"/>
        <w:spacing w:lineRule="auto" w:line="276" w:before="238" w:after="0"/>
        <w:rPr>
          <w:color w:val="111111"/>
        </w:rPr>
      </w:pPr>
      <w:r>
        <w:rPr>
          <w:color w:val="111111"/>
        </w:rPr>
        <w:t xml:space="preserve">• </w:t>
      </w:r>
      <w:r>
        <w:rPr>
          <w:color w:val="111111"/>
        </w:rPr>
        <w:t>entrega dos equipamentos dentro do prazo contratual;</w:t>
      </w:r>
    </w:p>
    <w:p>
      <w:pPr>
        <w:pStyle w:val="Standard"/>
        <w:spacing w:lineRule="auto" w:line="276" w:before="238" w:after="0"/>
        <w:rPr>
          <w:color w:val="111111"/>
        </w:rPr>
      </w:pPr>
      <w:r>
        <w:rPr>
          <w:color w:val="111111"/>
        </w:rPr>
        <w:t xml:space="preserve">• </w:t>
      </w:r>
      <w:r>
        <w:rPr>
          <w:color w:val="111111"/>
        </w:rPr>
        <w:t>fornecimento de 100% dos quantitativos contratados;</w:t>
      </w:r>
    </w:p>
    <w:p>
      <w:pPr>
        <w:pStyle w:val="Standard"/>
        <w:spacing w:lineRule="auto" w:line="276" w:before="238" w:after="0"/>
        <w:rPr>
          <w:color w:val="111111"/>
        </w:rPr>
      </w:pPr>
      <w:r>
        <w:rPr>
          <w:color w:val="111111"/>
        </w:rPr>
        <w:t xml:space="preserve">• </w:t>
      </w:r>
      <w:r>
        <w:rPr>
          <w:color w:val="111111"/>
        </w:rPr>
        <w:t>funcionamento adequado de 100% dos equipamentos no ato do recebimento definitivo;</w:t>
      </w:r>
    </w:p>
    <w:p>
      <w:pPr>
        <w:pStyle w:val="Standard"/>
        <w:spacing w:lineRule="auto" w:line="276" w:before="238" w:after="0"/>
        <w:rPr>
          <w:color w:val="111111"/>
        </w:rPr>
      </w:pPr>
      <w:r>
        <w:rPr>
          <w:color w:val="111111"/>
        </w:rPr>
        <w:t xml:space="preserve">• </w:t>
      </w:r>
      <w:r>
        <w:rPr>
          <w:color w:val="111111"/>
        </w:rPr>
        <w:t>índice de 100% de conformidade com as especificações técnicas previstas neste Termo de Referência.</w:t>
      </w:r>
    </w:p>
    <w:p>
      <w:pPr>
        <w:pStyle w:val="Tpico2"/>
        <w:numPr>
          <w:ilvl w:val="1"/>
          <w:numId w:val="127"/>
        </w:numPr>
        <w:spacing w:lineRule="auto" w:line="276" w:before="238" w:after="0"/>
        <w:ind w:hanging="0" w:left="0"/>
        <w:rPr>
          <w:color w:val="111111"/>
        </w:rPr>
      </w:pPr>
      <w:r>
        <w:rPr>
          <w:color w:val="111111"/>
        </w:rPr>
        <w:t>Forma de execução do contrato</w:t>
      </w:r>
    </w:p>
    <w:p>
      <w:pPr>
        <w:pStyle w:val="Standard"/>
        <w:spacing w:lineRule="auto" w:line="276" w:before="238" w:after="0"/>
        <w:rPr>
          <w:color w:val="111111"/>
        </w:rPr>
      </w:pPr>
      <w:r>
        <w:rPr>
          <w:color w:val="111111"/>
        </w:rPr>
        <w:t>Fornecimento imediato</w:t>
      </w:r>
    </w:p>
    <w:p>
      <w:pPr>
        <w:pStyle w:val="Tpico2"/>
        <w:numPr>
          <w:ilvl w:val="1"/>
          <w:numId w:val="128"/>
        </w:numPr>
        <w:spacing w:lineRule="auto" w:line="276" w:before="238" w:after="0"/>
        <w:ind w:hanging="0" w:left="0"/>
        <w:rPr>
          <w:color w:val="111111"/>
        </w:rPr>
      </w:pPr>
      <w:r>
        <w:rPr>
          <w:color w:val="111111"/>
        </w:rPr>
        <w:t>Prazo de vigência do contrato</w:t>
      </w:r>
    </w:p>
    <w:p>
      <w:pPr>
        <w:pStyle w:val="Standard"/>
        <w:spacing w:lineRule="auto" w:line="276" w:before="238" w:after="0"/>
        <w:rPr>
          <w:color w:val="111111"/>
        </w:rPr>
      </w:pPr>
      <w:r>
        <w:rPr>
          <w:color w:val="111111"/>
        </w:rPr>
        <w:t>Por se tratar de aquisição de bem comum, com entrega única e de baixa complexidade, a contratação será formalizada por instrumento substitutivo ao contrato (Ordem de Fornecimento ou instrumento equivalente), nos termos da Lei nº 14.133/2021.</w:t>
      </w:r>
    </w:p>
    <w:p>
      <w:pPr>
        <w:pStyle w:val="Standard"/>
        <w:spacing w:lineRule="auto" w:line="276" w:before="238" w:after="0"/>
        <w:rPr>
          <w:color w:val="111111"/>
        </w:rPr>
      </w:pPr>
      <w:r>
        <w:rPr>
          <w:color w:val="111111"/>
        </w:rPr>
        <w:t>A vigência da contratação perdurará até o recebimento definitivo do objeto, sem prejuízo da garantia do equipamento e das demais obrigações assumidas pela contratada durante o respectivo período de garantia.</w:t>
      </w:r>
    </w:p>
    <w:p>
      <w:pPr>
        <w:pStyle w:val="Tpico1"/>
        <w:numPr>
          <w:ilvl w:val="0"/>
          <w:numId w:val="129"/>
        </w:numPr>
        <w:spacing w:lineRule="auto" w:line="276" w:before="238" w:after="0"/>
        <w:ind w:hanging="0" w:left="0"/>
        <w:rPr>
          <w:color w:val="111111"/>
        </w:rPr>
      </w:pPr>
      <w:r>
        <w:rPr>
          <w:color w:val="111111"/>
        </w:rPr>
        <w:t>MODELO DE GESTÃO DO CONTRATO</w:t>
      </w:r>
    </w:p>
    <w:p>
      <w:pPr>
        <w:pStyle w:val="Tpico2"/>
        <w:numPr>
          <w:ilvl w:val="1"/>
          <w:numId w:val="130"/>
        </w:numPr>
        <w:spacing w:lineRule="auto" w:line="276" w:before="238" w:after="0"/>
        <w:ind w:hanging="0" w:left="0"/>
        <w:rPr>
          <w:color w:val="111111"/>
        </w:rPr>
      </w:pPr>
      <w:r>
        <w:rPr>
          <w:color w:val="111111"/>
        </w:rPr>
        <w:t>Existem requisitos anteriores à execução?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31"/>
        </w:numPr>
        <w:spacing w:lineRule="auto" w:line="276" w:before="238" w:after="0"/>
        <w:ind w:hanging="0" w:left="0"/>
        <w:rPr>
          <w:color w:val="111111"/>
        </w:rPr>
      </w:pPr>
      <w:r>
        <w:rPr>
          <w:color w:val="111111"/>
        </w:rPr>
        <w:t>Metodologia de acompanhamento da execução do contrato e principais pontos de controle</w:t>
      </w:r>
    </w:p>
    <w:p>
      <w:pPr>
        <w:pStyle w:val="Standard"/>
        <w:spacing w:lineRule="auto" w:line="276" w:before="238" w:after="0"/>
        <w:rPr>
          <w:color w:val="111111"/>
        </w:rPr>
      </w:pPr>
      <w:r>
        <w:rPr>
          <w:color w:val="111111"/>
        </w:rPr>
        <w:t>No acompanhamento da execução do contrato, o fiscal designado pela Secretaria Municipal de Obras, Conservação e Serviços Públicos realizará a verificação da conformidade do produto entregue, observando se os dois bebedouros (bebedouro industrial de coluna, capacidade mínima de 50 litros, Unidade 02 (duas) alimentação elétrica de 110 V, potência de 110 W, equipado com 02 (duas) torneiras), atendem integralmente às especificações técnicas estabelecidas neste Termo de Referência.</w:t>
      </w:r>
    </w:p>
    <w:p>
      <w:pPr>
        <w:pStyle w:val="Standard"/>
        <w:spacing w:lineRule="auto" w:line="276" w:before="238" w:after="0"/>
        <w:rPr>
          <w:color w:val="111111"/>
        </w:rPr>
      </w:pPr>
      <w:r>
        <w:rPr>
          <w:color w:val="111111"/>
        </w:rPr>
        <w:t>A fiscalização compreenderá a inspeção física e funcional do equipamento.</w:t>
      </w:r>
    </w:p>
    <w:p>
      <w:pPr>
        <w:pStyle w:val="Standard"/>
        <w:spacing w:lineRule="auto" w:line="276" w:before="238" w:after="0"/>
        <w:rPr>
          <w:color w:val="111111"/>
        </w:rPr>
      </w:pPr>
      <w:r>
        <w:rPr>
          <w:color w:val="111111"/>
        </w:rPr>
        <w:t>A vistoria será registrada em relatório técnico contendo registros fotográficos e observações sobre a conformidade do material entregue.</w:t>
      </w:r>
    </w:p>
    <w:p>
      <w:pPr>
        <w:pStyle w:val="Standard"/>
        <w:spacing w:lineRule="auto" w:line="276" w:before="238" w:after="0"/>
        <w:rPr>
          <w:color w:val="111111"/>
        </w:rPr>
      </w:pPr>
      <w:r>
        <w:rPr>
          <w:color w:val="111111"/>
        </w:rPr>
        <w:t>Caso sejam constatadas irregularidades, o fornecedor será notificado para providenciar as devidas correções ou substituições, antes da emissão do termo de recebimento definitivo.</w:t>
      </w:r>
    </w:p>
    <w:p>
      <w:pPr>
        <w:pStyle w:val="Standard"/>
        <w:spacing w:lineRule="auto" w:line="276" w:before="238" w:after="0"/>
        <w:rPr>
          <w:color w:val="111111"/>
        </w:rPr>
      </w:pPr>
      <w:r>
        <w:rPr>
          <w:color w:val="111111"/>
        </w:rPr>
        <w:t>Esses procedimentos visam garantir que o objeto entregue esteja em plena conformidade com o especificado, assegurando a qualidade e a durabilidade do bem adquirido.</w:t>
      </w:r>
    </w:p>
    <w:p>
      <w:pPr>
        <w:pStyle w:val="Standard"/>
        <w:spacing w:lineRule="auto" w:line="276" w:before="238" w:after="0"/>
        <w:rPr>
          <w:color w:val="111111"/>
        </w:rPr>
      </w:pPr>
      <w:r>
        <w:rPr>
          <w:color w:val="111111"/>
        </w:rPr>
        <w:t>Para fins de fiscalização do contrato, fica designado o servidor: Mário José Pastorelli – Coordenador de área, CPF: 252.189178-93. E-mail: falecimentostz@hotmail.com.</w:t>
      </w:r>
    </w:p>
    <w:p>
      <w:pPr>
        <w:pStyle w:val="Standard"/>
        <w:spacing w:lineRule="auto" w:line="276" w:before="238" w:after="0"/>
        <w:rPr>
          <w:color w:val="111111"/>
        </w:rPr>
      </w:pPr>
      <w:r>
        <w:rPr>
          <w:color w:val="111111"/>
        </w:rPr>
        <w:t>Fica designado como gestor do contrato: Gabriela Toniello Galon Sanches – Secretária Municipal de Obras, Conservação e Serviços Públicos, CPF: 375.530.008-76 – e-mail: secretariadeobras@sertaozinho.sp.gov.br.</w:t>
      </w:r>
    </w:p>
    <w:p>
      <w:pPr>
        <w:pStyle w:val="Tpico2"/>
        <w:numPr>
          <w:ilvl w:val="1"/>
          <w:numId w:val="132"/>
        </w:numPr>
        <w:spacing w:lineRule="auto" w:line="276" w:before="238" w:after="0"/>
        <w:ind w:hanging="0" w:left="0"/>
        <w:rPr>
          <w:color w:val="111111"/>
        </w:rPr>
      </w:pPr>
      <w:r>
        <w:rPr>
          <w:color w:val="111111"/>
        </w:rPr>
        <w:t>Obrigações específicas do contratado</w:t>
      </w:r>
    </w:p>
    <w:p>
      <w:pPr>
        <w:pStyle w:val="Standard"/>
        <w:spacing w:lineRule="auto" w:line="276" w:before="238" w:after="0"/>
        <w:rPr>
          <w:color w:val="111111"/>
        </w:rPr>
      </w:pPr>
      <w:r>
        <w:rPr>
          <w:color w:val="111111"/>
        </w:rPr>
        <w:t>O Contratado deve cumprir todas as obrigações constantes deste contrato e de seus anexos, assumindo como exclusivamente seus os riscos e as despesas decorrentes da boa e perfeita execução do objeto.</w:t>
      </w:r>
    </w:p>
    <w:p>
      <w:pPr>
        <w:pStyle w:val="Standard"/>
        <w:spacing w:lineRule="auto" w:line="276" w:before="238" w:after="0"/>
        <w:rPr>
          <w:color w:val="111111"/>
        </w:rPr>
      </w:pPr>
      <w:r>
        <w:rPr>
          <w:color w:val="111111"/>
        </w:rPr>
        <w:t>Atender às determinações regulares emitidas pelo fiscal ou gestor do contrato ou autoridade superior e prestar todo esclarecimento ou informação por eles solicitados.</w:t>
      </w:r>
    </w:p>
    <w:p>
      <w:pPr>
        <w:pStyle w:val="Standard"/>
        <w:spacing w:lineRule="auto" w:line="276" w:before="238" w:after="0"/>
        <w:rPr>
          <w:color w:val="111111"/>
        </w:rPr>
      </w:pPr>
      <w:r>
        <w:rPr>
          <w:color w:val="111111"/>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pPr>
        <w:pStyle w:val="Standard"/>
        <w:spacing w:lineRule="auto" w:line="276" w:before="238" w:after="0"/>
        <w:rPr>
          <w:color w:val="111111"/>
        </w:rPr>
      </w:pPr>
      <w:r>
        <w:rPr>
          <w:color w:val="11111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Standard"/>
        <w:spacing w:lineRule="auto" w:line="276" w:before="238" w:after="0"/>
        <w:rPr>
          <w:color w:val="111111"/>
        </w:rPr>
      </w:pPr>
      <w:r>
        <w:rPr>
          <w:color w:val="111111"/>
        </w:rPr>
        <w:t>Quando não for possível a verificação da regularidade nos endereços oficiais de consulta das certidões, o contratado deverá entregar ao setor responsável pela fiscalização do contrato, junto com a Nota Fiscal para fins de pagamento, os seguintes documentos: 1) certidão negativa, ou positiva com efeito de negativa, dos tributos federais e à Dívida Ativa da União;  2) Certidão de Regularidade do FGTS – CRF; e 3) Certidão Negativa, ou positiva com efeito de negativa, de Débitos Trabalhistas – CNDT.</w:t>
      </w:r>
    </w:p>
    <w:p>
      <w:pPr>
        <w:pStyle w:val="Standard"/>
        <w:spacing w:lineRule="auto" w:line="276" w:before="238" w:after="0"/>
        <w:rPr>
          <w:color w:val="111111"/>
        </w:rPr>
      </w:pPr>
      <w:r>
        <w:rPr>
          <w:color w:val="111111"/>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Standard"/>
        <w:spacing w:lineRule="auto" w:line="276" w:before="238" w:after="0"/>
        <w:rPr>
          <w:color w:val="111111"/>
        </w:rPr>
      </w:pPr>
      <w:r>
        <w:rPr>
          <w:color w:val="111111"/>
        </w:rPr>
        <w:t>Comunicar ao fiscal do contrato tempestivamente, observada a urgência da situação, qualquer ocorrência anormal ou acidente que se verifique no local da execução do objeto contratual, não ultrapassando o prazo de 24 (vinte e quatro) horas.</w:t>
      </w:r>
    </w:p>
    <w:p>
      <w:pPr>
        <w:pStyle w:val="Standard"/>
        <w:spacing w:lineRule="auto" w:line="276" w:before="238" w:after="0"/>
        <w:rPr>
          <w:color w:val="111111"/>
        </w:rPr>
      </w:pPr>
      <w:r>
        <w:rPr>
          <w:color w:val="111111"/>
        </w:rPr>
        <w:t>Paralisar, por determinação do contratante, qualquer atividade que não esteja sendo executada de acordo com a boa técnica ou que ponha em risco a segurança de pessoas ou bens de terceiros.</w:t>
      </w:r>
    </w:p>
    <w:p>
      <w:pPr>
        <w:pStyle w:val="Standard"/>
        <w:spacing w:lineRule="auto" w:line="276" w:before="238" w:after="0"/>
        <w:rPr>
          <w:color w:val="111111"/>
        </w:rPr>
      </w:pPr>
      <w:r>
        <w:rPr>
          <w:color w:val="111111"/>
        </w:rPr>
        <w:t>Manter durante toda a vigência do contrato, em compatibilidade com as obrigações assumidas, todas as condições exigidas para habilitação na licitação.</w:t>
      </w:r>
    </w:p>
    <w:p>
      <w:pPr>
        <w:pStyle w:val="Standard"/>
        <w:spacing w:lineRule="auto" w:line="276" w:before="238" w:after="0"/>
        <w:rPr>
          <w:color w:val="111111"/>
        </w:rPr>
      </w:pPr>
      <w:r>
        <w:rPr>
          <w:color w:val="111111"/>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Standard"/>
        <w:spacing w:lineRule="auto" w:line="276" w:before="238" w:after="0"/>
        <w:rPr>
          <w:color w:val="111111"/>
        </w:rPr>
      </w:pPr>
      <w:r>
        <w:rPr>
          <w:color w:val="111111"/>
        </w:rPr>
        <w:t>Comprovar a reserva de cargos a que se refere a cláusula acima, no prazo fixado pelo fiscal do contrato, com a indicação dos empregados que preencheram as referidas vagas (art. 116, parágrafo único, da Lei n.º 14.133/2021).</w:t>
      </w:r>
    </w:p>
    <w:p>
      <w:pPr>
        <w:pStyle w:val="Standard"/>
        <w:spacing w:lineRule="auto" w:line="276" w:before="238" w:after="0"/>
        <w:rPr>
          <w:color w:val="111111"/>
        </w:rPr>
      </w:pPr>
      <w:r>
        <w:rPr>
          <w:color w:val="111111"/>
        </w:rPr>
        <w:t>Guardar sigilo sobre todas as informações obtidas em decorrência do cumprimento do contrato.</w:t>
      </w:r>
    </w:p>
    <w:p>
      <w:pPr>
        <w:pStyle w:val="Standard"/>
        <w:spacing w:lineRule="auto" w:line="276" w:before="238" w:after="0"/>
        <w:rPr>
          <w:color w:val="111111"/>
        </w:rPr>
      </w:pPr>
      <w:r>
        <w:rPr>
          <w:color w:val="11111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Standard"/>
        <w:spacing w:lineRule="auto" w:line="276" w:before="238" w:after="0"/>
        <w:rPr>
          <w:color w:val="111111"/>
        </w:rPr>
      </w:pPr>
      <w:r>
        <w:rPr>
          <w:color w:val="111111"/>
        </w:rPr>
        <w:t>Cumprir, além dos postulados legais vigentes de âmbito federal, estadual ou municipal, as normas de segurança do Contratante.</w:t>
      </w:r>
    </w:p>
    <w:p>
      <w:pPr>
        <w:pStyle w:val="Standard"/>
        <w:spacing w:lineRule="auto" w:line="276" w:before="238" w:after="0"/>
        <w:rPr>
          <w:color w:val="111111"/>
        </w:rPr>
      </w:pPr>
      <w:r>
        <w:rPr>
          <w:color w:val="111111"/>
        </w:rPr>
        <w:t>Responsabilizar-se pelos vícios e danos decorrentes do objeto, de acordo com o Código de Defesa do Consumidor (Lei nº 8.078, de 1990).</w:t>
      </w:r>
    </w:p>
    <w:p>
      <w:pPr>
        <w:pStyle w:val="Standard"/>
        <w:spacing w:lineRule="auto" w:line="276" w:before="238" w:after="0"/>
        <w:rPr>
          <w:color w:val="111111"/>
        </w:rPr>
      </w:pPr>
      <w:r>
        <w:rPr>
          <w:color w:val="111111"/>
        </w:rPr>
        <w:t>Comunicar ao CONTRATANTE, no prazo máximo de 24 (vinte e quatro) horas que antecede a data da entrega, os motivos que impossibilitem o cumprimento do prazo previsto, com a devida comprovação.</w:t>
      </w:r>
    </w:p>
    <w:p>
      <w:pPr>
        <w:pStyle w:val="Standard"/>
        <w:spacing w:lineRule="auto" w:line="276" w:before="238" w:after="0"/>
        <w:rPr>
          <w:color w:val="111111"/>
        </w:rPr>
      </w:pPr>
      <w:r>
        <w:rPr>
          <w:color w:val="111111"/>
        </w:rPr>
        <w:t>Dar garantia de acordo com o estabelecido pelo Código de Defesa do Consumidor.</w:t>
      </w:r>
    </w:p>
    <w:p>
      <w:pPr>
        <w:pStyle w:val="Standard"/>
        <w:spacing w:lineRule="auto" w:line="276" w:before="238" w:after="0"/>
        <w:rPr/>
      </w:pPr>
      <w:r>
        <w:rPr>
          <w:color w:val="111111"/>
        </w:rPr>
        <w:t>Além disso, c</w:t>
      </w:r>
      <w:r>
        <w:rPr>
          <w:rFonts w:eastAsia="Arial"/>
          <w:color w:val="111111"/>
        </w:rPr>
        <w:t>onstituem obrigações específicas da contratada:</w:t>
      </w:r>
    </w:p>
    <w:p>
      <w:pPr>
        <w:pStyle w:val="Standard"/>
        <w:spacing w:lineRule="auto" w:line="276" w:before="238" w:after="0"/>
        <w:rPr>
          <w:color w:val="111111"/>
        </w:rPr>
      </w:pPr>
      <w:r>
        <w:rPr>
          <w:color w:val="111111"/>
        </w:rPr>
        <w:t>I – fornecer equipamentos novos, sem uso anterior;</w:t>
      </w:r>
    </w:p>
    <w:p>
      <w:pPr>
        <w:pStyle w:val="Standard"/>
        <w:spacing w:lineRule="auto" w:line="276" w:before="238" w:after="0"/>
        <w:rPr>
          <w:color w:val="111111"/>
        </w:rPr>
      </w:pPr>
      <w:r>
        <w:rPr>
          <w:color w:val="111111"/>
        </w:rPr>
        <w:t>II – realizar a entrega completa dos equipamentos;</w:t>
      </w:r>
    </w:p>
    <w:p>
      <w:pPr>
        <w:pStyle w:val="Standard"/>
        <w:spacing w:lineRule="auto" w:line="276" w:before="238" w:after="0"/>
        <w:rPr>
          <w:color w:val="111111"/>
        </w:rPr>
      </w:pPr>
      <w:r>
        <w:rPr>
          <w:color w:val="111111"/>
        </w:rPr>
        <w:t>III – fornecer equipamentos em conformidade com as especificações deste Termo de Referência;</w:t>
      </w:r>
    </w:p>
    <w:p>
      <w:pPr>
        <w:pStyle w:val="Standard"/>
        <w:spacing w:lineRule="auto" w:line="276" w:before="238" w:after="0"/>
        <w:rPr>
          <w:color w:val="111111"/>
        </w:rPr>
      </w:pPr>
      <w:r>
        <w:rPr>
          <w:color w:val="111111"/>
        </w:rPr>
        <w:t>IV – entregar os equipamentos devidamente embalados;</w:t>
      </w:r>
    </w:p>
    <w:p>
      <w:pPr>
        <w:pStyle w:val="Standard"/>
        <w:spacing w:lineRule="auto" w:line="276" w:before="238" w:after="0"/>
        <w:rPr>
          <w:color w:val="111111"/>
        </w:rPr>
      </w:pPr>
      <w:r>
        <w:rPr>
          <w:color w:val="111111"/>
        </w:rPr>
        <w:t xml:space="preserve">V – fornecer todos os materiais necessários para </w:t>
      </w:r>
      <w:r>
        <w:rPr>
          <w:color w:val="111111"/>
        </w:rPr>
        <w:t>posterior</w:t>
      </w:r>
      <w:r>
        <w:rPr>
          <w:color w:val="111111"/>
        </w:rPr>
        <w:t xml:space="preserve"> instalação;</w:t>
      </w:r>
    </w:p>
    <w:p>
      <w:pPr>
        <w:pStyle w:val="Standard"/>
        <w:spacing w:lineRule="auto" w:line="276" w:before="238" w:after="0"/>
        <w:rPr>
          <w:color w:val="111111"/>
        </w:rPr>
      </w:pPr>
      <w:r>
        <w:rPr>
          <w:color w:val="111111"/>
        </w:rPr>
        <w:t>VI – substituir equipamentos defeituosos ou entregues em desacordo;</w:t>
      </w:r>
    </w:p>
    <w:p>
      <w:pPr>
        <w:pStyle w:val="Standard"/>
        <w:spacing w:lineRule="auto" w:line="276" w:before="238" w:after="0"/>
        <w:rPr>
          <w:color w:val="111111"/>
        </w:rPr>
      </w:pPr>
      <w:r>
        <w:rPr>
          <w:color w:val="111111"/>
        </w:rPr>
        <w:t>VII – prestar garantia durante o prazo estabelecido;</w:t>
      </w:r>
    </w:p>
    <w:p>
      <w:pPr>
        <w:pStyle w:val="Standard"/>
        <w:spacing w:lineRule="auto" w:line="276" w:before="238" w:after="0"/>
        <w:rPr>
          <w:color w:val="111111"/>
        </w:rPr>
      </w:pPr>
      <w:r>
        <w:rPr>
          <w:color w:val="111111"/>
        </w:rPr>
        <w:t xml:space="preserve">VIII – responsabilizar-se pelo transporte </w:t>
      </w:r>
      <w:r>
        <w:rPr>
          <w:color w:val="111111"/>
        </w:rPr>
        <w:t>e</w:t>
      </w:r>
      <w:r>
        <w:rPr>
          <w:color w:val="111111"/>
        </w:rPr>
        <w:t xml:space="preserve"> demais despesas decorrentes da execução;</w:t>
      </w:r>
    </w:p>
    <w:p>
      <w:pPr>
        <w:pStyle w:val="Standard"/>
        <w:spacing w:lineRule="auto" w:line="276" w:before="238" w:after="0"/>
        <w:rPr>
          <w:color w:val="111111"/>
        </w:rPr>
      </w:pPr>
      <w:r>
        <w:rPr>
          <w:color w:val="111111"/>
        </w:rPr>
        <w:t>IX – manter as condições de habilitação durante toda a execução da contratação.</w:t>
      </w:r>
    </w:p>
    <w:p>
      <w:pPr>
        <w:pStyle w:val="Standard"/>
        <w:spacing w:lineRule="auto" w:line="276" w:before="238" w:after="0"/>
        <w:rPr>
          <w:color w:val="111111"/>
        </w:rPr>
      </w:pPr>
      <w:r>
        <w:rPr/>
      </w:r>
    </w:p>
    <w:p>
      <w:pPr>
        <w:pStyle w:val="Tpico2"/>
        <w:numPr>
          <w:ilvl w:val="1"/>
          <w:numId w:val="133"/>
        </w:numPr>
        <w:spacing w:lineRule="auto" w:line="276" w:before="238" w:after="0"/>
        <w:ind w:hanging="0" w:left="0"/>
        <w:rPr>
          <w:color w:val="111111"/>
        </w:rPr>
      </w:pPr>
      <w:r>
        <w:rPr>
          <w:color w:val="111111"/>
        </w:rPr>
        <w:t>Obrigações específicas do Município</w:t>
      </w:r>
    </w:p>
    <w:p>
      <w:pPr>
        <w:pStyle w:val="Standard"/>
        <w:spacing w:lineRule="auto" w:line="276" w:before="238" w:after="0"/>
        <w:rPr>
          <w:color w:val="111111"/>
        </w:rPr>
      </w:pPr>
      <w:r>
        <w:rPr>
          <w:color w:val="111111"/>
        </w:rPr>
        <w:t>Exigir o cumprimento de todas as obrigações assumidas pelo contratado, de acordo com o contrato e seus anexos.</w:t>
      </w:r>
    </w:p>
    <w:p>
      <w:pPr>
        <w:pStyle w:val="Standard"/>
        <w:spacing w:lineRule="auto" w:line="276" w:before="238" w:after="0"/>
        <w:rPr>
          <w:color w:val="111111"/>
        </w:rPr>
      </w:pPr>
      <w:r>
        <w:rPr>
          <w:color w:val="111111"/>
        </w:rPr>
        <w:t>Receber o objeto no prazo e condições estabelecidas no termo de referência.</w:t>
      </w:r>
    </w:p>
    <w:p>
      <w:pPr>
        <w:pStyle w:val="Standard"/>
        <w:spacing w:lineRule="auto" w:line="276" w:before="238" w:after="0"/>
        <w:rPr>
          <w:color w:val="111111"/>
        </w:rPr>
      </w:pPr>
      <w:r>
        <w:rPr>
          <w:color w:val="111111"/>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Standard"/>
        <w:spacing w:lineRule="auto" w:line="276" w:before="238" w:after="0"/>
        <w:rPr>
          <w:color w:val="111111"/>
        </w:rPr>
      </w:pPr>
      <w:r>
        <w:rPr>
          <w:color w:val="111111"/>
        </w:rPr>
        <w:t>Indicar o responsável pela fiscalização e acompanhamento da execução do contrato e o cumprimento das obrigações pelo Contratado.</w:t>
      </w:r>
    </w:p>
    <w:p>
      <w:pPr>
        <w:pStyle w:val="Standard"/>
        <w:spacing w:lineRule="auto" w:line="276" w:before="238" w:after="0"/>
        <w:rPr>
          <w:color w:val="111111"/>
        </w:rPr>
      </w:pPr>
      <w:r>
        <w:rPr>
          <w:color w:val="111111"/>
        </w:rPr>
        <w:t>Efetuar o pagamento ao Contratado do valor devido correspondente à execução do objeto, no prazo, forma e condições estabelecidos no termo de referência.</w:t>
      </w:r>
    </w:p>
    <w:p>
      <w:pPr>
        <w:pStyle w:val="Standard"/>
        <w:spacing w:lineRule="auto" w:line="276" w:before="238" w:after="0"/>
        <w:rPr>
          <w:color w:val="111111"/>
        </w:rPr>
      </w:pPr>
      <w:r>
        <w:rPr>
          <w:color w:val="111111"/>
        </w:rPr>
        <w:t>Aplicar ao Contratado as sanções previstas na lei e no termo de referência.</w:t>
      </w:r>
    </w:p>
    <w:p>
      <w:pPr>
        <w:pStyle w:val="Standard"/>
        <w:spacing w:lineRule="auto" w:line="276" w:before="238" w:after="0"/>
        <w:rPr>
          <w:color w:val="111111"/>
        </w:rPr>
      </w:pPr>
      <w:r>
        <w:rPr>
          <w:color w:val="111111"/>
        </w:rPr>
        <w:t>Cientificar o órgão de representação jurídica do Município para adoção das medidas cabíveis quando do descumprimento de obrigações pelo Contratado.</w:t>
      </w:r>
    </w:p>
    <w:p>
      <w:pPr>
        <w:pStyle w:val="Standard"/>
        <w:spacing w:lineRule="auto" w:line="276" w:before="238" w:after="0"/>
        <w:rPr>
          <w:color w:val="111111"/>
        </w:rPr>
      </w:pPr>
      <w:r>
        <w:rPr>
          <w:color w:val="11111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Standard"/>
        <w:spacing w:lineRule="auto" w:line="276" w:before="238" w:after="0"/>
        <w:rPr>
          <w:color w:val="111111"/>
        </w:rPr>
      </w:pPr>
      <w:r>
        <w:rPr>
          <w:color w:val="111111"/>
        </w:rPr>
        <w:t>A Administração terá o prazo de até 01 (um) mês, a contar da data do protocolo do requerimento para decidir, admitida a prorrogação motivada, por igual período.</w:t>
      </w:r>
    </w:p>
    <w:p>
      <w:pPr>
        <w:pStyle w:val="Standard"/>
        <w:spacing w:lineRule="auto" w:line="276" w:before="238" w:after="0"/>
        <w:rPr>
          <w:color w:val="111111"/>
        </w:rPr>
      </w:pPr>
      <w:r>
        <w:rPr>
          <w:color w:val="111111"/>
        </w:rPr>
        <w:t>Responder eventuais pedidos de reestabelecimento do equilíbrio econômico-financeiro feitos pelo Contratado no prazo máximo de até 01 (um) mês.</w:t>
      </w:r>
    </w:p>
    <w:p>
      <w:pPr>
        <w:pStyle w:val="Standard"/>
        <w:spacing w:lineRule="auto" w:line="276" w:before="238" w:after="0"/>
        <w:rPr>
          <w:color w:val="111111"/>
        </w:rPr>
      </w:pPr>
      <w:r>
        <w:rPr>
          <w:color w:val="111111"/>
        </w:rPr>
        <w:t>Quando, for o caso, notificar os emitentes das garantias quanto ao início de processo administrativo para apuração de descumprimento de cláusulas contratuais.</w:t>
      </w:r>
    </w:p>
    <w:p>
      <w:pPr>
        <w:pStyle w:val="Standard"/>
        <w:spacing w:lineRule="auto" w:line="276" w:before="238" w:after="0"/>
        <w:rPr>
          <w:color w:val="111111"/>
        </w:rPr>
      </w:pPr>
      <w:r>
        <w:rPr>
          <w:color w:val="11111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andard"/>
        <w:spacing w:lineRule="auto" w:line="276" w:before="238" w:after="0"/>
        <w:rPr/>
      </w:pPr>
      <w:r>
        <w:rPr>
          <w:color w:val="111111"/>
        </w:rPr>
        <w:t>Além disso, c</w:t>
      </w:r>
      <w:r>
        <w:rPr>
          <w:rFonts w:eastAsia="Arial"/>
          <w:color w:val="111111"/>
        </w:rPr>
        <w:t>onstituem obrigações específicas do Município:</w:t>
      </w:r>
    </w:p>
    <w:p>
      <w:pPr>
        <w:pStyle w:val="Standard"/>
        <w:spacing w:lineRule="auto" w:line="276" w:before="238" w:after="0"/>
        <w:rPr>
          <w:color w:val="111111"/>
        </w:rPr>
      </w:pPr>
      <w:r>
        <w:rPr>
          <w:color w:val="111111"/>
        </w:rPr>
        <w:t>I – indicar o local para entrega;</w:t>
      </w:r>
    </w:p>
    <w:p>
      <w:pPr>
        <w:pStyle w:val="Standard"/>
        <w:spacing w:lineRule="auto" w:line="276" w:before="238" w:after="0"/>
        <w:rPr>
          <w:color w:val="111111"/>
        </w:rPr>
      </w:pPr>
      <w:r>
        <w:rPr>
          <w:color w:val="111111"/>
        </w:rPr>
        <w:t>II – disponibilizar acesso às dependências;</w:t>
      </w:r>
    </w:p>
    <w:p>
      <w:pPr>
        <w:pStyle w:val="Standard"/>
        <w:spacing w:lineRule="auto" w:line="276" w:before="238" w:after="0"/>
        <w:rPr>
          <w:color w:val="111111"/>
        </w:rPr>
      </w:pPr>
      <w:r>
        <w:rPr>
          <w:color w:val="111111"/>
        </w:rPr>
        <w:t xml:space="preserve">III – acompanhar / fiscalizar </w:t>
      </w:r>
      <w:r>
        <w:rPr>
          <w:color w:val="111111"/>
        </w:rPr>
        <w:t>no momento do recebimento do objeto</w:t>
      </w:r>
      <w:r>
        <w:rPr>
          <w:color w:val="111111"/>
        </w:rPr>
        <w:t>;</w:t>
      </w:r>
    </w:p>
    <w:p>
      <w:pPr>
        <w:pStyle w:val="Standard"/>
        <w:spacing w:lineRule="auto" w:line="276" w:before="238" w:after="0"/>
        <w:rPr>
          <w:color w:val="111111"/>
        </w:rPr>
      </w:pPr>
      <w:r>
        <w:rPr>
          <w:color w:val="111111"/>
        </w:rPr>
        <w:t>IV – realizar o recebimento provisório e definitivo;</w:t>
      </w:r>
    </w:p>
    <w:p>
      <w:pPr>
        <w:pStyle w:val="Standard"/>
        <w:spacing w:lineRule="auto" w:line="276" w:before="238" w:after="0"/>
        <w:rPr>
          <w:color w:val="111111"/>
        </w:rPr>
      </w:pPr>
      <w:r>
        <w:rPr>
          <w:color w:val="111111"/>
        </w:rPr>
        <w:t>V – comunicar eventuais irregularidades;</w:t>
      </w:r>
    </w:p>
    <w:p>
      <w:pPr>
        <w:pStyle w:val="Standard"/>
        <w:spacing w:lineRule="auto" w:line="276" w:before="238" w:after="0"/>
        <w:rPr>
          <w:color w:val="111111"/>
        </w:rPr>
      </w:pPr>
      <w:r>
        <w:rPr>
          <w:color w:val="111111"/>
        </w:rPr>
        <w:t>VI – efetuar o pagamento após o recebimento definitivo.</w:t>
      </w:r>
    </w:p>
    <w:p>
      <w:pPr>
        <w:pStyle w:val="Tpico2"/>
        <w:numPr>
          <w:ilvl w:val="1"/>
          <w:numId w:val="134"/>
        </w:numPr>
        <w:spacing w:lineRule="auto" w:line="276" w:before="238" w:after="0"/>
        <w:ind w:hanging="0" w:left="0"/>
        <w:rPr>
          <w:color w:val="111111"/>
        </w:rPr>
      </w:pPr>
      <w:r>
        <w:rPr>
          <w:color w:val="111111"/>
        </w:rPr>
        <w:t>Existem requisitos posteriores à execução?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3"/>
        <w:numPr>
          <w:ilvl w:val="2"/>
          <w:numId w:val="135"/>
        </w:numPr>
        <w:spacing w:lineRule="auto" w:line="276" w:before="238" w:after="0"/>
        <w:ind w:hanging="0" w:left="0"/>
        <w:rPr>
          <w:color w:val="111111"/>
        </w:rPr>
      </w:pPr>
      <w:r>
        <w:rPr>
          <w:color w:val="111111"/>
        </w:rPr>
        <w:t>Quais são os requisitos posteriores à execução?</w:t>
      </w:r>
    </w:p>
    <w:p>
      <w:pPr>
        <w:pStyle w:val="Standard"/>
        <w:spacing w:lineRule="auto" w:line="276" w:before="238" w:after="0"/>
        <w:rPr>
          <w:color w:val="111111"/>
        </w:rPr>
      </w:pPr>
      <w:r>
        <w:rPr>
          <w:color w:val="111111"/>
        </w:rPr>
        <w:t>Durante o período de garantia, a contratada deverá reparar ou substituir, sem ônus para a Administração, equipamentos que apresentarem defeitos de fabricação, falhas de funcionamento ou qualquer desconformidade com as especificações técnicas.</w:t>
      </w:r>
    </w:p>
    <w:p>
      <w:pPr>
        <w:pStyle w:val="Standard"/>
        <w:spacing w:lineRule="auto" w:line="276" w:before="238" w:after="0"/>
        <w:rPr>
          <w:color w:val="111111"/>
        </w:rPr>
      </w:pPr>
      <w:r>
        <w:rPr>
          <w:color w:val="111111"/>
        </w:rPr>
        <w:t>A substituição ou reparo deverá ocorrer no prazo máximo estabelecido neste Termo de Referência, contado da comunicação formal da Administração.</w:t>
      </w:r>
    </w:p>
    <w:p>
      <w:pPr>
        <w:pStyle w:val="Tpico2"/>
        <w:numPr>
          <w:ilvl w:val="1"/>
          <w:numId w:val="136"/>
        </w:numPr>
        <w:spacing w:lineRule="auto" w:line="276" w:before="238" w:after="0"/>
        <w:ind w:hanging="0" w:left="0"/>
        <w:rPr>
          <w:color w:val="111111"/>
        </w:rPr>
      </w:pPr>
      <w:r>
        <w:rPr>
          <w:color w:val="111111"/>
        </w:rPr>
        <w:t>Infrações e penalidades do Contrato</w:t>
      </w:r>
    </w:p>
    <w:p>
      <w:pPr>
        <w:pStyle w:val="Standard"/>
        <w:spacing w:lineRule="auto" w:line="276" w:before="238" w:after="0"/>
        <w:rPr>
          <w:color w:val="111111"/>
          <w:szCs w:val="20"/>
        </w:rPr>
      </w:pPr>
      <w:r>
        <w:rPr>
          <w:color w:val="111111"/>
          <w:szCs w:val="20"/>
        </w:rPr>
        <w:t>Nos casos em que o contratado cometer ato de descumprimento parcial do contrato, sem que gere dano ao Município, o fiscal do contrato aplicará sanção de advertência ao contratado.</w:t>
      </w:r>
    </w:p>
    <w:p>
      <w:pPr>
        <w:pStyle w:val="Standard"/>
        <w:spacing w:lineRule="auto" w:line="276" w:before="238" w:after="0"/>
        <w:rPr>
          <w:color w:val="111111"/>
          <w:szCs w:val="20"/>
        </w:rPr>
      </w:pPr>
      <w:r>
        <w:rPr>
          <w:color w:val="111111"/>
          <w:szCs w:val="20"/>
        </w:rPr>
        <w:t>Será aplicada multa moratória não inferior a 0,5% (zero vírgula cinco por cento) por dia de atraso injustificado sobre o valor da parcela inadimplida, até o limite de 40 (quarenta) dias.</w:t>
      </w:r>
    </w:p>
    <w:p>
      <w:pPr>
        <w:pStyle w:val="Standard"/>
        <w:spacing w:lineRule="auto" w:line="276" w:before="238" w:after="0"/>
        <w:rPr>
          <w:color w:val="111111"/>
          <w:szCs w:val="20"/>
        </w:rPr>
      </w:pPr>
      <w:r>
        <w:rPr>
          <w:color w:val="111111"/>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pPr>
        <w:pStyle w:val="Standard"/>
        <w:spacing w:lineRule="auto" w:line="276" w:before="238" w:after="0"/>
        <w:rPr>
          <w:color w:val="111111"/>
          <w:szCs w:val="20"/>
        </w:rPr>
      </w:pPr>
      <w:r>
        <w:rPr>
          <w:color w:val="111111"/>
          <w:szCs w:val="20"/>
        </w:rPr>
        <w:t>Nos casos de inexecução total do contrato, o Município aplicará multa de 20% (vinte por cento) sobre o valor do saldo contratual a executar.</w:t>
      </w:r>
    </w:p>
    <w:p>
      <w:pPr>
        <w:pStyle w:val="Standard"/>
        <w:spacing w:lineRule="auto" w:line="276" w:before="238" w:after="0"/>
        <w:rPr>
          <w:color w:val="111111"/>
          <w:szCs w:val="20"/>
        </w:rPr>
      </w:pPr>
      <w:r>
        <w:rPr>
          <w:color w:val="111111"/>
          <w:szCs w:val="20"/>
        </w:rPr>
        <w:t>A penalidade de multa poderá ser cumulada com penalidade de impedimento de licitar e contratar, nos termos da tabela:</w:t>
      </w:r>
    </w:p>
    <w:tbl>
      <w:tblPr>
        <w:tblW w:w="9356" w:type="dxa"/>
        <w:jc w:val="center"/>
        <w:tblInd w:w="0" w:type="dxa"/>
        <w:tblLayout w:type="fixed"/>
        <w:tblCellMar>
          <w:top w:w="0" w:type="dxa"/>
          <w:left w:w="57" w:type="dxa"/>
          <w:bottom w:w="0" w:type="dxa"/>
          <w:right w:w="57" w:type="dxa"/>
        </w:tblCellMar>
        <w:tblLook w:firstRow="1" w:noVBand="1" w:lastRow="0" w:firstColumn="1" w:lastColumn="0" w:noHBand="0" w:val="04a0"/>
      </w:tblPr>
      <w:tblGrid>
        <w:gridCol w:w="4395"/>
        <w:gridCol w:w="3402"/>
        <w:gridCol w:w="1559"/>
      </w:tblGrid>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INFRAÇÃO COMETIDA</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PENALIDADE</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PRAZO</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Ensejar o retardamento da execução do contrato sem motivo justificado</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6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Dar causa à inexecução parcial do contrato que cause grave dano à Administração, ao funcionamento dos serviços públicos ou ao interesse coletivo</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12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Dar causa à inexecução total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Impedimento de licitar ou contratar com o Município de Sertãozinho</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18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Prestar declaração falsa durante a execução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4 anos e 6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Praticar ato fraudulento na execução do contrato</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4 anos e 6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Comportar-se de modo inidôneo ou cometer fraude de qualquer natureza</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4 anos e 6 meses</w:t>
            </w:r>
          </w:p>
        </w:tc>
      </w:tr>
      <w:tr>
        <w:trPr/>
        <w:tc>
          <w:tcPr>
            <w:tcW w:w="4395"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Praticar ato lesivo previsto no art. 5º da Lei nº 12.846, de 1º de agosto de 2013</w:t>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Declaração de Inidoneidade para licitar ou contratar com todos os entes federativos</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Standard"/>
              <w:spacing w:lineRule="auto" w:line="276" w:before="238" w:after="0"/>
              <w:rPr>
                <w:color w:val="111111"/>
                <w:sz w:val="22"/>
                <w:szCs w:val="22"/>
              </w:rPr>
            </w:pPr>
            <w:r>
              <w:rPr>
                <w:color w:val="111111"/>
                <w:sz w:val="22"/>
                <w:szCs w:val="22"/>
              </w:rPr>
              <w:t>4 anos e 6 meses</w:t>
            </w:r>
          </w:p>
        </w:tc>
      </w:tr>
    </w:tbl>
    <w:p>
      <w:pPr>
        <w:pStyle w:val="Tpico2"/>
        <w:numPr>
          <w:ilvl w:val="1"/>
          <w:numId w:val="137"/>
        </w:numPr>
        <w:spacing w:lineRule="auto" w:line="276" w:before="238" w:after="0"/>
        <w:ind w:hanging="0" w:left="0"/>
        <w:rPr>
          <w:color w:val="111111"/>
        </w:rPr>
      </w:pPr>
      <w:r>
        <w:rPr>
          <w:color w:val="111111"/>
        </w:rPr>
        <w:t>Matriz de riscos</w:t>
      </w:r>
    </w:p>
    <w:p>
      <w:pPr>
        <w:pStyle w:val="Expandido"/>
        <w:spacing w:lineRule="auto" w:line="276" w:before="238" w:after="0"/>
        <w:ind w:left="0"/>
        <w:rPr/>
      </w:pPr>
      <w:r>
        <w:rPr>
          <w:rFonts w:cs="Arial" w:ascii="Arial" w:hAnsi="Arial"/>
          <w:color w:val="111111"/>
          <w:sz w:val="24"/>
          <w:szCs w:val="28"/>
        </w:rPr>
        <w:t>Não haverá matriz de riscos específica para esta contratação, uma vez que os riscos inerentes à execução do objeto já foram devidamente identificados, previstos e mitigados neste documento. Dessa forma, entende-se que a elaboração de matriz de riscos se mostra desnecessária, considerando que não há complexidade técnica, relevância econômica ou possibilidade de desequilíbrio contratual que justifique sua adoção.</w:t>
      </w:r>
    </w:p>
    <w:p>
      <w:pPr>
        <w:pStyle w:val="Tpico2"/>
        <w:numPr>
          <w:ilvl w:val="1"/>
          <w:numId w:val="138"/>
        </w:numPr>
        <w:spacing w:lineRule="auto" w:line="276" w:before="238" w:after="0"/>
        <w:ind w:hanging="0" w:left="0"/>
        <w:rPr>
          <w:color w:val="111111"/>
        </w:rPr>
      </w:pPr>
      <w:r>
        <w:rPr>
          <w:color w:val="111111"/>
        </w:rPr>
        <w:t>Qual será a regra da subcontratação?</w:t>
      </w:r>
    </w:p>
    <w:p>
      <w:pPr>
        <w:pStyle w:val="Standard"/>
        <w:spacing w:lineRule="auto" w:line="276" w:before="238" w:after="0"/>
        <w:rPr>
          <w:color w:val="111111"/>
        </w:rPr>
      </w:pPr>
      <w:r>
        <w:rPr>
          <w:color w:val="111111"/>
        </w:rPr>
        <w:t>Será vedada a subcontratação</w:t>
      </w:r>
    </w:p>
    <w:p>
      <w:pPr>
        <w:pStyle w:val="Tpico3"/>
        <w:numPr>
          <w:ilvl w:val="2"/>
          <w:numId w:val="139"/>
        </w:numPr>
        <w:spacing w:lineRule="auto" w:line="276" w:before="238" w:after="0"/>
        <w:ind w:hanging="0" w:left="0"/>
        <w:rPr/>
      </w:pPr>
      <w:r>
        <w:rPr>
          <w:color w:val="111111"/>
        </w:rPr>
        <w:t>Se vedada a subcontratação, qual a justificativa?</w:t>
      </w:r>
      <w:r>
        <w:rPr>
          <w:b w:val="false"/>
          <w:bCs w:val="false"/>
          <w:color w:val="111111"/>
        </w:rPr>
        <w:t xml:space="preserve">  </w:t>
      </w:r>
    </w:p>
    <w:p>
      <w:pPr>
        <w:pStyle w:val="Standard"/>
        <w:spacing w:lineRule="auto" w:line="276" w:before="238" w:after="0"/>
        <w:rPr>
          <w:color w:val="111111"/>
        </w:rPr>
      </w:pPr>
      <w:r>
        <w:rPr>
          <w:color w:val="111111"/>
        </w:rPr>
        <w:t>Tendo em vista tratar-se de fornecimento de bem móvel acabado e indivisível, cuja montagem e eventuais ajustes devem ser realizados pelo próprio fornecedor responsável pela fabricação ou comercialização do produto, não será admitida a subcontratação de qualquer etapa do objeto.</w:t>
      </w:r>
    </w:p>
    <w:p>
      <w:pPr>
        <w:pStyle w:val="Standard"/>
        <w:spacing w:lineRule="auto" w:line="276" w:before="238" w:after="0"/>
        <w:rPr>
          <w:color w:val="111111"/>
        </w:rPr>
      </w:pPr>
      <w:r>
        <w:rPr>
          <w:color w:val="111111"/>
        </w:rPr>
        <w:t>A subcontratação, neste caso, poderia comprometer a integridade do conjunto, a padronização dos materiais e a garantia do produto, além de dificultar a responsabilização direta pela qualidade e conformidade do equipamento fornecido.</w:t>
      </w:r>
    </w:p>
    <w:p>
      <w:pPr>
        <w:pStyle w:val="Standard"/>
        <w:spacing w:lineRule="auto" w:line="276" w:before="238" w:after="0"/>
        <w:rPr>
          <w:color w:val="111111"/>
        </w:rPr>
      </w:pPr>
      <w:r>
        <w:rPr>
          <w:color w:val="111111"/>
        </w:rPr>
        <w:t>Assim, em conformidade com o art. 167, inciso I, do Decreto Municipal nº 8109/2023, e considerando que o objeto consiste no fornecimento integral de dois bebedouros (industrial de coluna, capacidade mínima de 50 litros, Unidade 02 (duas) alimentação elétrica de 110 V, potência de 110 W, equipado com 02 (duas) torneiras), a vedação à subcontratação justifica-se pela natureza unitária e técnica do bem, cuja execução deve permanecer sob total responsabilidade da empresa contratada.</w:t>
      </w:r>
    </w:p>
    <w:p>
      <w:pPr>
        <w:pStyle w:val="Tpico2"/>
        <w:numPr>
          <w:ilvl w:val="1"/>
          <w:numId w:val="140"/>
        </w:numPr>
        <w:spacing w:lineRule="auto" w:line="276" w:before="238" w:after="0"/>
        <w:ind w:hanging="0" w:left="0"/>
        <w:rPr>
          <w:color w:val="111111"/>
        </w:rPr>
      </w:pPr>
      <w:r>
        <w:rPr>
          <w:color w:val="111111"/>
        </w:rPr>
        <w:t>Além da conciliação, haverá outro método alternativo de resolução de controvérsias?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1"/>
        <w:numPr>
          <w:ilvl w:val="0"/>
          <w:numId w:val="141"/>
        </w:numPr>
        <w:spacing w:lineRule="auto" w:line="276" w:before="238" w:after="0"/>
        <w:ind w:hanging="0" w:left="0"/>
        <w:rPr>
          <w:color w:val="111111"/>
        </w:rPr>
      </w:pPr>
      <w:r>
        <w:rPr>
          <w:color w:val="111111"/>
        </w:rPr>
        <w:t>CRITÉRIOS DE MEDIÇÃO E PAGAMENTO</w:t>
      </w:r>
    </w:p>
    <w:p>
      <w:pPr>
        <w:pStyle w:val="Tpico2"/>
        <w:numPr>
          <w:ilvl w:val="1"/>
          <w:numId w:val="142"/>
        </w:numPr>
        <w:spacing w:lineRule="auto" w:line="276" w:before="238" w:after="0"/>
        <w:ind w:hanging="0" w:left="0"/>
        <w:rPr>
          <w:color w:val="111111"/>
        </w:rPr>
      </w:pPr>
      <w:r>
        <w:rPr>
          <w:color w:val="111111"/>
        </w:rPr>
        <w:t>Prazo de pagamento:</w:t>
      </w:r>
    </w:p>
    <w:p>
      <w:pPr>
        <w:pStyle w:val="Standard"/>
        <w:spacing w:lineRule="auto" w:line="276" w:before="238" w:after="0"/>
        <w:rPr>
          <w:color w:val="111111"/>
        </w:rPr>
      </w:pPr>
      <w:r>
        <w:rPr>
          <w:color w:val="111111"/>
        </w:rPr>
        <w:t>O Município de Sertãozinho efetuará o pagamento no 15º (décimo quinto) dia, após o registro da Nota Fiscal, que ocorrerá mediante a apresentação da documentação fiscal pertinente, devida e regularmente atestada pela Secretaria Requisitante.</w:t>
      </w:r>
    </w:p>
    <w:p>
      <w:pPr>
        <w:pStyle w:val="Standard"/>
        <w:spacing w:lineRule="auto" w:line="276" w:before="238" w:after="0"/>
        <w:rPr>
          <w:color w:val="111111"/>
        </w:rPr>
      </w:pPr>
      <w:r>
        <w:rPr>
          <w:color w:val="111111"/>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pPr>
        <w:pStyle w:val="Standard"/>
        <w:spacing w:lineRule="auto" w:line="276" w:before="238" w:after="0"/>
        <w:rPr>
          <w:color w:val="111111"/>
        </w:rPr>
      </w:pPr>
      <w:r>
        <w:rPr>
          <w:color w:val="111111"/>
        </w:rPr>
        <w:t>O pagamento será realizado através de ordem bancária, para crédito em banco, agência e conta-corrente indicados pelo contratado.</w:t>
      </w:r>
    </w:p>
    <w:p>
      <w:pPr>
        <w:pStyle w:val="Standard"/>
        <w:spacing w:lineRule="auto" w:line="276" w:before="238" w:after="0"/>
        <w:rPr>
          <w:color w:val="111111"/>
        </w:rPr>
      </w:pPr>
      <w:r>
        <w:rPr>
          <w:color w:val="111111"/>
        </w:rPr>
        <w:t>Será considerada data do pagamento o dia em que constar como emitida a ordem bancária para pagamento.</w:t>
      </w:r>
    </w:p>
    <w:p>
      <w:pPr>
        <w:pStyle w:val="Standard"/>
        <w:spacing w:lineRule="auto" w:line="276" w:before="238" w:after="0"/>
        <w:rPr>
          <w:color w:val="111111"/>
        </w:rPr>
      </w:pPr>
      <w:r>
        <w:rPr>
          <w:color w:val="111111"/>
        </w:rPr>
        <w:t>Quando do pagamento, será efetuada a retenção tributária prevista na legislação aplicável.</w:t>
      </w:r>
    </w:p>
    <w:p>
      <w:pPr>
        <w:pStyle w:val="Standard"/>
        <w:spacing w:lineRule="auto" w:line="276" w:before="238" w:after="0"/>
        <w:rPr>
          <w:color w:val="111111"/>
        </w:rPr>
      </w:pPr>
      <w:r>
        <w:rPr>
          <w:color w:val="111111"/>
        </w:rPr>
        <w:t>Independentemente do percentual de tributo inserido na planilha, quando houver, serão retidos na fonte, quando da realização do pagamento, os percentuais estabelecidos na legislação vigente.</w:t>
      </w:r>
    </w:p>
    <w:p>
      <w:pPr>
        <w:pStyle w:val="Standard"/>
        <w:spacing w:lineRule="auto" w:line="276" w:before="238" w:after="0"/>
        <w:rPr>
          <w:color w:val="111111"/>
        </w:rPr>
      </w:pPr>
      <w:r>
        <w:rPr>
          <w:color w:val="11111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Standard"/>
        <w:spacing w:lineRule="auto" w:line="276" w:before="238" w:after="0"/>
        <w:rPr>
          <w:color w:val="111111"/>
        </w:rPr>
      </w:pPr>
      <w:r>
        <w:rPr>
          <w:color w:val="111111"/>
        </w:rPr>
        <w:t>Será indicada a retenção ou glosa no pagamento, proporcional à irregularidade verificada, sem prejuízo das sanções cabíveis, caso se constate que o Contratado:</w:t>
      </w:r>
    </w:p>
    <w:p>
      <w:pPr>
        <w:pStyle w:val="Standard"/>
        <w:spacing w:lineRule="auto" w:line="276" w:before="238" w:after="0"/>
        <w:rPr>
          <w:color w:val="111111"/>
        </w:rPr>
      </w:pPr>
      <w:r>
        <w:rPr>
          <w:color w:val="111111"/>
        </w:rPr>
        <w:t xml:space="preserve">    • </w:t>
      </w:r>
      <w:r>
        <w:rPr>
          <w:color w:val="111111"/>
        </w:rPr>
        <w:t>Não produziu os resultados acordados,</w:t>
      </w:r>
    </w:p>
    <w:p>
      <w:pPr>
        <w:pStyle w:val="Standard"/>
        <w:spacing w:lineRule="auto" w:line="276" w:before="238" w:after="0"/>
        <w:rPr>
          <w:color w:val="111111"/>
        </w:rPr>
      </w:pPr>
      <w:r>
        <w:rPr>
          <w:color w:val="111111"/>
        </w:rPr>
        <w:t xml:space="preserve">    • </w:t>
      </w:r>
      <w:r>
        <w:rPr>
          <w:color w:val="111111"/>
        </w:rPr>
        <w:t>Deixou de executar, ou não executou com a qualidade mínima exigida as atividades contratadas; ou</w:t>
      </w:r>
    </w:p>
    <w:p>
      <w:pPr>
        <w:pStyle w:val="Standard"/>
        <w:spacing w:lineRule="auto" w:line="276" w:before="238" w:after="0"/>
        <w:rPr>
          <w:color w:val="111111"/>
        </w:rPr>
      </w:pPr>
      <w:r>
        <w:rPr>
          <w:color w:val="111111"/>
        </w:rPr>
        <w:t xml:space="preserve">    • </w:t>
      </w:r>
      <w:r>
        <w:rPr>
          <w:color w:val="111111"/>
        </w:rPr>
        <w:t>Deixou de utilizar materiais e recursos humanos exigidos para a execução do serviço, ou os utilizou com qualidade ou quantidade inferior à demandada.</w:t>
      </w:r>
    </w:p>
    <w:p>
      <w:pPr>
        <w:pStyle w:val="Standard"/>
        <w:spacing w:lineRule="auto" w:line="276" w:before="238" w:after="0"/>
        <w:rPr>
          <w:color w:val="111111"/>
        </w:rPr>
      </w:pPr>
      <w:r>
        <w:rPr>
          <w:color w:val="111111"/>
        </w:rPr>
        <w:t>Para fins de liquidação, o setor competente deve verificar se a Nota Fiscal ou Fatura apresentada expressa os elementos necessários e essenciais do documento, tais como:</w:t>
      </w:r>
    </w:p>
    <w:p>
      <w:pPr>
        <w:pStyle w:val="Standard"/>
        <w:spacing w:lineRule="auto" w:line="276" w:before="238" w:after="0"/>
        <w:rPr>
          <w:color w:val="111111"/>
        </w:rPr>
      </w:pPr>
      <w:r>
        <w:rPr>
          <w:color w:val="111111"/>
        </w:rPr>
        <w:t xml:space="preserve"> </w:t>
      </w:r>
      <w:r>
        <w:rPr>
          <w:color w:val="111111"/>
        </w:rPr>
        <w:t>I. O prazo de validade;</w:t>
      </w:r>
    </w:p>
    <w:p>
      <w:pPr>
        <w:pStyle w:val="Standard"/>
        <w:spacing w:lineRule="auto" w:line="276" w:before="238" w:after="0"/>
        <w:rPr>
          <w:color w:val="111111"/>
        </w:rPr>
      </w:pPr>
      <w:r>
        <w:rPr>
          <w:color w:val="111111"/>
        </w:rPr>
        <w:t xml:space="preserve"> </w:t>
      </w:r>
      <w:r>
        <w:rPr>
          <w:color w:val="111111"/>
        </w:rPr>
        <w:t>II. A data da emissão;</w:t>
      </w:r>
    </w:p>
    <w:p>
      <w:pPr>
        <w:pStyle w:val="Standard"/>
        <w:spacing w:lineRule="auto" w:line="276" w:before="238" w:after="0"/>
        <w:rPr>
          <w:color w:val="111111"/>
        </w:rPr>
      </w:pPr>
      <w:r>
        <w:rPr>
          <w:color w:val="111111"/>
        </w:rPr>
        <w:t xml:space="preserve"> </w:t>
      </w:r>
      <w:r>
        <w:rPr>
          <w:color w:val="111111"/>
        </w:rPr>
        <w:t>III. Os dados da contratação e do órgão contratante;</w:t>
      </w:r>
    </w:p>
    <w:p>
      <w:pPr>
        <w:pStyle w:val="Standard"/>
        <w:spacing w:lineRule="auto" w:line="276" w:before="238" w:after="0"/>
        <w:rPr>
          <w:color w:val="111111"/>
        </w:rPr>
      </w:pPr>
      <w:r>
        <w:rPr>
          <w:color w:val="111111"/>
        </w:rPr>
        <w:t xml:space="preserve"> </w:t>
      </w:r>
      <w:r>
        <w:rPr>
          <w:color w:val="111111"/>
        </w:rPr>
        <w:t>IV. O período respectivo de execução da contratação;</w:t>
      </w:r>
    </w:p>
    <w:p>
      <w:pPr>
        <w:pStyle w:val="Standard"/>
        <w:spacing w:lineRule="auto" w:line="276" w:before="238" w:after="0"/>
        <w:rPr>
          <w:color w:val="111111"/>
        </w:rPr>
      </w:pPr>
      <w:r>
        <w:rPr>
          <w:color w:val="111111"/>
        </w:rPr>
        <w:t xml:space="preserve"> </w:t>
      </w:r>
      <w:r>
        <w:rPr>
          <w:color w:val="111111"/>
        </w:rPr>
        <w:t>V. O valor a pagar; e</w:t>
      </w:r>
    </w:p>
    <w:p>
      <w:pPr>
        <w:pStyle w:val="Standard"/>
        <w:spacing w:lineRule="auto" w:line="276" w:before="238" w:after="0"/>
        <w:rPr>
          <w:color w:val="111111"/>
        </w:rPr>
      </w:pPr>
      <w:r>
        <w:rPr>
          <w:color w:val="111111"/>
        </w:rPr>
        <w:t xml:space="preserve"> </w:t>
      </w:r>
      <w:r>
        <w:rPr>
          <w:color w:val="111111"/>
        </w:rPr>
        <w:t>VI. Eventual destaque do valor de retenções tributárias cabíveis.</w:t>
      </w:r>
    </w:p>
    <w:p>
      <w:pPr>
        <w:pStyle w:val="Standard"/>
        <w:spacing w:lineRule="auto" w:line="276" w:before="238" w:after="0"/>
        <w:rPr>
          <w:color w:val="111111"/>
        </w:rPr>
      </w:pPr>
      <w:r>
        <w:rPr>
          <w:color w:val="11111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pStyle w:val="Tpico2"/>
        <w:numPr>
          <w:ilvl w:val="1"/>
          <w:numId w:val="143"/>
        </w:numPr>
        <w:spacing w:lineRule="auto" w:line="276" w:before="238" w:after="0"/>
        <w:ind w:hanging="0" w:left="0"/>
        <w:rPr>
          <w:color w:val="111111"/>
        </w:rPr>
      </w:pPr>
      <w:r>
        <w:rPr>
          <w:color w:val="111111"/>
        </w:rPr>
        <w:t>Critério de reajuste e repactuação:</w:t>
      </w:r>
    </w:p>
    <w:p>
      <w:pPr>
        <w:pStyle w:val="Tpico3"/>
        <w:numPr>
          <w:ilvl w:val="2"/>
          <w:numId w:val="144"/>
        </w:numPr>
        <w:spacing w:lineRule="auto" w:line="276" w:before="238" w:after="0"/>
        <w:ind w:hanging="0" w:left="0"/>
        <w:rPr>
          <w:color w:val="111111"/>
        </w:rPr>
      </w:pPr>
      <w:r>
        <w:rPr>
          <w:color w:val="111111"/>
        </w:rPr>
        <w:t>Índice de reajuste ou repactuação dos insumos</w:t>
      </w:r>
    </w:p>
    <w:p>
      <w:pPr>
        <w:pStyle w:val="Heading3"/>
        <w:spacing w:lineRule="auto" w:line="276" w:before="238" w:after="0"/>
        <w:rPr>
          <w:i w:val="false"/>
          <w:i w:val="false"/>
          <w:color w:val="111111"/>
        </w:rPr>
      </w:pPr>
      <w:r>
        <w:rPr>
          <w:i w:val="false"/>
          <w:color w:val="111111"/>
        </w:rPr>
        <w:t>INPC (IBGE).</w:t>
      </w:r>
    </w:p>
    <w:p>
      <w:pPr>
        <w:pStyle w:val="Heading3"/>
        <w:spacing w:lineRule="auto" w:line="276" w:before="238" w:after="0"/>
        <w:rPr>
          <w:i w:val="false"/>
          <w:i w:val="false"/>
          <w:color w:val="111111"/>
        </w:rPr>
      </w:pPr>
      <w:r>
        <w:rPr>
          <w:i w:val="false"/>
          <w:color w:val="111111"/>
        </w:rPr>
        <w:t>O índice a ser utilizado é o INPC (IBGE), que é adotado pela prefeitura como índice oficial para orientar os reajustes contratuais. Os preços inicialmente contratados são fixos e irreajustáveis no prazo de um ano contado da data do orçamento estimado anexo a este TR.</w:t>
      </w:r>
    </w:p>
    <w:p>
      <w:pPr>
        <w:pStyle w:val="Tpico3"/>
        <w:numPr>
          <w:ilvl w:val="2"/>
          <w:numId w:val="145"/>
        </w:numPr>
        <w:spacing w:lineRule="auto" w:line="276" w:before="238" w:after="0"/>
        <w:ind w:hanging="0" w:left="0"/>
        <w:rPr/>
      </w:pPr>
      <w:r>
        <w:rPr>
          <w:color w:val="111111"/>
        </w:rPr>
        <w:t>Critério de repactuação da mão de obra</w:t>
      </w:r>
      <w:r>
        <w:rPr>
          <w:b w:val="false"/>
          <w:bCs w:val="false"/>
          <w:color w:val="111111"/>
        </w:rPr>
        <w:t xml:space="preserve">    </w:t>
      </w:r>
    </w:p>
    <w:p>
      <w:pPr>
        <w:pStyle w:val="Standard"/>
        <w:spacing w:lineRule="auto" w:line="276" w:before="238" w:after="0"/>
        <w:rPr>
          <w:color w:val="111111"/>
        </w:rPr>
      </w:pPr>
      <w:r>
        <w:rPr>
          <w:color w:val="111111"/>
        </w:rPr>
        <w:t>Não se aplica, tendo em vista que a presente contratação tem por objeto o fornecimento de bem comum, não envolvendo prestação de serviços com dedicação exclusiva ou predominância de mão de obra.</w:t>
      </w:r>
    </w:p>
    <w:p>
      <w:pPr>
        <w:pStyle w:val="Tpico2"/>
        <w:numPr>
          <w:ilvl w:val="1"/>
          <w:numId w:val="146"/>
        </w:numPr>
        <w:spacing w:lineRule="auto" w:line="276" w:before="238" w:after="0"/>
        <w:ind w:hanging="0" w:left="0"/>
        <w:rPr>
          <w:color w:val="111111"/>
        </w:rPr>
      </w:pPr>
      <w:r>
        <w:rPr>
          <w:color w:val="111111"/>
        </w:rPr>
        <w:t>Haverá Instrumento de Medição de Resultado?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 </w:t>
      </w:r>
      <w:r>
        <w:rPr>
          <w:i/>
          <w:iCs/>
          <w:color w:val="111111"/>
          <w:sz w:val="2"/>
          <w:szCs w:val="2"/>
        </w:rPr>
        <w:t xml:space="preserve">   </w:t>
      </w:r>
    </w:p>
    <w:p>
      <w:pPr>
        <w:pStyle w:val="Tpico2"/>
        <w:numPr>
          <w:ilvl w:val="1"/>
          <w:numId w:val="147"/>
        </w:numPr>
        <w:spacing w:lineRule="auto" w:line="276" w:before="238" w:after="0"/>
        <w:ind w:hanging="0" w:left="0"/>
        <w:rPr>
          <w:color w:val="111111"/>
        </w:rPr>
      </w:pPr>
      <w:r>
        <w:rPr>
          <w:color w:val="111111"/>
        </w:rPr>
        <w:t>Haverá Remuneração Variável?</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48"/>
        </w:numPr>
        <w:spacing w:lineRule="auto" w:line="276" w:before="238" w:after="0"/>
        <w:ind w:hanging="0" w:left="0"/>
        <w:rPr>
          <w:color w:val="111111"/>
        </w:rPr>
      </w:pPr>
      <w:r>
        <w:rPr>
          <w:color w:val="111111"/>
        </w:rPr>
        <w:t>Haverá a adoção do regime de conta vinculada?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      </w:t>
      </w:r>
    </w:p>
    <w:p>
      <w:pPr>
        <w:pStyle w:val="Tpico2"/>
        <w:numPr>
          <w:ilvl w:val="1"/>
          <w:numId w:val="149"/>
        </w:numPr>
        <w:spacing w:lineRule="auto" w:line="276" w:before="238" w:after="0"/>
        <w:ind w:hanging="0" w:left="0"/>
        <w:rPr>
          <w:color w:val="111111"/>
        </w:rPr>
      </w:pPr>
      <w:r>
        <w:rPr>
          <w:color w:val="111111"/>
        </w:rPr>
        <w:t>Critério e prazo para recebimento provisório</w:t>
      </w:r>
    </w:p>
    <w:p>
      <w:pPr>
        <w:pStyle w:val="Standard"/>
        <w:spacing w:lineRule="auto" w:line="276" w:before="238" w:after="0"/>
        <w:rPr>
          <w:color w:val="111111"/>
        </w:rPr>
      </w:pPr>
      <w:r>
        <w:rPr>
          <w:color w:val="111111"/>
        </w:rPr>
        <w:t>Conforme previsto no Decreto Municipal nº 8.109/2023, o objeto será recebido provisoriamente em até 5 (cinco) dias contados da entrega do objeto (artigo 170, inciso III alínea a).</w:t>
      </w:r>
    </w:p>
    <w:p>
      <w:pPr>
        <w:pStyle w:val="Tpico2"/>
        <w:numPr>
          <w:ilvl w:val="1"/>
          <w:numId w:val="150"/>
        </w:numPr>
        <w:spacing w:lineRule="auto" w:line="276" w:before="238" w:after="0"/>
        <w:ind w:hanging="0" w:left="0"/>
        <w:rPr>
          <w:color w:val="111111"/>
        </w:rPr>
      </w:pPr>
      <w:r>
        <w:rPr>
          <w:color w:val="111111"/>
        </w:rPr>
        <w:t>Critério e prazo para recebimento definitivo</w:t>
      </w:r>
    </w:p>
    <w:p>
      <w:pPr>
        <w:pStyle w:val="Standard"/>
        <w:spacing w:lineRule="auto" w:line="276" w:before="238" w:after="0"/>
        <w:rPr>
          <w:color w:val="111111"/>
        </w:rPr>
      </w:pPr>
      <w:r>
        <w:rPr>
          <w:color w:val="111111"/>
        </w:rPr>
        <w:t>Conforme previsto no Decreto Municipal nº 8.109/2023, o objeto será recebido definitivamente em até 30 (trinta) dias contados do recebimento provisório (artigo 170, inciso III alínea b).</w:t>
      </w:r>
    </w:p>
    <w:p>
      <w:pPr>
        <w:pStyle w:val="Tpico1"/>
        <w:numPr>
          <w:ilvl w:val="0"/>
          <w:numId w:val="151"/>
        </w:numPr>
        <w:spacing w:lineRule="auto" w:line="276" w:before="238" w:after="0"/>
        <w:ind w:hanging="0" w:left="0"/>
        <w:rPr>
          <w:color w:val="111111"/>
        </w:rPr>
      </w:pPr>
      <w:r>
        <w:rPr>
          <w:color w:val="111111"/>
        </w:rPr>
        <w:t>É UMA CONTRATAÇÃO DIRETA?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  </w:t>
      </w:r>
    </w:p>
    <w:p>
      <w:pPr>
        <w:pStyle w:val="Tpico2"/>
        <w:numPr>
          <w:ilvl w:val="1"/>
          <w:numId w:val="152"/>
        </w:numPr>
        <w:spacing w:lineRule="auto" w:line="276" w:before="238" w:after="0"/>
        <w:ind w:hanging="0" w:left="0"/>
        <w:rPr>
          <w:color w:val="111111"/>
        </w:rPr>
      </w:pPr>
      <w:r>
        <w:rPr>
          <w:color w:val="111111"/>
        </w:rPr>
        <w:t>É um caso de inexigibilidade de licitação?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53"/>
        </w:numPr>
        <w:spacing w:lineRule="auto" w:line="276" w:before="238" w:after="0"/>
        <w:ind w:hanging="0" w:left="0"/>
        <w:rPr>
          <w:color w:val="111111"/>
        </w:rPr>
      </w:pPr>
      <w:r>
        <w:rPr>
          <w:color w:val="111111"/>
        </w:rPr>
        <w:t>É uma licitação dispensada?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54"/>
        </w:numPr>
        <w:spacing w:lineRule="auto" w:line="276" w:before="238" w:after="0"/>
        <w:ind w:hanging="0" w:left="0"/>
        <w:rPr>
          <w:color w:val="111111"/>
        </w:rPr>
      </w:pPr>
      <w:r>
        <w:rPr>
          <w:color w:val="111111"/>
        </w:rPr>
        <w:t>É uma licitação dispensável?</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3"/>
        <w:numPr>
          <w:ilvl w:val="2"/>
          <w:numId w:val="155"/>
        </w:numPr>
        <w:spacing w:lineRule="auto" w:line="276" w:before="238" w:after="0"/>
        <w:ind w:hanging="0" w:left="0"/>
        <w:rPr>
          <w:color w:val="111111"/>
        </w:rPr>
      </w:pPr>
      <w:r>
        <w:rPr>
          <w:color w:val="111111"/>
        </w:rPr>
        <w:t xml:space="preserve">Qual hipótese de licitação dispensável do art. 75 Lei nº 14.133/2021?  </w:t>
      </w:r>
    </w:p>
    <w:p>
      <w:pPr>
        <w:pStyle w:val="Standard"/>
        <w:spacing w:lineRule="auto" w:line="276" w:before="238" w:after="0"/>
        <w:rPr>
          <w:color w:val="111111"/>
        </w:rPr>
      </w:pPr>
      <w:r>
        <w:rPr>
          <w:color w:val="111111"/>
        </w:rPr>
        <w:t xml:space="preserve">Inciso II do artigo 75 da Lei 14.133/2021  </w:t>
      </w:r>
    </w:p>
    <w:p>
      <w:pPr>
        <w:pStyle w:val="Tpico3"/>
        <w:numPr>
          <w:ilvl w:val="2"/>
          <w:numId w:val="156"/>
        </w:numPr>
        <w:spacing w:lineRule="auto" w:line="276" w:before="238" w:after="0"/>
        <w:ind w:hanging="0" w:left="0"/>
        <w:rPr>
          <w:color w:val="111111"/>
        </w:rPr>
      </w:pPr>
      <w:r>
        <w:rPr>
          <w:color w:val="111111"/>
        </w:rPr>
        <w:t>Qual a justificativa para seleção do fornecedor?</w:t>
      </w:r>
    </w:p>
    <w:p>
      <w:pPr>
        <w:pStyle w:val="Standard"/>
        <w:tabs>
          <w:tab w:val="clear" w:pos="708"/>
          <w:tab w:val="left" w:pos="2042" w:leader="none"/>
        </w:tabs>
        <w:spacing w:lineRule="auto" w:line="276" w:before="238" w:after="0"/>
        <w:rPr>
          <w:color w:val="111111"/>
        </w:rPr>
      </w:pPr>
      <w:r>
        <w:rPr>
          <w:color w:val="111111"/>
        </w:rPr>
        <w:t>O fornecedor será selecionado mediante procedimento de dispensa de licitação, realizado por meio eletrônico, observando-se o critério de julgamento pelo menor preço por item e a obtenção da proposta mais vantajosa para a Administração.</w:t>
      </w:r>
    </w:p>
    <w:p>
      <w:pPr>
        <w:pStyle w:val="Standard"/>
        <w:tabs>
          <w:tab w:val="clear" w:pos="708"/>
          <w:tab w:val="left" w:pos="2042" w:leader="none"/>
        </w:tabs>
        <w:spacing w:lineRule="auto" w:line="276" w:before="238" w:after="0"/>
        <w:rPr>
          <w:color w:val="111111"/>
        </w:rPr>
      </w:pPr>
      <w:r>
        <w:rPr>
          <w:color w:val="111111"/>
        </w:rPr>
        <w:t>A escolha do fornecedor será fundamentada na apresentação da menor proposta válida, desde que atendidos os requisitos de habilitação, as especificações técnicas constantes deste Termo de Referência e as demais condições da contratação.</w:t>
      </w:r>
    </w:p>
    <w:p>
      <w:pPr>
        <w:pStyle w:val="Standard"/>
        <w:tabs>
          <w:tab w:val="clear" w:pos="708"/>
          <w:tab w:val="left" w:pos="2042" w:leader="none"/>
        </w:tabs>
        <w:spacing w:lineRule="auto" w:line="276" w:before="238" w:after="0"/>
        <w:rPr>
          <w:color w:val="111111"/>
        </w:rPr>
      </w:pPr>
      <w:r>
        <w:rPr>
          <w:color w:val="111111"/>
        </w:rPr>
        <w:t>Foram selecionadas propostas entre fornecedores que comercializam bebedouros industriais compatíveis com as especificações técnicas exigidas pela Administração. Ressalta-se que a seleção não impedirá a participação de outros interessados, uma vez que a disputa ocorrerá de forma eletrônica.</w:t>
      </w:r>
    </w:p>
    <w:p>
      <w:pPr>
        <w:pStyle w:val="Standard"/>
        <w:tabs>
          <w:tab w:val="clear" w:pos="708"/>
          <w:tab w:val="left" w:pos="2042" w:leader="none"/>
        </w:tabs>
        <w:spacing w:lineRule="auto" w:line="276" w:before="238" w:after="0"/>
        <w:rPr>
          <w:color w:val="111111"/>
        </w:rPr>
      </w:pPr>
      <w:r>
        <w:rPr>
          <w:color w:val="111111"/>
        </w:rPr>
        <w:t>Serão observados os princípios da legalidade, impessoalidade, isonomia, publicidade, eficiência, competitividade e busca da proposta mais vantajosa para a Administração Pública.</w:t>
      </w:r>
    </w:p>
    <w:p>
      <w:pPr>
        <w:pStyle w:val="Tpico1"/>
        <w:numPr>
          <w:ilvl w:val="0"/>
          <w:numId w:val="157"/>
        </w:numPr>
        <w:spacing w:lineRule="auto" w:line="276" w:before="238" w:after="0"/>
        <w:ind w:hanging="0" w:left="0"/>
        <w:rPr>
          <w:color w:val="111111"/>
        </w:rPr>
      </w:pPr>
      <w:r>
        <w:rPr>
          <w:color w:val="111111"/>
        </w:rPr>
        <w:t>EXISTE A NECESSIDADE DE ELABORAR UM EDITAL DE SELEÇÃO?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58"/>
        </w:numPr>
        <w:spacing w:lineRule="auto" w:line="276" w:before="238" w:after="0"/>
        <w:ind w:hanging="0" w:left="0"/>
        <w:rPr>
          <w:color w:val="111111"/>
        </w:rPr>
      </w:pPr>
      <w:r>
        <w:rPr>
          <w:color w:val="111111"/>
        </w:rPr>
        <w:t>Rito de seleção</w:t>
      </w:r>
    </w:p>
    <w:p>
      <w:pPr>
        <w:pStyle w:val="Standard"/>
        <w:tabs>
          <w:tab w:val="clear" w:pos="708"/>
          <w:tab w:val="left" w:pos="2772" w:leader="none"/>
        </w:tabs>
        <w:spacing w:lineRule="auto" w:line="276" w:before="238" w:after="0"/>
        <w:rPr>
          <w:color w:val="111111"/>
        </w:rPr>
      </w:pPr>
      <w:r>
        <w:rPr>
          <w:color w:val="111111"/>
        </w:rPr>
        <w:t xml:space="preserve">Dispensa de licitação      </w:t>
      </w:r>
    </w:p>
    <w:p>
      <w:pPr>
        <w:pStyle w:val="Tpico3"/>
        <w:numPr>
          <w:ilvl w:val="2"/>
          <w:numId w:val="159"/>
        </w:numPr>
        <w:spacing w:lineRule="auto" w:line="276" w:before="238" w:after="0"/>
        <w:ind w:hanging="0" w:left="0"/>
        <w:rPr>
          <w:color w:val="111111"/>
        </w:rPr>
      </w:pPr>
      <w:r>
        <w:rPr>
          <w:color w:val="111111"/>
        </w:rPr>
        <w:t>Forma da seleção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Presencial      </w:t>
      </w:r>
      <w:r>
        <w:rPr>
          <w:rFonts w:eastAsia="MS Gothic" w:cs="MS Gothic" w:ascii="MS Gothic" w:hAnsi="MS Gothic"/>
          <w:color w:val="111111"/>
          <w:sz w:val="40"/>
        </w:rPr>
        <w:t>☒</w:t>
      </w:r>
      <w:r>
        <w:rPr>
          <w:color w:val="111111"/>
        </w:rPr>
        <w:t xml:space="preserve"> Eletrônica</w:t>
      </w:r>
    </w:p>
    <w:p>
      <w:pPr>
        <w:pStyle w:val="Tpico3"/>
        <w:numPr>
          <w:ilvl w:val="2"/>
          <w:numId w:val="160"/>
        </w:numPr>
        <w:spacing w:lineRule="auto" w:line="276" w:before="238" w:after="0"/>
        <w:ind w:hanging="0" w:left="0"/>
        <w:rPr>
          <w:color w:val="111111"/>
        </w:rPr>
      </w:pPr>
      <w:r>
        <w:rPr>
          <w:color w:val="111111"/>
        </w:rPr>
        <w:t>Local do certame:</w:t>
      </w:r>
    </w:p>
    <w:p>
      <w:pPr>
        <w:pStyle w:val="Standard"/>
        <w:spacing w:lineRule="auto" w:line="276" w:before="238" w:after="0"/>
        <w:rPr>
          <w:color w:val="111111"/>
        </w:rPr>
      </w:pPr>
      <w:r>
        <w:rPr>
          <w:color w:val="111111"/>
        </w:rPr>
        <w:t>Plataforma Eletrônica BLL.ORG.BR (BLL Compras).</w:t>
      </w:r>
    </w:p>
    <w:p>
      <w:pPr>
        <w:pStyle w:val="Tpico2"/>
        <w:numPr>
          <w:ilvl w:val="1"/>
          <w:numId w:val="161"/>
        </w:numPr>
        <w:spacing w:lineRule="auto" w:line="276" w:before="238" w:after="0"/>
        <w:ind w:hanging="0" w:left="0"/>
        <w:rPr>
          <w:color w:val="111111"/>
        </w:rPr>
      </w:pPr>
      <w:r>
        <w:rPr>
          <w:color w:val="111111"/>
        </w:rPr>
        <w:t>Critério de julgamento</w:t>
      </w:r>
    </w:p>
    <w:p>
      <w:pPr>
        <w:pStyle w:val="Standard"/>
        <w:spacing w:lineRule="auto" w:line="276" w:before="238" w:after="0"/>
        <w:rPr>
          <w:color w:val="111111"/>
        </w:rPr>
      </w:pPr>
      <w:r>
        <w:rPr>
          <w:color w:val="111111"/>
        </w:rPr>
        <w:t>Menor preço</w:t>
      </w:r>
    </w:p>
    <w:p>
      <w:pPr>
        <w:pStyle w:val="Tpico3"/>
        <w:numPr>
          <w:ilvl w:val="2"/>
          <w:numId w:val="162"/>
        </w:numPr>
        <w:spacing w:lineRule="auto" w:line="276" w:before="238" w:after="0"/>
        <w:ind w:hanging="0" w:left="0"/>
        <w:rPr>
          <w:color w:val="111111"/>
        </w:rPr>
      </w:pPr>
      <w:r>
        <w:rPr>
          <w:color w:val="111111"/>
        </w:rPr>
        <w:t>A contratação será global, por lotes de itens, ou por itens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Global      </w:t>
      </w:r>
      <w:r>
        <w:rPr>
          <w:rFonts w:eastAsia="MS Gothic" w:cs="MS Gothic" w:ascii="MS Gothic" w:hAnsi="MS Gothic"/>
          <w:color w:val="111111"/>
          <w:sz w:val="40"/>
        </w:rPr>
        <w:t>☐</w:t>
      </w:r>
      <w:r>
        <w:rPr>
          <w:color w:val="111111"/>
        </w:rPr>
        <w:t xml:space="preserve"> Lotes de itens      </w:t>
      </w:r>
      <w:r>
        <w:rPr>
          <w:rFonts w:eastAsia="MS Gothic" w:cs="MS Gothic" w:ascii="MS Gothic" w:hAnsi="MS Gothic"/>
          <w:color w:val="111111"/>
          <w:sz w:val="40"/>
        </w:rPr>
        <w:t>☒</w:t>
      </w:r>
      <w:r>
        <w:rPr>
          <w:color w:val="111111"/>
        </w:rPr>
        <w:t xml:space="preserve"> Por itens</w:t>
      </w:r>
    </w:p>
    <w:p>
      <w:pPr>
        <w:pStyle w:val="Tpico2"/>
        <w:numPr>
          <w:ilvl w:val="1"/>
          <w:numId w:val="163"/>
        </w:numPr>
        <w:spacing w:lineRule="auto" w:line="276" w:before="238" w:after="0"/>
        <w:ind w:hanging="0" w:left="0"/>
        <w:rPr>
          <w:color w:val="111111"/>
        </w:rPr>
      </w:pPr>
      <w:r>
        <w:rPr>
          <w:color w:val="111111"/>
        </w:rPr>
        <w:t>Modo de disputa</w:t>
      </w:r>
    </w:p>
    <w:p>
      <w:pPr>
        <w:pStyle w:val="Standard"/>
        <w:spacing w:lineRule="auto" w:line="276" w:before="238" w:after="0"/>
        <w:rPr/>
      </w:pPr>
      <w:r>
        <w:rPr>
          <w:rFonts w:cs="Segoe UI" w:ascii="Segoe UI" w:hAnsi="Segoe UI"/>
          <w:color w:val="111111"/>
          <w:sz w:val="18"/>
          <w:szCs w:val="18"/>
        </w:rPr>
        <w:t>Fechado</w:t>
      </w:r>
      <w:r>
        <w:rPr>
          <w:color w:val="111111"/>
        </w:rPr>
        <w:t xml:space="preserve">    </w:t>
      </w:r>
    </w:p>
    <w:p>
      <w:pPr>
        <w:pStyle w:val="Tpico2"/>
        <w:numPr>
          <w:ilvl w:val="1"/>
          <w:numId w:val="164"/>
        </w:numPr>
        <w:spacing w:lineRule="auto" w:line="276" w:before="238" w:after="0"/>
        <w:ind w:hanging="0" w:left="0"/>
        <w:rPr>
          <w:color w:val="111111"/>
        </w:rPr>
      </w:pPr>
      <w:r>
        <w:rPr>
          <w:color w:val="111111"/>
        </w:rPr>
        <w:t>Haverá antecipação da habilitação?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rito com habilitação antecipada        </w:t>
      </w:r>
      <w:r>
        <w:rPr>
          <w:rFonts w:eastAsia="MS Gothic" w:cs="MS Gothic" w:ascii="MS Gothic" w:hAnsi="MS Gothic"/>
          <w:color w:val="111111"/>
          <w:sz w:val="40"/>
        </w:rPr>
        <w:t>☒</w:t>
      </w:r>
      <w:r>
        <w:rPr>
          <w:color w:val="111111"/>
        </w:rPr>
        <w:t xml:space="preserve"> Não, rito procedimental comum  </w:t>
      </w:r>
    </w:p>
    <w:p>
      <w:pPr>
        <w:pStyle w:val="Tpico2"/>
        <w:numPr>
          <w:ilvl w:val="1"/>
          <w:numId w:val="165"/>
        </w:numPr>
        <w:spacing w:lineRule="auto" w:line="276" w:before="238" w:after="0"/>
        <w:ind w:hanging="0" w:left="0"/>
        <w:rPr>
          <w:color w:val="111111"/>
        </w:rPr>
      </w:pPr>
      <w:r>
        <w:rPr>
          <w:color w:val="111111"/>
        </w:rPr>
        <w:t xml:space="preserve">Benefícios </w:t>
      </w:r>
      <w:bookmarkStart w:id="10" w:name="_Hlk115710411"/>
      <w:r>
        <w:rPr>
          <w:color w:val="111111"/>
        </w:rPr>
        <w:t>para Micro e Pequenas Empresas - MPE</w:t>
      </w:r>
      <w:bookmarkEnd w:id="10"/>
    </w:p>
    <w:p>
      <w:pPr>
        <w:pStyle w:val="Standard"/>
        <w:spacing w:lineRule="auto" w:line="276" w:before="238" w:after="0"/>
        <w:rPr>
          <w:color w:val="111111"/>
        </w:rPr>
      </w:pPr>
      <w:r>
        <w:rPr>
          <w:color w:val="111111"/>
        </w:rPr>
        <w:t xml:space="preserve">Desempate ficto, prazo para regularidade fiscal e direito de preferência  </w:t>
      </w:r>
    </w:p>
    <w:p>
      <w:pPr>
        <w:pStyle w:val="Tpico3"/>
        <w:numPr>
          <w:ilvl w:val="2"/>
          <w:numId w:val="166"/>
        </w:numPr>
        <w:spacing w:lineRule="auto" w:line="276" w:before="238" w:after="0"/>
        <w:ind w:hanging="0" w:left="0"/>
        <w:rPr>
          <w:color w:val="111111"/>
        </w:rPr>
      </w:pPr>
      <w:bookmarkStart w:id="11" w:name="_Hlk115709296"/>
      <w:r>
        <w:rPr>
          <w:color w:val="111111"/>
        </w:rPr>
        <w:t>Tabela com dados dos itens e benefício de MPE</w:t>
      </w:r>
      <w:bookmarkEnd w:id="11"/>
    </w:p>
    <w:p>
      <w:pPr>
        <w:pStyle w:val="Standard"/>
        <w:spacing w:lineRule="auto" w:line="276" w:before="238" w:after="0"/>
        <w:rPr>
          <w:color w:val="111111"/>
        </w:rPr>
      </w:pPr>
      <w:r>
        <w:rPr>
          <w:color w:val="111111"/>
        </w:rPr>
        <w:t>Geral</w:t>
      </w:r>
    </w:p>
    <w:p>
      <w:pPr>
        <w:pStyle w:val="Tpico2"/>
        <w:numPr>
          <w:ilvl w:val="1"/>
          <w:numId w:val="167"/>
        </w:numPr>
        <w:spacing w:lineRule="auto" w:line="276" w:before="238" w:after="0"/>
        <w:ind w:hanging="0" w:left="0"/>
        <w:rPr>
          <w:color w:val="111111"/>
        </w:rPr>
      </w:pPr>
      <w:r>
        <w:rPr>
          <w:color w:val="111111"/>
        </w:rPr>
        <w:t>Exigências específicas para a fase de proposta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Existem exigências específicas         </w:t>
      </w:r>
      <w:r>
        <w:rPr>
          <w:rFonts w:eastAsia="MS Gothic" w:cs="MS Gothic" w:ascii="MS Gothic" w:hAnsi="MS Gothic"/>
          <w:color w:val="111111"/>
          <w:sz w:val="40"/>
        </w:rPr>
        <w:t>☐</w:t>
      </w:r>
      <w:r>
        <w:rPr>
          <w:color w:val="111111"/>
        </w:rPr>
        <w:t xml:space="preserve"> Não se aplica o item</w:t>
      </w:r>
    </w:p>
    <w:p>
      <w:pPr>
        <w:pStyle w:val="Tpico3"/>
        <w:numPr>
          <w:ilvl w:val="2"/>
          <w:numId w:val="168"/>
        </w:numPr>
        <w:suppressAutoHyphens w:val="false"/>
        <w:spacing w:lineRule="auto" w:line="276" w:before="238" w:after="0"/>
        <w:ind w:hanging="0" w:left="0"/>
        <w:textAlignment w:val="auto"/>
        <w:rPr>
          <w:color w:val="111111"/>
        </w:rPr>
      </w:pPr>
      <w:r>
        <w:rPr>
          <w:color w:val="111111"/>
        </w:rPr>
        <w:t>Exigência de documento junto com a proposta:</w:t>
      </w:r>
    </w:p>
    <w:p>
      <w:pPr>
        <w:pStyle w:val="Normal"/>
        <w:tabs>
          <w:tab w:val="clear" w:pos="708"/>
          <w:tab w:val="left" w:pos="2892" w:leader="none"/>
        </w:tabs>
        <w:spacing w:lineRule="auto" w:line="276" w:before="238" w:after="0"/>
        <w:jc w:val="both"/>
        <w:rPr>
          <w:rFonts w:ascii="Arial" w:hAnsi="Arial"/>
          <w:color w:val="111111"/>
          <w:sz w:val="24"/>
          <w:szCs w:val="24"/>
        </w:rPr>
      </w:pPr>
      <w:r>
        <w:rPr>
          <w:rFonts w:ascii="Arial" w:hAnsi="Arial"/>
          <w:color w:val="111111"/>
          <w:sz w:val="24"/>
          <w:szCs w:val="24"/>
        </w:rPr>
        <w:t>O licitante deverá apresentar catálogo, prospecto, folder ou ficha técnica do fabricante com a proposta comercial, contendo informações suficientes para comprovação do atendimento às especificações técnicas mínimas exigidas.</w:t>
      </w:r>
    </w:p>
    <w:p>
      <w:pPr>
        <w:pStyle w:val="Tpico3"/>
        <w:numPr>
          <w:ilvl w:val="2"/>
          <w:numId w:val="169"/>
        </w:numPr>
        <w:spacing w:lineRule="auto" w:line="276" w:before="238" w:after="0"/>
        <w:ind w:hanging="0" w:left="0"/>
        <w:rPr/>
      </w:pPr>
      <w:r>
        <w:rPr>
          <w:i/>
          <w:color w:val="111111"/>
        </w:rPr>
        <w:t xml:space="preserve"> </w:t>
      </w:r>
      <w:r>
        <w:rPr>
          <w:color w:val="111111"/>
        </w:rPr>
        <w:t>Há necessidade de amostra para o julgamento das propostas?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70"/>
        </w:numPr>
        <w:spacing w:lineRule="auto" w:line="276" w:before="238" w:after="0"/>
        <w:ind w:hanging="0" w:left="0"/>
        <w:rPr>
          <w:color w:val="111111"/>
        </w:rPr>
      </w:pPr>
      <w:r>
        <w:rPr>
          <w:color w:val="111111"/>
        </w:rPr>
        <w:t>Exigências específicas para a fase de habilitação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Existem exigências específicas        </w:t>
      </w:r>
      <w:r>
        <w:rPr>
          <w:rFonts w:eastAsia="MS Gothic" w:cs="MS Gothic" w:ascii="MS Gothic" w:hAnsi="MS Gothic"/>
          <w:color w:val="111111"/>
          <w:sz w:val="40"/>
        </w:rPr>
        <w:t>☒</w:t>
      </w:r>
      <w:r>
        <w:rPr>
          <w:color w:val="111111"/>
        </w:rPr>
        <w:t xml:space="preserve"> Não se aplica o item</w:t>
      </w:r>
    </w:p>
    <w:p>
      <w:pPr>
        <w:pStyle w:val="Tpico3"/>
        <w:numPr>
          <w:ilvl w:val="2"/>
          <w:numId w:val="171"/>
        </w:numPr>
        <w:spacing w:lineRule="auto" w:line="276" w:before="238" w:after="0"/>
        <w:ind w:hanging="0" w:left="0"/>
        <w:rPr>
          <w:color w:val="111111"/>
        </w:rPr>
      </w:pPr>
      <w:bookmarkStart w:id="12" w:name="_Hlk115692419"/>
      <w:r>
        <w:rPr>
          <w:color w:val="111111"/>
        </w:rPr>
        <w:t>Inscrição em entidade profissional</w:t>
      </w:r>
      <w:bookmarkEnd w:id="12"/>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3"/>
        <w:numPr>
          <w:ilvl w:val="2"/>
          <w:numId w:val="172"/>
        </w:numPr>
        <w:spacing w:lineRule="auto" w:line="276" w:before="238" w:after="0"/>
        <w:ind w:hanging="0" w:left="0"/>
        <w:rPr>
          <w:color w:val="111111"/>
        </w:rPr>
      </w:pPr>
      <w:bookmarkStart w:id="13" w:name="_Hlk115694930"/>
      <w:r>
        <w:rPr>
          <w:color w:val="111111"/>
        </w:rPr>
        <w:t>Será exigido atestado de capacidade técnico-operacional</w:t>
      </w:r>
      <w:bookmarkEnd w:id="13"/>
      <w:r>
        <w:rPr>
          <w:color w:val="111111"/>
        </w:rPr>
        <w:t>?</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w:t>
      </w:r>
      <w:bookmarkStart w:id="14" w:name="_Hlk130220312"/>
      <w:r>
        <w:rPr>
          <w:color w:val="111111"/>
        </w:rPr>
        <w:t>Não</w:t>
      </w:r>
      <w:bookmarkEnd w:id="14"/>
    </w:p>
    <w:p>
      <w:pPr>
        <w:pStyle w:val="Tpico3"/>
        <w:numPr>
          <w:ilvl w:val="2"/>
          <w:numId w:val="173"/>
        </w:numPr>
        <w:spacing w:lineRule="auto" w:line="276" w:before="238" w:after="0"/>
        <w:ind w:hanging="0" w:left="0"/>
        <w:rPr>
          <w:color w:val="111111"/>
        </w:rPr>
      </w:pPr>
      <w:r>
        <w:rPr>
          <w:color w:val="111111"/>
        </w:rPr>
        <w:t xml:space="preserve">Exigência de atestado de capacidade </w:t>
      </w:r>
      <w:bookmarkStart w:id="15" w:name="_Hlk115695309"/>
      <w:r>
        <w:rPr>
          <w:color w:val="111111"/>
        </w:rPr>
        <w:t>técnico-profissional</w:t>
      </w:r>
      <w:bookmarkEnd w:id="15"/>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w:t>
      </w:r>
      <w:bookmarkStart w:id="16" w:name="_Hlk130219243"/>
      <w:r>
        <w:rPr>
          <w:color w:val="111111"/>
        </w:rPr>
        <w:t>Não</w:t>
      </w:r>
      <w:bookmarkEnd w:id="16"/>
    </w:p>
    <w:p>
      <w:pPr>
        <w:pStyle w:val="Tpico3"/>
        <w:numPr>
          <w:ilvl w:val="2"/>
          <w:numId w:val="174"/>
        </w:numPr>
        <w:spacing w:lineRule="auto" w:line="276" w:before="238" w:after="0"/>
        <w:ind w:hanging="0" w:left="0"/>
        <w:rPr>
          <w:color w:val="111111"/>
        </w:rPr>
      </w:pPr>
      <w:r>
        <w:rPr>
          <w:color w:val="111111"/>
        </w:rPr>
        <w:t>Há outro requisito previsto em lei especial?</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75"/>
        </w:numPr>
        <w:spacing w:lineRule="auto" w:line="276" w:before="238" w:after="0"/>
        <w:ind w:hanging="0" w:left="0"/>
        <w:rPr>
          <w:color w:val="111111"/>
        </w:rPr>
      </w:pPr>
      <w:r>
        <w:rPr>
          <w:color w:val="111111"/>
        </w:rPr>
        <w:t>Será vedada a participação de consórcios?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76"/>
        </w:numPr>
        <w:spacing w:lineRule="auto" w:line="276" w:before="238" w:after="0"/>
        <w:ind w:hanging="0" w:left="0"/>
        <w:rPr>
          <w:color w:val="111111"/>
        </w:rPr>
      </w:pPr>
      <w:r>
        <w:rPr>
          <w:color w:val="111111"/>
        </w:rPr>
        <w:t>Haverá limite máximo do número de consorciados em um consórcio?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2"/>
        <w:numPr>
          <w:ilvl w:val="1"/>
          <w:numId w:val="177"/>
        </w:numPr>
        <w:spacing w:lineRule="auto" w:line="276" w:before="238" w:after="0"/>
        <w:ind w:hanging="0" w:left="0"/>
        <w:rPr>
          <w:color w:val="111111"/>
        </w:rPr>
      </w:pPr>
      <w:r>
        <w:rPr>
          <w:color w:val="111111"/>
        </w:rPr>
        <w:t xml:space="preserve">Infrações e penalidades no certame  </w:t>
      </w:r>
    </w:p>
    <w:p>
      <w:pPr>
        <w:pStyle w:val="Standard"/>
        <w:spacing w:lineRule="auto" w:line="276" w:before="238" w:after="0"/>
        <w:rPr>
          <w:color w:val="111111"/>
          <w:szCs w:val="20"/>
        </w:rPr>
      </w:pPr>
      <w:r>
        <w:rPr>
          <w:color w:val="111111"/>
          <w:szCs w:val="20"/>
        </w:rPr>
        <w:t>Ao licitante infrator poderá ser aplicada penalidade de impedimento de licitar e contratar, nos termos da tabela:</w:t>
      </w:r>
    </w:p>
    <w:p>
      <w:pPr>
        <w:pStyle w:val="Tpico1"/>
        <w:numPr>
          <w:ilvl w:val="0"/>
          <w:numId w:val="178"/>
        </w:numPr>
        <w:spacing w:lineRule="auto" w:line="276" w:before="238" w:after="0"/>
        <w:ind w:hanging="0" w:left="0"/>
        <w:rPr>
          <w:color w:val="111111"/>
        </w:rPr>
      </w:pPr>
      <w:r>
        <w:rPr>
          <w:color w:val="111111"/>
        </w:rPr>
        <w:t>É UMA CONTRATAÇÃO SOB O SISTEMA DE REGISTRO DE PREÇOS?</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Sistema de Registro de Preços      </w:t>
      </w:r>
      <w:r>
        <w:rPr>
          <w:rFonts w:eastAsia="MS Gothic" w:cs="MS Gothic" w:ascii="MS Gothic" w:hAnsi="MS Gothic"/>
          <w:color w:val="111111"/>
          <w:sz w:val="40"/>
        </w:rPr>
        <w:t>☒</w:t>
      </w:r>
      <w:r>
        <w:rPr>
          <w:color w:val="111111"/>
        </w:rPr>
        <w:t xml:space="preserve"> Contratação tradicional</w:t>
      </w:r>
    </w:p>
    <w:p>
      <w:pPr>
        <w:pStyle w:val="Tpico2"/>
        <w:numPr>
          <w:ilvl w:val="1"/>
          <w:numId w:val="179"/>
        </w:numPr>
        <w:spacing w:lineRule="auto" w:line="276" w:before="238" w:after="0"/>
        <w:ind w:hanging="0" w:left="0"/>
        <w:rPr>
          <w:color w:val="111111"/>
        </w:rPr>
      </w:pPr>
      <w:r>
        <w:rPr>
          <w:color w:val="111111"/>
        </w:rPr>
        <w:t>É uma contratação sem previsão no Plano de Contratações Anual?</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  </w:t>
      </w:r>
    </w:p>
    <w:p>
      <w:pPr>
        <w:pStyle w:val="Tpico1"/>
        <w:numPr>
          <w:ilvl w:val="0"/>
          <w:numId w:val="180"/>
        </w:numPr>
        <w:spacing w:lineRule="auto" w:line="276" w:before="238" w:after="0"/>
        <w:ind w:hanging="0" w:left="0"/>
        <w:rPr>
          <w:color w:val="111111"/>
        </w:rPr>
      </w:pPr>
      <w:r>
        <w:rPr>
          <w:color w:val="111111"/>
        </w:rPr>
        <w:t>É UMA OBRA OU SERVIÇO DE ENGENHARIA?</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1"/>
        <w:numPr>
          <w:ilvl w:val="0"/>
          <w:numId w:val="181"/>
        </w:numPr>
        <w:spacing w:lineRule="auto" w:line="276" w:before="238" w:after="0"/>
        <w:ind w:hanging="0" w:left="0"/>
        <w:rPr>
          <w:color w:val="111111"/>
        </w:rPr>
      </w:pPr>
      <w:r>
        <w:rPr>
          <w:color w:val="111111"/>
        </w:rPr>
        <w:t>ESTIMATIVA DO VALOR DA CONTRATAÇÃO</w:t>
      </w:r>
    </w:p>
    <w:p>
      <w:pPr>
        <w:pStyle w:val="Tpico2"/>
        <w:numPr>
          <w:ilvl w:val="1"/>
          <w:numId w:val="182"/>
        </w:numPr>
        <w:spacing w:lineRule="auto" w:line="276" w:before="238" w:after="0"/>
        <w:ind w:hanging="0" w:left="0"/>
        <w:rPr>
          <w:color w:val="111111"/>
        </w:rPr>
      </w:pPr>
      <w:r>
        <w:rPr>
          <w:color w:val="111111"/>
        </w:rPr>
        <w:t>Valor máximo total da contratação:</w:t>
      </w:r>
    </w:p>
    <w:p>
      <w:pPr>
        <w:pStyle w:val="Standard"/>
        <w:spacing w:lineRule="auto" w:line="276" w:before="238" w:after="0"/>
        <w:rPr>
          <w:color w:val="111111"/>
        </w:rPr>
      </w:pPr>
      <w:r>
        <w:rPr>
          <w:color w:val="111111"/>
        </w:rPr>
        <w:t>O valor máximo total da contratação será de R$ 5.180,00 (cinco mil, cento e oitenta reais).</w:t>
      </w:r>
    </w:p>
    <w:p>
      <w:pPr>
        <w:pStyle w:val="Tpico2"/>
        <w:numPr>
          <w:ilvl w:val="1"/>
          <w:numId w:val="183"/>
        </w:numPr>
        <w:spacing w:lineRule="auto" w:line="276" w:before="238" w:after="0"/>
        <w:ind w:hanging="0" w:left="0"/>
        <w:rPr/>
      </w:pPr>
      <w:r>
        <w:rPr>
          <w:color w:val="111111"/>
        </w:rPr>
        <w:t>Data da conclusão da formação de preço</w:t>
      </w:r>
      <w:r>
        <w:rPr>
          <w:b w:val="false"/>
          <w:bCs w:val="false"/>
          <w:color w:val="111111"/>
        </w:rPr>
        <w:t>:</w:t>
      </w:r>
    </w:p>
    <w:p>
      <w:pPr>
        <w:pStyle w:val="Standard"/>
        <w:spacing w:lineRule="auto" w:line="276" w:before="238" w:after="0"/>
        <w:rPr/>
      </w:pPr>
      <w:r>
        <w:rPr>
          <w:i/>
          <w:color w:val="111111"/>
        </w:rPr>
        <w:t>25 de agosto de 2026.</w:t>
      </w:r>
    </w:p>
    <w:p>
      <w:pPr>
        <w:pStyle w:val="Tpico2"/>
        <w:numPr>
          <w:ilvl w:val="1"/>
          <w:numId w:val="184"/>
        </w:numPr>
        <w:spacing w:lineRule="auto" w:line="276" w:before="238" w:after="0"/>
        <w:ind w:hanging="0" w:left="0"/>
        <w:rPr>
          <w:color w:val="111111"/>
        </w:rPr>
      </w:pPr>
      <w:r>
        <w:rPr>
          <w:color w:val="111111"/>
        </w:rPr>
        <w:t xml:space="preserve">                                                                                     </w:t>
      </w:r>
      <w:r>
        <w:rPr>
          <w:color w:val="111111"/>
        </w:rPr>
        <w:t>O preço de referência será sigiloso no processo?</w:t>
      </w:r>
    </w:p>
    <w:p>
      <w:pPr>
        <w:pStyle w:val="Standard"/>
        <w:spacing w:lineRule="auto" w:line="276" w:before="238" w:after="0"/>
        <w:rPr/>
      </w:pPr>
      <w:r>
        <w:rPr>
          <w:rFonts w:eastAsia="MS Gothic" w:cs="MS Gothic" w:ascii="MS Gothic" w:hAnsi="MS Gothic"/>
          <w:color w:val="111111"/>
          <w:sz w:val="40"/>
        </w:rPr>
        <w:t>☐</w:t>
      </w:r>
      <w:r>
        <w:rPr>
          <w:color w:val="111111"/>
        </w:rPr>
        <w:t xml:space="preserve"> </w:t>
      </w:r>
      <w:r>
        <w:rPr>
          <w:color w:val="111111"/>
        </w:rPr>
        <w:t xml:space="preserve">Sim      </w:t>
      </w:r>
      <w:r>
        <w:rPr>
          <w:rFonts w:eastAsia="MS Gothic" w:cs="MS Gothic" w:ascii="MS Gothic" w:hAnsi="MS Gothic"/>
          <w:color w:val="111111"/>
          <w:sz w:val="40"/>
        </w:rPr>
        <w:t>☒</w:t>
      </w:r>
      <w:r>
        <w:rPr>
          <w:color w:val="111111"/>
        </w:rPr>
        <w:t xml:space="preserve"> Não</w:t>
      </w:r>
    </w:p>
    <w:p>
      <w:pPr>
        <w:pStyle w:val="Tpico1"/>
        <w:numPr>
          <w:ilvl w:val="0"/>
          <w:numId w:val="185"/>
        </w:numPr>
        <w:spacing w:lineRule="auto" w:line="276" w:before="238" w:after="0"/>
        <w:ind w:hanging="0" w:left="0"/>
        <w:rPr>
          <w:color w:val="111111"/>
        </w:rPr>
      </w:pPr>
      <w:r>
        <w:rPr>
          <w:color w:val="111111"/>
        </w:rPr>
        <w:t>ADEQUAÇÃO ORÇAMENTÁRIA</w:t>
      </w:r>
    </w:p>
    <w:p>
      <w:pPr>
        <w:pStyle w:val="Tpico2"/>
        <w:numPr>
          <w:ilvl w:val="1"/>
          <w:numId w:val="186"/>
        </w:numPr>
        <w:spacing w:lineRule="auto" w:line="276" w:before="238" w:after="0"/>
        <w:ind w:hanging="0" w:left="0"/>
        <w:rPr>
          <w:color w:val="111111"/>
        </w:rPr>
      </w:pPr>
      <w:r>
        <w:rPr>
          <w:color w:val="111111"/>
        </w:rPr>
        <w:t>Previsão orçamentária para a contratação</w:t>
      </w:r>
    </w:p>
    <w:p>
      <w:pPr>
        <w:pStyle w:val="Standard"/>
        <w:spacing w:lineRule="auto" w:line="276" w:before="238" w:after="0"/>
        <w:rPr>
          <w:color w:val="111111"/>
        </w:rPr>
      </w:pPr>
      <w:r>
        <w:rPr>
          <w:color w:val="111111"/>
        </w:rPr>
        <w:t>Existe previsão orçamentária</w:t>
      </w:r>
    </w:p>
    <w:p>
      <w:pPr>
        <w:pStyle w:val="Tpico2"/>
        <w:numPr>
          <w:ilvl w:val="1"/>
          <w:numId w:val="187"/>
        </w:numPr>
        <w:spacing w:lineRule="auto" w:line="276" w:before="238" w:after="0"/>
        <w:ind w:hanging="0" w:left="0"/>
        <w:rPr>
          <w:color w:val="111111"/>
        </w:rPr>
      </w:pPr>
      <w:r>
        <w:rPr>
          <w:color w:val="111111"/>
        </w:rPr>
        <w:t>Rubrica orçamentária para a contratação</w:t>
      </w:r>
    </w:p>
    <w:p>
      <w:pPr>
        <w:pStyle w:val="Standard"/>
        <w:spacing w:lineRule="auto" w:line="276" w:before="238" w:after="0"/>
        <w:rPr>
          <w:color w:val="111111"/>
        </w:rPr>
      </w:pPr>
      <w:r>
        <w:rPr>
          <w:color w:val="111111"/>
        </w:rPr>
        <w:t>Classificação Funcional: 15.122.0070.2.531</w:t>
      </w:r>
    </w:p>
    <w:p>
      <w:pPr>
        <w:pStyle w:val="Standard"/>
        <w:spacing w:lineRule="auto" w:line="276" w:before="238" w:after="0"/>
        <w:rPr>
          <w:color w:val="111111"/>
        </w:rPr>
      </w:pPr>
      <w:r>
        <w:rPr>
          <w:color w:val="111111"/>
        </w:rPr>
        <w:t>Natureza da despesa: 4.4.90.52.00</w:t>
      </w:r>
    </w:p>
    <w:p>
      <w:pPr>
        <w:pStyle w:val="Standard"/>
        <w:spacing w:lineRule="auto" w:line="276" w:before="238" w:after="0"/>
        <w:rPr>
          <w:color w:val="111111"/>
        </w:rPr>
      </w:pPr>
      <w:r>
        <w:rPr>
          <w:color w:val="111111"/>
        </w:rPr>
        <w:t>Dotação: 535 – vínculo: 01.110.0000</w:t>
      </w:r>
    </w:p>
    <w:p>
      <w:pPr>
        <w:pStyle w:val="Tpico1"/>
        <w:numPr>
          <w:ilvl w:val="0"/>
          <w:numId w:val="188"/>
        </w:numPr>
        <w:spacing w:lineRule="auto" w:line="276" w:before="238" w:after="0"/>
        <w:ind w:hanging="0" w:left="0"/>
        <w:rPr>
          <w:color w:val="111111"/>
        </w:rPr>
      </w:pPr>
      <w:r>
        <w:rPr>
          <w:color w:val="111111"/>
        </w:rPr>
        <w:t>APROVAÇÃO</w:t>
      </w:r>
    </w:p>
    <w:p>
      <w:pPr>
        <w:pStyle w:val="Standard"/>
        <w:spacing w:lineRule="auto" w:line="276" w:before="238" w:after="0"/>
        <w:rPr/>
      </w:pPr>
      <w:r>
        <w:rPr>
          <w:i/>
          <w:color w:val="111111"/>
        </w:rPr>
        <w:t>Sertãozinho, 25 de agosto de 2026.</w:t>
      </w:r>
      <w:bookmarkStart w:id="17" w:name="_Hlk130227388"/>
    </w:p>
    <w:p>
      <w:pPr>
        <w:pStyle w:val="Standard"/>
        <w:spacing w:lineRule="auto" w:line="276" w:before="238" w:after="0"/>
        <w:rPr>
          <w:b/>
          <w:bCs/>
          <w:color w:val="111111"/>
        </w:rPr>
      </w:pPr>
      <w:r>
        <w:rPr>
          <w:b/>
          <w:bCs/>
          <w:color w:val="111111"/>
        </w:rPr>
      </w:r>
    </w:p>
    <w:p>
      <w:pPr>
        <w:pStyle w:val="Standard"/>
        <w:spacing w:lineRule="auto" w:line="276" w:before="238" w:after="0"/>
        <w:rPr>
          <w:b/>
          <w:bCs/>
          <w:color w:val="111111"/>
        </w:rPr>
      </w:pPr>
      <w:r>
        <w:rPr>
          <w:b/>
          <w:bCs/>
          <w:color w:val="111111"/>
        </w:rPr>
      </w:r>
    </w:p>
    <w:p>
      <w:pPr>
        <w:pStyle w:val="Standard"/>
        <w:spacing w:lineRule="auto" w:line="276" w:before="238" w:after="0"/>
        <w:rPr>
          <w:b/>
          <w:bCs/>
          <w:color w:val="111111"/>
        </w:rPr>
      </w:pPr>
      <w:r>
        <w:rPr>
          <w:b/>
          <w:bCs/>
          <w:color w:val="111111"/>
        </w:rPr>
      </w:r>
    </w:p>
    <w:p>
      <w:pPr>
        <w:pStyle w:val="Standard"/>
        <w:spacing w:lineRule="auto" w:line="276" w:before="238" w:after="0"/>
        <w:jc w:val="center"/>
        <w:rPr>
          <w:b/>
          <w:bCs/>
        </w:rPr>
      </w:pPr>
      <w:r>
        <w:rPr>
          <w:b/>
          <w:bCs/>
        </w:rPr>
        <w:t>MÁRIO JOSÉ PÁSTORELLI</w:t>
      </w:r>
    </w:p>
    <w:p>
      <w:pPr>
        <w:pStyle w:val="Standard"/>
        <w:spacing w:lineRule="auto" w:line="240" w:before="0" w:after="0"/>
        <w:jc w:val="center"/>
        <w:rPr>
          <w:sz w:val="20"/>
          <w:szCs w:val="20"/>
        </w:rPr>
      </w:pPr>
      <w:r>
        <w:rPr>
          <w:sz w:val="20"/>
          <w:szCs w:val="20"/>
        </w:rPr>
        <w:t>COORDENADOR DE ÁREA DE SERVIÇOS FUNERÁRIOS E VELÓRIOS</w:t>
      </w:r>
    </w:p>
    <w:p>
      <w:pPr>
        <w:pStyle w:val="Standard"/>
        <w:spacing w:lineRule="auto" w:line="276" w:before="238" w:after="0"/>
        <w:jc w:val="center"/>
        <w:rPr>
          <w:b/>
          <w:bCs/>
          <w:color w:val="111111"/>
        </w:rPr>
      </w:pPr>
      <w:r>
        <w:rPr>
          <w:b/>
          <w:bCs/>
          <w:color w:val="111111"/>
        </w:rPr>
      </w:r>
    </w:p>
    <w:p>
      <w:pPr>
        <w:pStyle w:val="Standard"/>
        <w:spacing w:lineRule="auto" w:line="276" w:before="238" w:after="0"/>
        <w:jc w:val="center"/>
        <w:rPr>
          <w:b/>
          <w:bCs/>
          <w:color w:val="111111"/>
        </w:rPr>
      </w:pPr>
      <w:r>
        <w:rPr>
          <w:b/>
          <w:bCs/>
          <w:color w:val="111111"/>
        </w:rPr>
      </w:r>
    </w:p>
    <w:p>
      <w:pPr>
        <w:pStyle w:val="Standard"/>
        <w:spacing w:lineRule="auto" w:line="276" w:before="238" w:after="0"/>
        <w:jc w:val="center"/>
        <w:rPr>
          <w:b/>
          <w:bCs/>
          <w:color w:val="111111"/>
        </w:rPr>
      </w:pPr>
      <w:r>
        <w:rPr>
          <w:b/>
          <w:bCs/>
          <w:color w:val="111111"/>
        </w:rPr>
      </w:r>
    </w:p>
    <w:p>
      <w:pPr>
        <w:pStyle w:val="Standard"/>
        <w:spacing w:lineRule="auto" w:line="276" w:before="238" w:after="0"/>
        <w:jc w:val="center"/>
        <w:rPr>
          <w:b/>
          <w:bCs/>
          <w:color w:val="111111"/>
        </w:rPr>
      </w:pPr>
      <w:r>
        <w:rPr>
          <w:b/>
          <w:bCs/>
          <w:color w:val="111111"/>
        </w:rPr>
        <w:t>GABRIELA TONIELLO GALON SANCHES</w:t>
      </w:r>
    </w:p>
    <w:p>
      <w:pPr>
        <w:pStyle w:val="Standard"/>
        <w:spacing w:lineRule="auto" w:line="240" w:before="0" w:after="0"/>
        <w:jc w:val="center"/>
        <w:rPr/>
      </w:pPr>
      <w:bookmarkStart w:id="18" w:name="_Hlk130224913"/>
      <w:bookmarkStart w:id="19" w:name="_Hlk108629544"/>
      <w:r>
        <w:rPr>
          <w:color w:val="111111"/>
          <w:sz w:val="20"/>
          <w:szCs w:val="20"/>
        </w:rPr>
        <w:t>SECRETÁRIA MUNICIPAL DE OBRAS, CONSERVAÇÃO E SERVIÇOS PÚBLICOS</w:t>
      </w:r>
      <w:bookmarkEnd w:id="17"/>
      <w:bookmarkEnd w:id="18"/>
      <w:bookmarkEnd w:id="19"/>
    </w:p>
    <w:sectPr>
      <w:headerReference w:type="default" r:id="rId2"/>
      <w:footerReference w:type="default" r:id="rId3"/>
      <w:type w:val="nextPage"/>
      <w:pgSz w:w="11906" w:h="16838"/>
      <w:pgMar w:left="1418" w:right="1134" w:gutter="0" w:header="113" w:top="1701" w:footer="454" w:bottom="1134"/>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swiss"/>
    <w:pitch w:val="variable"/>
  </w:font>
  <w:font w:name="Arial">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roman"/>
    <w:pitch w:val="variable"/>
  </w:font>
  <w:font w:name="MS Gothic">
    <w:charset w:val="00"/>
    <w:family w:val="roman"/>
    <w:pitch w:val="variable"/>
  </w:font>
  <w:font w:name="Calibri">
    <w:charset w:val="01"/>
    <w:family w:val="swiss"/>
    <w:pitch w:val="variable"/>
  </w:font>
  <w:font w:name="Times New Roman">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sz w:val="20"/>
        <w:szCs w:val="20"/>
      </w:rPr>
      <w:t>-</w:t>
    </w:r>
    <w:r>
      <w:rPr>
        <w:sz w:val="20"/>
        <w:szCs w:val="20"/>
        <w:shd w:fill="FFFFFF" w:val="clear"/>
      </w:rPr>
      <w:t xml:space="preserve"> </w:t>
    </w:r>
    <w:r>
      <w:rPr>
        <w:sz w:val="20"/>
        <w:szCs w:val="20"/>
        <w:shd w:fill="FFFFFF" w:val="clear"/>
      </w:rPr>
      <w:fldChar w:fldCharType="begin"/>
    </w:r>
    <w:r>
      <w:rPr>
        <w:sz w:val="20"/>
        <w:shd w:fill="FFFFFF" w:val="clear"/>
        <w:szCs w:val="20"/>
      </w:rPr>
      <w:instrText xml:space="preserve"> PAGE </w:instrText>
    </w:r>
    <w:r>
      <w:rPr>
        <w:sz w:val="20"/>
        <w:shd w:fill="FFFFFF" w:val="clear"/>
        <w:szCs w:val="20"/>
      </w:rPr>
      <w:fldChar w:fldCharType="separate"/>
    </w:r>
    <w:r>
      <w:rPr>
        <w:sz w:val="20"/>
        <w:shd w:fill="FFFFFF" w:val="clear"/>
        <w:szCs w:val="20"/>
      </w:rPr>
      <w:t>21</w:t>
    </w:r>
    <w:r>
      <w:rPr>
        <w:sz w:val="20"/>
        <w:shd w:fill="FFFFFF" w:val="clear"/>
        <w:szCs w:val="20"/>
      </w:rPr>
      <w:fldChar w:fldCharType="end"/>
    </w:r>
    <w:r>
      <w:rPr>
        <w:sz w:val="20"/>
        <w:szCs w:val="20"/>
        <w:shd w:fill="FFFFFF" w:val="clea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left" w:pos="4032" w:leader="none"/>
      </w:tabs>
      <w:jc w:val="center"/>
      <w:rPr/>
    </w:pPr>
    <w:r>
      <w:rPr/>
      <w:drawing>
        <wp:anchor behindDoc="1" distT="0" distB="0" distL="0" distR="0" simplePos="0" locked="0" layoutInCell="0" allowOverlap="1" relativeHeight="22">
          <wp:simplePos x="0" y="0"/>
          <wp:positionH relativeFrom="margin">
            <wp:align>center</wp:align>
          </wp:positionH>
          <wp:positionV relativeFrom="paragraph">
            <wp:posOffset>223520</wp:posOffset>
          </wp:positionV>
          <wp:extent cx="1914525" cy="652145"/>
          <wp:effectExtent l="0" t="0" r="0" b="0"/>
          <wp:wrapNone/>
          <wp:docPr id="1" name="Imagem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1" descr=""/>
                  <pic:cNvPicPr>
                    <a:picLocks noChangeAspect="1" noChangeArrowheads="1"/>
                  </pic:cNvPicPr>
                </pic:nvPicPr>
                <pic:blipFill>
                  <a:blip r:embed="rId1"/>
                  <a:stretch>
                    <a:fillRect/>
                  </a:stretch>
                </pic:blipFill>
                <pic:spPr bwMode="auto">
                  <a:xfrm>
                    <a:off x="0" y="0"/>
                    <a:ext cx="1914525" cy="6521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pStyle w:val="Heading2"/>
      <w:numFmt w:val="decimal"/>
      <w:lvlText w:val="%2."/>
      <w:lvlJc w:val="left"/>
      <w:pPr>
        <w:tabs>
          <w:tab w:val="num" w:pos="0"/>
        </w:tabs>
        <w:ind w:left="360" w:hanging="360"/>
      </w:pPr>
      <w:rPr/>
    </w:lvl>
    <w:lvl w:ilvl="2">
      <w:start w:val="1"/>
      <w:numFmt w:val="none"/>
      <w:suff w:val="nothing"/>
      <w:lvlText w:val="%3"/>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suff w:val="space"/>
      <w:lvlText w:val="Art.  %1º "/>
      <w:lvlJc w:val="left"/>
      <w:pPr>
        <w:tabs>
          <w:tab w:val="num" w:pos="0"/>
        </w:tabs>
        <w:ind w:left="4395" w:hanging="0"/>
      </w:pPr>
      <w:rPr/>
    </w:lvl>
    <w:lvl w:ilvl="1">
      <w:start w:val="1"/>
      <w:numFmt w:val="decimal"/>
      <w:suff w:val="space"/>
      <w:lvlText w:val="§%2º "/>
      <w:lvlJc w:val="left"/>
      <w:pPr>
        <w:tabs>
          <w:tab w:val="num" w:pos="0"/>
        </w:tabs>
        <w:ind w:left="0" w:hanging="0"/>
      </w:pPr>
      <w:rPr/>
    </w:lvl>
    <w:lvl w:ilvl="2">
      <w:start w:val="1"/>
      <w:numFmt w:val="upperRoman"/>
      <w:suff w:val="space"/>
      <w:lvlText w:val="%3 - "/>
      <w:lvlJc w:val="left"/>
      <w:pPr>
        <w:tabs>
          <w:tab w:val="num" w:pos="0"/>
        </w:tabs>
        <w:ind w:left="0" w:hanging="0"/>
      </w:pPr>
      <w:rPr/>
    </w:lvl>
    <w:lvl w:ilvl="3">
      <w:start w:val="1"/>
      <w:numFmt w:val="lowerLetter"/>
      <w:suff w:val="space"/>
      <w:lvlText w:val="%4)"/>
      <w:lvlJc w:val="left"/>
      <w:pPr>
        <w:tabs>
          <w:tab w:val="num" w:pos="0"/>
        </w:tabs>
        <w:ind w:left="0" w:hanging="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3">
    <w:lvl w:ilvl="0">
      <w:numFmt w:val="bullet"/>
      <w:lvlText w:val=""/>
      <w:lvlJc w:val="left"/>
      <w:pPr>
        <w:tabs>
          <w:tab w:val="num" w:pos="0"/>
        </w:tabs>
        <w:ind w:left="720" w:hanging="360"/>
      </w:pPr>
      <w:rPr>
        <w:rFonts w:ascii="Calibri" w:hAnsi="Calibri" w:cs="Calibri" w:hint="default"/>
      </w:rPr>
    </w:lvl>
    <w:lvl w:ilvl="1">
      <w:start w:val="0"/>
      <w:numFmt w:val="bullet"/>
      <w:lvlText w:val="o"/>
      <w:lvlJc w:val="left"/>
      <w:pPr>
        <w:tabs>
          <w:tab w:val="num" w:pos="0"/>
        </w:tabs>
        <w:ind w:left="1440" w:hanging="360"/>
      </w:pPr>
      <w:rPr>
        <w:rFonts w:ascii="Times New Roman" w:hAnsi="Times New Roman" w:cs="Times New Roman" w:hint="default"/>
      </w:rPr>
    </w:lvl>
    <w:lvl w:ilvl="2">
      <w:start w:val="0"/>
      <w:numFmt w:val="bullet"/>
      <w:lvlText w:val=""/>
      <w:lvlJc w:val="left"/>
      <w:pPr>
        <w:tabs>
          <w:tab w:val="num" w:pos="0"/>
        </w:tabs>
        <w:ind w:left="2160" w:hanging="360"/>
      </w:pPr>
      <w:rPr>
        <w:rFonts w:ascii="Calibri" w:hAnsi="Calibri" w:cs="Calibri" w:hint="default"/>
      </w:rPr>
    </w:lvl>
    <w:lvl w:ilvl="3">
      <w:start w:val="0"/>
      <w:numFmt w:val="bullet"/>
      <w:lvlText w:val=""/>
      <w:lvlJc w:val="left"/>
      <w:pPr>
        <w:tabs>
          <w:tab w:val="num" w:pos="0"/>
        </w:tabs>
        <w:ind w:left="2880" w:hanging="360"/>
      </w:pPr>
      <w:rPr>
        <w:rFonts w:ascii="Calibri" w:hAnsi="Calibri" w:cs="Calibri" w:hint="default"/>
      </w:rPr>
    </w:lvl>
    <w:lvl w:ilvl="4">
      <w:start w:val="0"/>
      <w:numFmt w:val="bullet"/>
      <w:lvlText w:val="o"/>
      <w:lvlJc w:val="left"/>
      <w:pPr>
        <w:tabs>
          <w:tab w:val="num" w:pos="0"/>
        </w:tabs>
        <w:ind w:left="3600" w:hanging="360"/>
      </w:pPr>
      <w:rPr>
        <w:rFonts w:ascii="Times New Roman" w:hAnsi="Times New Roman" w:cs="Times New Roman" w:hint="default"/>
      </w:rPr>
    </w:lvl>
    <w:lvl w:ilvl="5">
      <w:start w:val="0"/>
      <w:numFmt w:val="bullet"/>
      <w:lvlText w:val=""/>
      <w:lvlJc w:val="left"/>
      <w:pPr>
        <w:tabs>
          <w:tab w:val="num" w:pos="0"/>
        </w:tabs>
        <w:ind w:left="4320" w:hanging="360"/>
      </w:pPr>
      <w:rPr>
        <w:rFonts w:ascii="Calibri" w:hAnsi="Calibri" w:cs="Calibri" w:hint="default"/>
      </w:rPr>
    </w:lvl>
    <w:lvl w:ilvl="6">
      <w:start w:val="0"/>
      <w:numFmt w:val="bullet"/>
      <w:lvlText w:val=""/>
      <w:lvlJc w:val="left"/>
      <w:pPr>
        <w:tabs>
          <w:tab w:val="num" w:pos="0"/>
        </w:tabs>
        <w:ind w:left="5040" w:hanging="360"/>
      </w:pPr>
      <w:rPr>
        <w:rFonts w:ascii="Calibri" w:hAnsi="Calibri" w:cs="Calibri" w:hint="default"/>
      </w:rPr>
    </w:lvl>
    <w:lvl w:ilvl="7">
      <w:start w:val="0"/>
      <w:numFmt w:val="bullet"/>
      <w:lvlText w:val="o"/>
      <w:lvlJc w:val="left"/>
      <w:pPr>
        <w:tabs>
          <w:tab w:val="num" w:pos="0"/>
        </w:tabs>
        <w:ind w:left="5760" w:hanging="360"/>
      </w:pPr>
      <w:rPr>
        <w:rFonts w:ascii="Times New Roman" w:hAnsi="Times New Roman" w:cs="Times New Roman" w:hint="default"/>
      </w:rPr>
    </w:lvl>
    <w:lvl w:ilvl="8">
      <w:start w:val="0"/>
      <w:numFmt w:val="bullet"/>
      <w:lvlText w:val=""/>
      <w:lvlJc w:val="left"/>
      <w:pPr>
        <w:tabs>
          <w:tab w:val="num" w:pos="0"/>
        </w:tabs>
        <w:ind w:left="6480" w:hanging="360"/>
      </w:pPr>
      <w:rPr>
        <w:rFonts w:ascii="Calibri" w:hAnsi="Calibri" w:cs="Calibri" w:hint="default"/>
      </w:rPr>
    </w:lvl>
  </w:abstractNum>
  <w:abstractNum w:abstractNumId="4">
    <w:lvl w:ilvl="0">
      <w:start w:val="1"/>
      <w:numFmt w:val="decimal"/>
      <w:lvlText w:val="%1."/>
      <w:lvlJc w:val="left"/>
      <w:pPr>
        <w:tabs>
          <w:tab w:val="num" w:pos="0"/>
        </w:tabs>
        <w:ind w:left="360" w:hanging="360"/>
      </w:pPr>
      <w:rPr/>
    </w:lvl>
    <w:lvl w:ilvl="1">
      <w:start w:val="1"/>
      <w:numFmt w:val="decimal"/>
      <w:lvlText w:val="%1.%2."/>
      <w:lvlJc w:val="left"/>
      <w:pPr>
        <w:tabs>
          <w:tab w:val="num" w:pos="0"/>
        </w:tabs>
        <w:ind w:left="1425"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
    <w:lvl w:ilvl="0">
      <w:start w:val="1"/>
      <w:numFmt w:val="decimal"/>
      <w:lvlText w:val="%1."/>
      <w:lvlJc w:val="left"/>
      <w:pPr>
        <w:tabs>
          <w:tab w:val="num" w:pos="0"/>
        </w:tabs>
        <w:ind w:left="360" w:hanging="360"/>
      </w:pPr>
      <w:rPr>
        <w:sz w:val="24"/>
        <w:spacing w:val="-1"/>
        <w:szCs w:val="24"/>
        <w:w w:val="100"/>
      </w:rPr>
    </w:lvl>
    <w:lvl w:ilvl="1">
      <w:start w:val="1"/>
      <w:numFmt w:val="decimal"/>
      <w:lvlText w:val="%1.%2."/>
      <w:lvlJc w:val="left"/>
      <w:pPr>
        <w:tabs>
          <w:tab w:val="num" w:pos="0"/>
        </w:tabs>
        <w:ind w:left="792" w:hanging="432"/>
      </w:pPr>
      <w:rPr>
        <w:sz w:val="24"/>
        <w:szCs w:val="24"/>
        <w:w w:val="100"/>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10"/>
      <w:numFmt w:val="decimal"/>
      <w:suff w:val="space"/>
      <w:lvlText w:val="Art. %1."/>
      <w:lvlJc w:val="left"/>
      <w:pPr>
        <w:tabs>
          <w:tab w:val="num" w:pos="0"/>
        </w:tabs>
        <w:ind w:left="0" w:hanging="0"/>
      </w:pPr>
      <w:rPr>
        <w:sz w:val="24"/>
        <w:b/>
        <w:rFonts w:ascii="Arial" w:hAnsi="Arial"/>
      </w:rPr>
    </w:lvl>
    <w:lvl w:ilvl="1">
      <w:start w:val="1"/>
      <w:numFmt w:val="upperRoman"/>
      <w:suff w:val="space"/>
      <w:lvlText w:val="%2 - "/>
      <w:lvlJc w:val="left"/>
      <w:pPr>
        <w:tabs>
          <w:tab w:val="num" w:pos="0"/>
        </w:tabs>
        <w:ind w:left="0" w:hanging="0"/>
      </w:pPr>
      <w:rPr>
        <w:i w:val="false"/>
        <w:b/>
      </w:rPr>
    </w:lvl>
    <w:lvl w:ilvl="2">
      <w:start w:val="1"/>
      <w:numFmt w:val="decimal"/>
      <w:suff w:val="space"/>
      <w:lvlText w:val="§ %3º "/>
      <w:lvlJc w:val="left"/>
      <w:pPr>
        <w:tabs>
          <w:tab w:val="num" w:pos="0"/>
        </w:tabs>
        <w:ind w:left="0" w:hanging="0"/>
      </w:pPr>
      <w:rPr>
        <w:i w:val="false"/>
        <w:b/>
      </w:rPr>
    </w:lvl>
    <w:lvl w:ilvl="3">
      <w:start w:val="1"/>
      <w:numFmt w:val="upperRoman"/>
      <w:suff w:val="space"/>
      <w:lvlText w:val="%4 - "/>
      <w:lvlJc w:val="left"/>
      <w:pPr>
        <w:tabs>
          <w:tab w:val="num" w:pos="0"/>
        </w:tabs>
        <w:ind w:left="0" w:hanging="0"/>
      </w:pPr>
      <w:rPr>
        <w:i w:val="false"/>
        <w:b/>
      </w:rPr>
    </w:lvl>
    <w:lvl w:ilvl="4">
      <w:start w:val="1"/>
      <w:numFmt w:val="lowerLetter"/>
      <w:suff w:val="space"/>
      <w:lvlText w:val="%5) "/>
      <w:lvlJc w:val="left"/>
      <w:pPr>
        <w:tabs>
          <w:tab w:val="num" w:pos="0"/>
        </w:tabs>
        <w:ind w:left="0" w:hanging="0"/>
      </w:pPr>
      <w:rPr>
        <w:i w:val="false"/>
        <w:b/>
      </w:rPr>
    </w:lvl>
    <w:lvl w:ilvl="5">
      <w:start w:val="1"/>
      <w:numFmt w:val="none"/>
      <w:suff w:val="nothing"/>
      <w:lvlText w:val="%6"/>
      <w:lvlJc w:val="left"/>
      <w:pPr>
        <w:tabs>
          <w:tab w:val="num" w:pos="0"/>
        </w:tabs>
        <w:ind w:left="2736" w:hanging="936"/>
      </w:pPr>
      <w:rPr/>
    </w:lvl>
    <w:lvl w:ilvl="6">
      <w:start w:val="1"/>
      <w:numFmt w:val="none"/>
      <w:suff w:val="nothing"/>
      <w:lvlText w:val="%7"/>
      <w:lvlJc w:val="left"/>
      <w:pPr>
        <w:tabs>
          <w:tab w:val="num" w:pos="0"/>
        </w:tabs>
        <w:ind w:left="3240" w:hanging="1080"/>
      </w:pPr>
      <w:rPr/>
    </w:lvl>
    <w:lvl w:ilvl="7">
      <w:start w:val="1"/>
      <w:numFmt w:val="none"/>
      <w:suff w:val="nothing"/>
      <w:lvlText w:val="%8"/>
      <w:lvlJc w:val="left"/>
      <w:pPr>
        <w:tabs>
          <w:tab w:val="num" w:pos="0"/>
        </w:tabs>
        <w:ind w:left="3742" w:hanging="1222"/>
      </w:pPr>
      <w:rPr/>
    </w:lvl>
    <w:lvl w:ilvl="8">
      <w:start w:val="1"/>
      <w:numFmt w:val="none"/>
      <w:suff w:val="nothing"/>
      <w:lvlText w:val="%9"/>
      <w:lvlJc w:val="left"/>
      <w:pPr>
        <w:tabs>
          <w:tab w:val="num" w:pos="0"/>
        </w:tabs>
        <w:ind w:left="4320" w:hanging="144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numFmt w:val="bullet"/>
      <w:lvlText w:val="o"/>
      <w:lvlJc w:val="left"/>
      <w:pPr>
        <w:tabs>
          <w:tab w:val="num" w:pos="0"/>
        </w:tabs>
        <w:ind w:left="720" w:hanging="360"/>
      </w:pPr>
      <w:rPr>
        <w:rFonts w:ascii="OpenSymbol" w:hAnsi="OpenSymbol" w:cs="OpenSymbol" w:hint="default"/>
      </w:rPr>
    </w:lvl>
    <w:lvl w:ilvl="1">
      <w:start w:val="0"/>
      <w:numFmt w:val="bullet"/>
      <w:lvlText w:val="o"/>
      <w:lvlJc w:val="left"/>
      <w:pPr>
        <w:tabs>
          <w:tab w:val="num" w:pos="0"/>
        </w:tabs>
        <w:ind w:left="1440" w:hanging="360"/>
      </w:pPr>
      <w:rPr>
        <w:rFonts w:ascii="OpenSymbol" w:hAnsi="OpenSymbol" w:cs="OpenSymbol" w:hint="default"/>
      </w:rPr>
    </w:lvl>
    <w:lvl w:ilvl="2">
      <w:start w:val="0"/>
      <w:numFmt w:val="bullet"/>
      <w:lvlText w:val=""/>
      <w:lvlJc w:val="left"/>
      <w:pPr>
        <w:tabs>
          <w:tab w:val="num" w:pos="0"/>
        </w:tabs>
        <w:ind w:left="2160" w:hanging="360"/>
      </w:pPr>
      <w:rPr>
        <w:rFonts w:ascii="Calibri" w:hAnsi="Calibri" w:cs="Calibri" w:hint="default"/>
      </w:rPr>
    </w:lvl>
    <w:lvl w:ilvl="3">
      <w:start w:val="0"/>
      <w:numFmt w:val="bullet"/>
      <w:lvlText w:val=""/>
      <w:lvlJc w:val="left"/>
      <w:pPr>
        <w:tabs>
          <w:tab w:val="num" w:pos="0"/>
        </w:tabs>
        <w:ind w:left="2880" w:hanging="360"/>
      </w:pPr>
      <w:rPr>
        <w:rFonts w:ascii="Calibri" w:hAnsi="Calibri" w:cs="Calibri" w:hint="default"/>
      </w:rPr>
    </w:lvl>
    <w:lvl w:ilvl="4">
      <w:start w:val="0"/>
      <w:numFmt w:val="bullet"/>
      <w:lvlText w:val="o"/>
      <w:lvlJc w:val="left"/>
      <w:pPr>
        <w:tabs>
          <w:tab w:val="num" w:pos="0"/>
        </w:tabs>
        <w:ind w:left="3600" w:hanging="360"/>
      </w:pPr>
      <w:rPr>
        <w:rFonts w:ascii="OpenSymbol" w:hAnsi="OpenSymbol" w:cs="OpenSymbol" w:hint="default"/>
      </w:rPr>
    </w:lvl>
    <w:lvl w:ilvl="5">
      <w:start w:val="0"/>
      <w:numFmt w:val="bullet"/>
      <w:lvlText w:val=""/>
      <w:lvlJc w:val="left"/>
      <w:pPr>
        <w:tabs>
          <w:tab w:val="num" w:pos="0"/>
        </w:tabs>
        <w:ind w:left="4320" w:hanging="360"/>
      </w:pPr>
      <w:rPr>
        <w:rFonts w:ascii="Calibri" w:hAnsi="Calibri" w:cs="Calibri" w:hint="default"/>
      </w:rPr>
    </w:lvl>
    <w:lvl w:ilvl="6">
      <w:start w:val="0"/>
      <w:numFmt w:val="bullet"/>
      <w:lvlText w:val=""/>
      <w:lvlJc w:val="left"/>
      <w:pPr>
        <w:tabs>
          <w:tab w:val="num" w:pos="0"/>
        </w:tabs>
        <w:ind w:left="5040" w:hanging="360"/>
      </w:pPr>
      <w:rPr>
        <w:rFonts w:ascii="Calibri" w:hAnsi="Calibri" w:cs="Calibri" w:hint="default"/>
      </w:rPr>
    </w:lvl>
    <w:lvl w:ilvl="7">
      <w:start w:val="0"/>
      <w:numFmt w:val="bullet"/>
      <w:lvlText w:val="o"/>
      <w:lvlJc w:val="left"/>
      <w:pPr>
        <w:tabs>
          <w:tab w:val="num" w:pos="0"/>
        </w:tabs>
        <w:ind w:left="5760" w:hanging="360"/>
      </w:pPr>
      <w:rPr>
        <w:rFonts w:ascii="OpenSymbol" w:hAnsi="OpenSymbol" w:cs="OpenSymbol" w:hint="default"/>
      </w:rPr>
    </w:lvl>
    <w:lvl w:ilvl="8">
      <w:start w:val="0"/>
      <w:numFmt w:val="bullet"/>
      <w:lvlText w:val=""/>
      <w:lvlJc w:val="left"/>
      <w:pPr>
        <w:tabs>
          <w:tab w:val="num" w:pos="0"/>
        </w:tabs>
        <w:ind w:left="6480" w:hanging="360"/>
      </w:pPr>
      <w:rPr>
        <w:rFonts w:ascii="Calibri" w:hAnsi="Calibri" w:cs="Calibri" w:hint="default"/>
      </w:rPr>
    </w:lvl>
  </w:abstractNum>
  <w:abstractNum w:abstractNumId="10">
    <w:lvl w:ilvl="0">
      <w:numFmt w:val="bullet"/>
      <w:lvlText w:val=""/>
      <w:lvlJc w:val="left"/>
      <w:pPr>
        <w:tabs>
          <w:tab w:val="num" w:pos="0"/>
        </w:tabs>
        <w:ind w:left="720" w:hanging="360"/>
      </w:pPr>
      <w:rPr>
        <w:rFonts w:ascii="Calibri" w:hAnsi="Calibri" w:cs="Calibri" w:hint="default"/>
      </w:rPr>
    </w:lvl>
    <w:lvl w:ilvl="1">
      <w:start w:val="0"/>
      <w:numFmt w:val="bullet"/>
      <w:lvlText w:val="o"/>
      <w:lvlJc w:val="left"/>
      <w:pPr>
        <w:tabs>
          <w:tab w:val="num" w:pos="0"/>
        </w:tabs>
        <w:ind w:left="1440" w:hanging="360"/>
      </w:pPr>
      <w:rPr>
        <w:rFonts w:ascii="Times New Roman" w:hAnsi="Times New Roman" w:cs="Times New Roman" w:hint="default"/>
      </w:rPr>
    </w:lvl>
    <w:lvl w:ilvl="2">
      <w:start w:val="0"/>
      <w:numFmt w:val="bullet"/>
      <w:lvlText w:val=""/>
      <w:lvlJc w:val="left"/>
      <w:pPr>
        <w:tabs>
          <w:tab w:val="num" w:pos="0"/>
        </w:tabs>
        <w:ind w:left="2160" w:hanging="360"/>
      </w:pPr>
      <w:rPr>
        <w:rFonts w:ascii="Calibri" w:hAnsi="Calibri" w:cs="Calibri" w:hint="default"/>
      </w:rPr>
    </w:lvl>
    <w:lvl w:ilvl="3">
      <w:start w:val="0"/>
      <w:numFmt w:val="bullet"/>
      <w:lvlText w:val=""/>
      <w:lvlJc w:val="left"/>
      <w:pPr>
        <w:tabs>
          <w:tab w:val="num" w:pos="0"/>
        </w:tabs>
        <w:ind w:left="2880" w:hanging="360"/>
      </w:pPr>
      <w:rPr>
        <w:rFonts w:ascii="Calibri" w:hAnsi="Calibri" w:cs="Calibri" w:hint="default"/>
      </w:rPr>
    </w:lvl>
    <w:lvl w:ilvl="4">
      <w:start w:val="0"/>
      <w:numFmt w:val="bullet"/>
      <w:lvlText w:val="o"/>
      <w:lvlJc w:val="left"/>
      <w:pPr>
        <w:tabs>
          <w:tab w:val="num" w:pos="0"/>
        </w:tabs>
        <w:ind w:left="3600" w:hanging="360"/>
      </w:pPr>
      <w:rPr>
        <w:rFonts w:ascii="Times New Roman" w:hAnsi="Times New Roman" w:cs="Times New Roman" w:hint="default"/>
      </w:rPr>
    </w:lvl>
    <w:lvl w:ilvl="5">
      <w:start w:val="0"/>
      <w:numFmt w:val="bullet"/>
      <w:lvlText w:val=""/>
      <w:lvlJc w:val="left"/>
      <w:pPr>
        <w:tabs>
          <w:tab w:val="num" w:pos="0"/>
        </w:tabs>
        <w:ind w:left="4320" w:hanging="360"/>
      </w:pPr>
      <w:rPr>
        <w:rFonts w:ascii="Calibri" w:hAnsi="Calibri" w:cs="Calibri" w:hint="default"/>
      </w:rPr>
    </w:lvl>
    <w:lvl w:ilvl="6">
      <w:start w:val="0"/>
      <w:numFmt w:val="bullet"/>
      <w:lvlText w:val=""/>
      <w:lvlJc w:val="left"/>
      <w:pPr>
        <w:tabs>
          <w:tab w:val="num" w:pos="0"/>
        </w:tabs>
        <w:ind w:left="5040" w:hanging="360"/>
      </w:pPr>
      <w:rPr>
        <w:rFonts w:ascii="Calibri" w:hAnsi="Calibri" w:cs="Calibri" w:hint="default"/>
      </w:rPr>
    </w:lvl>
    <w:lvl w:ilvl="7">
      <w:start w:val="0"/>
      <w:numFmt w:val="bullet"/>
      <w:lvlText w:val="o"/>
      <w:lvlJc w:val="left"/>
      <w:pPr>
        <w:tabs>
          <w:tab w:val="num" w:pos="0"/>
        </w:tabs>
        <w:ind w:left="5760" w:hanging="360"/>
      </w:pPr>
      <w:rPr>
        <w:rFonts w:ascii="Times New Roman" w:hAnsi="Times New Roman" w:cs="Times New Roman" w:hint="default"/>
      </w:rPr>
    </w:lvl>
    <w:lvl w:ilvl="8">
      <w:start w:val="0"/>
      <w:numFmt w:val="bullet"/>
      <w:lvlText w:val=""/>
      <w:lvlJc w:val="left"/>
      <w:pPr>
        <w:tabs>
          <w:tab w:val="num" w:pos="0"/>
        </w:tabs>
        <w:ind w:left="6480" w:hanging="360"/>
      </w:pPr>
      <w:rPr>
        <w:rFonts w:ascii="Calibri" w:hAnsi="Calibri" w:cs="Calibri" w:hint="default"/>
      </w:rPr>
    </w:lvl>
  </w:abstractNum>
  <w:abstractNum w:abstractNumId="1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2">
    <w:lvl w:ilvl="0">
      <w:numFmt w:val="bullet"/>
      <w:lvlText w:val=""/>
      <w:lvlJc w:val="left"/>
      <w:pPr>
        <w:tabs>
          <w:tab w:val="num" w:pos="0"/>
        </w:tabs>
        <w:ind w:left="720" w:hanging="360"/>
      </w:pPr>
      <w:rPr>
        <w:rFonts w:ascii="Calibri" w:hAnsi="Calibri" w:cs="Calibri" w:hint="default"/>
      </w:rPr>
    </w:lvl>
    <w:lvl w:ilvl="1">
      <w:start w:val="0"/>
      <w:numFmt w:val="bullet"/>
      <w:lvlText w:val="o"/>
      <w:lvlJc w:val="left"/>
      <w:pPr>
        <w:tabs>
          <w:tab w:val="num" w:pos="0"/>
        </w:tabs>
        <w:ind w:left="1440" w:hanging="360"/>
      </w:pPr>
      <w:rPr>
        <w:rFonts w:ascii="Times New Roman" w:hAnsi="Times New Roman" w:cs="Times New Roman" w:hint="default"/>
      </w:rPr>
    </w:lvl>
    <w:lvl w:ilvl="2">
      <w:start w:val="0"/>
      <w:numFmt w:val="bullet"/>
      <w:lvlText w:val=""/>
      <w:lvlJc w:val="left"/>
      <w:pPr>
        <w:tabs>
          <w:tab w:val="num" w:pos="0"/>
        </w:tabs>
        <w:ind w:left="2160" w:hanging="360"/>
      </w:pPr>
      <w:rPr>
        <w:rFonts w:ascii="Calibri" w:hAnsi="Calibri" w:cs="Calibri" w:hint="default"/>
      </w:rPr>
    </w:lvl>
    <w:lvl w:ilvl="3">
      <w:start w:val="0"/>
      <w:numFmt w:val="bullet"/>
      <w:lvlText w:val=""/>
      <w:lvlJc w:val="left"/>
      <w:pPr>
        <w:tabs>
          <w:tab w:val="num" w:pos="0"/>
        </w:tabs>
        <w:ind w:left="2880" w:hanging="360"/>
      </w:pPr>
      <w:rPr>
        <w:rFonts w:ascii="Calibri" w:hAnsi="Calibri" w:cs="Calibri" w:hint="default"/>
      </w:rPr>
    </w:lvl>
    <w:lvl w:ilvl="4">
      <w:start w:val="0"/>
      <w:numFmt w:val="bullet"/>
      <w:lvlText w:val="o"/>
      <w:lvlJc w:val="left"/>
      <w:pPr>
        <w:tabs>
          <w:tab w:val="num" w:pos="0"/>
        </w:tabs>
        <w:ind w:left="3600" w:hanging="360"/>
      </w:pPr>
      <w:rPr>
        <w:rFonts w:ascii="Times New Roman" w:hAnsi="Times New Roman" w:cs="Times New Roman" w:hint="default"/>
      </w:rPr>
    </w:lvl>
    <w:lvl w:ilvl="5">
      <w:start w:val="0"/>
      <w:numFmt w:val="bullet"/>
      <w:lvlText w:val=""/>
      <w:lvlJc w:val="left"/>
      <w:pPr>
        <w:tabs>
          <w:tab w:val="num" w:pos="0"/>
        </w:tabs>
        <w:ind w:left="4320" w:hanging="360"/>
      </w:pPr>
      <w:rPr>
        <w:rFonts w:ascii="Calibri" w:hAnsi="Calibri" w:cs="Calibri" w:hint="default"/>
      </w:rPr>
    </w:lvl>
    <w:lvl w:ilvl="6">
      <w:start w:val="0"/>
      <w:numFmt w:val="bullet"/>
      <w:lvlText w:val=""/>
      <w:lvlJc w:val="left"/>
      <w:pPr>
        <w:tabs>
          <w:tab w:val="num" w:pos="0"/>
        </w:tabs>
        <w:ind w:left="5040" w:hanging="360"/>
      </w:pPr>
      <w:rPr>
        <w:rFonts w:ascii="Calibri" w:hAnsi="Calibri" w:cs="Calibri" w:hint="default"/>
      </w:rPr>
    </w:lvl>
    <w:lvl w:ilvl="7">
      <w:start w:val="0"/>
      <w:numFmt w:val="bullet"/>
      <w:lvlText w:val="o"/>
      <w:lvlJc w:val="left"/>
      <w:pPr>
        <w:tabs>
          <w:tab w:val="num" w:pos="0"/>
        </w:tabs>
        <w:ind w:left="5760" w:hanging="360"/>
      </w:pPr>
      <w:rPr>
        <w:rFonts w:ascii="Times New Roman" w:hAnsi="Times New Roman" w:cs="Times New Roman" w:hint="default"/>
      </w:rPr>
    </w:lvl>
    <w:lvl w:ilvl="8">
      <w:start w:val="0"/>
      <w:numFmt w:val="bullet"/>
      <w:lvlText w:val=""/>
      <w:lvlJc w:val="left"/>
      <w:pPr>
        <w:tabs>
          <w:tab w:val="num" w:pos="0"/>
        </w:tabs>
        <w:ind w:left="6480" w:hanging="360"/>
      </w:pPr>
      <w:rPr>
        <w:rFonts w:ascii="Calibri" w:hAnsi="Calibri" w:cs="Calibri" w:hint="default"/>
      </w:rPr>
    </w:lvl>
  </w:abstractNum>
  <w:abstractNum w:abstractNumId="13">
    <w:lvl w:ilvl="0">
      <w:numFmt w:val="bullet"/>
      <w:lvlText w:val=""/>
      <w:lvlJc w:val="left"/>
      <w:pPr>
        <w:tabs>
          <w:tab w:val="num" w:pos="0"/>
        </w:tabs>
        <w:ind w:left="720" w:hanging="360"/>
      </w:pPr>
      <w:rPr>
        <w:rFonts w:ascii="Calibri" w:hAnsi="Calibri" w:cs="Calibri" w:hint="default"/>
      </w:rPr>
    </w:lvl>
    <w:lvl w:ilvl="1">
      <w:start w:val="0"/>
      <w:numFmt w:val="bullet"/>
      <w:lvlText w:val="o"/>
      <w:lvlJc w:val="left"/>
      <w:pPr>
        <w:tabs>
          <w:tab w:val="num" w:pos="0"/>
        </w:tabs>
        <w:ind w:left="1440" w:hanging="360"/>
      </w:pPr>
      <w:rPr>
        <w:rFonts w:ascii="Times New Roman" w:hAnsi="Times New Roman" w:cs="Times New Roman" w:hint="default"/>
      </w:rPr>
    </w:lvl>
    <w:lvl w:ilvl="2">
      <w:start w:val="0"/>
      <w:numFmt w:val="bullet"/>
      <w:lvlText w:val=""/>
      <w:lvlJc w:val="left"/>
      <w:pPr>
        <w:tabs>
          <w:tab w:val="num" w:pos="0"/>
        </w:tabs>
        <w:ind w:left="2160" w:hanging="360"/>
      </w:pPr>
      <w:rPr>
        <w:rFonts w:ascii="Calibri" w:hAnsi="Calibri" w:cs="Calibri" w:hint="default"/>
      </w:rPr>
    </w:lvl>
    <w:lvl w:ilvl="3">
      <w:start w:val="0"/>
      <w:numFmt w:val="bullet"/>
      <w:lvlText w:val=""/>
      <w:lvlJc w:val="left"/>
      <w:pPr>
        <w:tabs>
          <w:tab w:val="num" w:pos="0"/>
        </w:tabs>
        <w:ind w:left="2880" w:hanging="360"/>
      </w:pPr>
      <w:rPr>
        <w:rFonts w:ascii="Calibri" w:hAnsi="Calibri" w:cs="Calibri" w:hint="default"/>
      </w:rPr>
    </w:lvl>
    <w:lvl w:ilvl="4">
      <w:start w:val="0"/>
      <w:numFmt w:val="bullet"/>
      <w:lvlText w:val="o"/>
      <w:lvlJc w:val="left"/>
      <w:pPr>
        <w:tabs>
          <w:tab w:val="num" w:pos="0"/>
        </w:tabs>
        <w:ind w:left="3600" w:hanging="360"/>
      </w:pPr>
      <w:rPr>
        <w:rFonts w:ascii="Times New Roman" w:hAnsi="Times New Roman" w:cs="Times New Roman" w:hint="default"/>
      </w:rPr>
    </w:lvl>
    <w:lvl w:ilvl="5">
      <w:start w:val="0"/>
      <w:numFmt w:val="bullet"/>
      <w:lvlText w:val=""/>
      <w:lvlJc w:val="left"/>
      <w:pPr>
        <w:tabs>
          <w:tab w:val="num" w:pos="0"/>
        </w:tabs>
        <w:ind w:left="4320" w:hanging="360"/>
      </w:pPr>
      <w:rPr>
        <w:rFonts w:ascii="Calibri" w:hAnsi="Calibri" w:cs="Calibri" w:hint="default"/>
      </w:rPr>
    </w:lvl>
    <w:lvl w:ilvl="6">
      <w:start w:val="0"/>
      <w:numFmt w:val="bullet"/>
      <w:lvlText w:val=""/>
      <w:lvlJc w:val="left"/>
      <w:pPr>
        <w:tabs>
          <w:tab w:val="num" w:pos="0"/>
        </w:tabs>
        <w:ind w:left="5040" w:hanging="360"/>
      </w:pPr>
      <w:rPr>
        <w:rFonts w:ascii="Calibri" w:hAnsi="Calibri" w:cs="Calibri" w:hint="default"/>
      </w:rPr>
    </w:lvl>
    <w:lvl w:ilvl="7">
      <w:start w:val="0"/>
      <w:numFmt w:val="bullet"/>
      <w:lvlText w:val="o"/>
      <w:lvlJc w:val="left"/>
      <w:pPr>
        <w:tabs>
          <w:tab w:val="num" w:pos="0"/>
        </w:tabs>
        <w:ind w:left="5760" w:hanging="360"/>
      </w:pPr>
      <w:rPr>
        <w:rFonts w:ascii="Times New Roman" w:hAnsi="Times New Roman" w:cs="Times New Roman" w:hint="default"/>
      </w:rPr>
    </w:lvl>
    <w:lvl w:ilvl="8">
      <w:start w:val="0"/>
      <w:numFmt w:val="bullet"/>
      <w:lvlText w:val=""/>
      <w:lvlJc w:val="left"/>
      <w:pPr>
        <w:tabs>
          <w:tab w:val="num" w:pos="0"/>
        </w:tabs>
        <w:ind w:left="6480" w:hanging="360"/>
      </w:pPr>
      <w:rPr>
        <w:rFonts w:ascii="Calibri" w:hAnsi="Calibri" w:cs="Calibri" w:hint="default"/>
      </w:rPr>
    </w:lvl>
  </w:abstractNum>
  <w:abstractNum w:abstractNumId="1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1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2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3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4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5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6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7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8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0">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1">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2">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3">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4">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5">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6">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7">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8">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abstractNum w:abstractNumId="99">
    <w:lvl w:ilvl="0">
      <w:start w:val="1"/>
      <w:numFmt w:val="decimal"/>
      <w:lvlText w:val="%1."/>
      <w:lvlJc w:val="left"/>
      <w:pPr>
        <w:tabs>
          <w:tab w:val="num" w:pos="0"/>
        </w:tabs>
        <w:ind w:left="567" w:hanging="567"/>
      </w:pPr>
      <w:rPr/>
    </w:lvl>
    <w:lvl w:ilvl="1">
      <w:start w:val="1"/>
      <w:numFmt w:val="decimal"/>
      <w:lvlText w:val="%1.%2."/>
      <w:lvlJc w:val="left"/>
      <w:pPr>
        <w:tabs>
          <w:tab w:val="num" w:pos="0"/>
        </w:tabs>
        <w:ind w:left="624" w:hanging="624"/>
      </w:pPr>
      <w:rPr>
        <w:b/>
        <w:bCs/>
        <w:color w:val="auto"/>
      </w:rPr>
    </w:lvl>
    <w:lvl w:ilvl="2">
      <w:start w:val="1"/>
      <w:numFmt w:val="decimal"/>
      <w:lvlText w:val="%1.%2.%3."/>
      <w:lvlJc w:val="left"/>
      <w:pPr>
        <w:tabs>
          <w:tab w:val="num" w:pos="0"/>
        </w:tabs>
        <w:ind w:left="1871" w:hanging="737"/>
      </w:pPr>
      <w:rPr/>
    </w:lvl>
    <w:lvl w:ilvl="3">
      <w:start w:val="1"/>
      <w:numFmt w:val="decimal"/>
      <w:lvlText w:val="%1.%2.%3.%4."/>
      <w:lvlJc w:val="left"/>
      <w:pPr>
        <w:tabs>
          <w:tab w:val="num" w:pos="0"/>
        </w:tabs>
        <w:ind w:left="907" w:hanging="907"/>
      </w:pPr>
      <w:rPr/>
    </w:lvl>
    <w:lvl w:ilvl="4">
      <w:start w:val="1"/>
      <w:numFmt w:val="decimal"/>
      <w:lvlText w:val="%1.%2.%3.%4.%5."/>
      <w:lvlJc w:val="left"/>
      <w:pPr>
        <w:tabs>
          <w:tab w:val="num" w:pos="0"/>
        </w:tabs>
        <w:ind w:left="567" w:hanging="567"/>
      </w:pPr>
      <w:rPr/>
    </w:lvl>
    <w:lvl w:ilvl="5">
      <w:start w:val="1"/>
      <w:numFmt w:val="decimal"/>
      <w:lvlText w:val="%1.%2.%3.%4.%5.%6."/>
      <w:lvlJc w:val="left"/>
      <w:pPr>
        <w:tabs>
          <w:tab w:val="num" w:pos="0"/>
        </w:tabs>
        <w:ind w:left="567" w:hanging="567"/>
      </w:pPr>
      <w:rPr/>
    </w:lvl>
    <w:lvl w:ilvl="6">
      <w:start w:val="1"/>
      <w:numFmt w:val="decimal"/>
      <w:lvlText w:val="%1.%2.%3.%4.%5.%6.%7."/>
      <w:lvlJc w:val="left"/>
      <w:pPr>
        <w:tabs>
          <w:tab w:val="num" w:pos="0"/>
        </w:tabs>
        <w:ind w:left="567" w:hanging="567"/>
      </w:pPr>
      <w:rPr/>
    </w:lvl>
    <w:lvl w:ilvl="7">
      <w:start w:val="1"/>
      <w:numFmt w:val="decimal"/>
      <w:lvlText w:val="%1.%2.%3.%4.%5.%6.%7.%8."/>
      <w:lvlJc w:val="left"/>
      <w:pPr>
        <w:tabs>
          <w:tab w:val="num" w:pos="0"/>
        </w:tabs>
        <w:ind w:left="567" w:hanging="567"/>
      </w:pPr>
      <w:rPr/>
    </w:lvl>
    <w:lvl w:ilvl="8">
      <w:start w:val="1"/>
      <w:numFmt w:val="decimal"/>
      <w:lvlText w:val="%1.%2.%3.%4.%5.%6.%7.%8.%9."/>
      <w:lvlJc w:val="left"/>
      <w:pPr>
        <w:tabs>
          <w:tab w:val="num" w:pos="0"/>
        </w:tabs>
        <w:ind w:left="567" w:hanging="567"/>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1"/>
    <w:lvlOverride w:ilvl="0">
      <w:startOverride w:val="1"/>
    </w:lvlOverride>
  </w:num>
  <w:num w:numId="101">
    <w:abstractNumId w:val="10"/>
  </w:num>
  <w:num w:numId="102">
    <w:abstractNumId w:val="10"/>
  </w:num>
  <w:num w:numId="103">
    <w:abstractNumId w:val="11"/>
  </w:num>
  <w:num w:numId="104">
    <w:abstractNumId w:val="11"/>
  </w:num>
  <w:num w:numId="105">
    <w:abstractNumId w:val="11"/>
  </w:num>
  <w:num w:numId="106">
    <w:abstractNumId w:val="11"/>
  </w:num>
  <w:num w:numId="107">
    <w:abstractNumId w:val="11"/>
  </w:num>
  <w:num w:numId="108">
    <w:abstractNumId w:val="11"/>
  </w:num>
  <w:num w:numId="109">
    <w:abstractNumId w:val="11"/>
  </w:num>
  <w:num w:numId="110">
    <w:abstractNumId w:val="11"/>
  </w:num>
  <w:num w:numId="111">
    <w:abstractNumId w:val="11"/>
  </w:num>
  <w:num w:numId="112">
    <w:abstractNumId w:val="11"/>
  </w:num>
  <w:num w:numId="113">
    <w:abstractNumId w:val="11"/>
  </w:num>
  <w:num w:numId="114">
    <w:abstractNumId w:val="11"/>
  </w:num>
  <w:num w:numId="115">
    <w:abstractNumId w:val="11"/>
  </w:num>
  <w:num w:numId="116">
    <w:abstractNumId w:val="11"/>
  </w:num>
  <w:num w:numId="117">
    <w:abstractNumId w:val="11"/>
  </w:num>
  <w:num w:numId="118">
    <w:abstractNumId w:val="11"/>
  </w:num>
  <w:num w:numId="119">
    <w:abstractNumId w:val="11"/>
  </w:num>
  <w:num w:numId="120">
    <w:abstractNumId w:val="11"/>
  </w:num>
  <w:num w:numId="121">
    <w:abstractNumId w:val="11"/>
  </w:num>
  <w:num w:numId="122">
    <w:abstractNumId w:val="11"/>
  </w:num>
  <w:num w:numId="123">
    <w:abstractNumId w:val="11"/>
  </w:num>
  <w:num w:numId="124">
    <w:abstractNumId w:val="11"/>
  </w:num>
  <w:num w:numId="125">
    <w:abstractNumId w:val="11"/>
  </w:num>
  <w:num w:numId="126">
    <w:abstractNumId w:val="11"/>
  </w:num>
  <w:num w:numId="127">
    <w:abstractNumId w:val="11"/>
  </w:num>
  <w:num w:numId="128">
    <w:abstractNumId w:val="11"/>
  </w:num>
  <w:num w:numId="129">
    <w:abstractNumId w:val="11"/>
  </w:num>
  <w:num w:numId="130">
    <w:abstractNumId w:val="11"/>
  </w:num>
  <w:num w:numId="131">
    <w:abstractNumId w:val="11"/>
  </w:num>
  <w:num w:numId="132">
    <w:abstractNumId w:val="11"/>
  </w:num>
  <w:num w:numId="133">
    <w:abstractNumId w:val="11"/>
  </w:num>
  <w:num w:numId="134">
    <w:abstractNumId w:val="11"/>
  </w:num>
  <w:num w:numId="135">
    <w:abstractNumId w:val="11"/>
  </w:num>
  <w:num w:numId="136">
    <w:abstractNumId w:val="11"/>
  </w:num>
  <w:num w:numId="137">
    <w:abstractNumId w:val="11"/>
  </w:num>
  <w:num w:numId="138">
    <w:abstractNumId w:val="11"/>
  </w:num>
  <w:num w:numId="139">
    <w:abstractNumId w:val="11"/>
  </w:num>
  <w:num w:numId="140">
    <w:abstractNumId w:val="11"/>
  </w:num>
  <w:num w:numId="141">
    <w:abstractNumId w:val="11"/>
  </w:num>
  <w:num w:numId="142">
    <w:abstractNumId w:val="11"/>
  </w:num>
  <w:num w:numId="143">
    <w:abstractNumId w:val="11"/>
  </w:num>
  <w:num w:numId="144">
    <w:abstractNumId w:val="11"/>
  </w:num>
  <w:num w:numId="145">
    <w:abstractNumId w:val="11"/>
  </w:num>
  <w:num w:numId="146">
    <w:abstractNumId w:val="11"/>
  </w:num>
  <w:num w:numId="147">
    <w:abstractNumId w:val="11"/>
  </w:num>
  <w:num w:numId="148">
    <w:abstractNumId w:val="11"/>
  </w:num>
  <w:num w:numId="149">
    <w:abstractNumId w:val="11"/>
  </w:num>
  <w:num w:numId="150">
    <w:abstractNumId w:val="11"/>
  </w:num>
  <w:num w:numId="151">
    <w:abstractNumId w:val="11"/>
  </w:num>
  <w:num w:numId="152">
    <w:abstractNumId w:val="11"/>
  </w:num>
  <w:num w:numId="153">
    <w:abstractNumId w:val="11"/>
  </w:num>
  <w:num w:numId="154">
    <w:abstractNumId w:val="11"/>
  </w:num>
  <w:num w:numId="155">
    <w:abstractNumId w:val="11"/>
  </w:num>
  <w:num w:numId="156">
    <w:abstractNumId w:val="11"/>
  </w:num>
  <w:num w:numId="157">
    <w:abstractNumId w:val="11"/>
  </w:num>
  <w:num w:numId="158">
    <w:abstractNumId w:val="11"/>
  </w:num>
  <w:num w:numId="159">
    <w:abstractNumId w:val="11"/>
  </w:num>
  <w:num w:numId="160">
    <w:abstractNumId w:val="11"/>
  </w:num>
  <w:num w:numId="161">
    <w:abstractNumId w:val="11"/>
  </w:num>
  <w:num w:numId="162">
    <w:abstractNumId w:val="11"/>
  </w:num>
  <w:num w:numId="163">
    <w:abstractNumId w:val="11"/>
  </w:num>
  <w:num w:numId="164">
    <w:abstractNumId w:val="11"/>
  </w:num>
  <w:num w:numId="165">
    <w:abstractNumId w:val="11"/>
  </w:num>
  <w:num w:numId="166">
    <w:abstractNumId w:val="11"/>
  </w:num>
  <w:num w:numId="167">
    <w:abstractNumId w:val="11"/>
  </w:num>
  <w:num w:numId="168">
    <w:abstractNumId w:val="11"/>
  </w:num>
  <w:num w:numId="169">
    <w:abstractNumId w:val="11"/>
  </w:num>
  <w:num w:numId="170">
    <w:abstractNumId w:val="11"/>
  </w:num>
  <w:num w:numId="171">
    <w:abstractNumId w:val="11"/>
  </w:num>
  <w:num w:numId="172">
    <w:abstractNumId w:val="11"/>
  </w:num>
  <w:num w:numId="173">
    <w:abstractNumId w:val="11"/>
  </w:num>
  <w:num w:numId="174">
    <w:abstractNumId w:val="11"/>
  </w:num>
  <w:num w:numId="175">
    <w:abstractNumId w:val="11"/>
  </w:num>
  <w:num w:numId="176">
    <w:abstractNumId w:val="11"/>
  </w:num>
  <w:num w:numId="177">
    <w:abstractNumId w:val="11"/>
  </w:num>
  <w:num w:numId="178">
    <w:abstractNumId w:val="11"/>
  </w:num>
  <w:num w:numId="179">
    <w:abstractNumId w:val="11"/>
  </w:num>
  <w:num w:numId="180">
    <w:abstractNumId w:val="11"/>
  </w:num>
  <w:num w:numId="181">
    <w:abstractNumId w:val="11"/>
  </w:num>
  <w:num w:numId="182">
    <w:abstractNumId w:val="11"/>
  </w:num>
  <w:num w:numId="183">
    <w:abstractNumId w:val="11"/>
  </w:num>
  <w:num w:numId="184">
    <w:abstractNumId w:val="11"/>
  </w:num>
  <w:num w:numId="185">
    <w:abstractNumId w:val="11"/>
  </w:num>
  <w:num w:numId="186">
    <w:abstractNumId w:val="11"/>
  </w:num>
  <w:num w:numId="187">
    <w:abstractNumId w:val="11"/>
  </w:num>
  <w:num w:numId="188">
    <w:abstractNumId w:val="11"/>
  </w:num>
</w:numbering>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textAlignment w:val="baseline"/>
    </w:pPr>
    <w:rPr>
      <w:rFonts w:ascii="Calibri" w:hAnsi="Calibri" w:eastAsia="Calibri" w:cs="Arial"/>
      <w:color w:val="auto"/>
      <w:kern w:val="0"/>
      <w:sz w:val="22"/>
      <w:szCs w:val="22"/>
      <w:lang w:val="pt-BR" w:eastAsia="en-US" w:bidi="ar-SA"/>
    </w:rPr>
  </w:style>
  <w:style w:type="paragraph" w:styleId="Heading1">
    <w:name w:val="Heading 1"/>
    <w:basedOn w:val="Standard"/>
    <w:next w:val="Standard"/>
    <w:uiPriority w:val="9"/>
    <w:qFormat/>
    <w:pPr>
      <w:keepNext w:val="true"/>
      <w:keepLines/>
      <w:spacing w:before="240" w:after="0"/>
      <w:outlineLvl w:val="0"/>
    </w:pPr>
    <w:rPr>
      <w:rFonts w:ascii="Calibri Light" w:hAnsi="Calibri Light" w:eastAsia="Calibri" w:cs="Times New Roman"/>
      <w:color w:val="2F5496"/>
      <w:sz w:val="32"/>
      <w:szCs w:val="32"/>
    </w:rPr>
  </w:style>
  <w:style w:type="paragraph" w:styleId="Heading2">
    <w:name w:val="Heading 2"/>
    <w:basedOn w:val="Ttulos"/>
    <w:next w:val="Standard"/>
    <w:uiPriority w:val="9"/>
    <w:unhideWhenUsed/>
    <w:qFormat/>
    <w:pPr>
      <w:numPr>
        <w:ilvl w:val="1"/>
        <w:numId w:val="1"/>
      </w:numPr>
      <w:pBdr>
        <w:bottom w:val="nil"/>
      </w:pBdr>
      <w:outlineLvl w:val="1"/>
    </w:pPr>
    <w:rPr/>
  </w:style>
  <w:style w:type="paragraph" w:styleId="Heading3">
    <w:name w:val="Heading 3"/>
    <w:basedOn w:val="Standard"/>
    <w:next w:val="Standard"/>
    <w:uiPriority w:val="9"/>
    <w:unhideWhenUsed/>
    <w:qFormat/>
    <w:pPr>
      <w:spacing w:lineRule="auto" w:line="288" w:before="240" w:after="0"/>
      <w:outlineLvl w:val="2"/>
    </w:pPr>
    <w:rPr>
      <w:i/>
      <w:color w:val="808080"/>
    </w:rPr>
  </w:style>
  <w:style w:type="character" w:styleId="DefaultParagraphFont" w:default="1">
    <w:name w:val="Default Paragraph Font"/>
    <w:uiPriority w:val="1"/>
    <w:semiHidden/>
    <w:unhideWhenUsed/>
    <w:qFormat/>
    <w:rPr/>
  </w:style>
  <w:style w:type="character" w:styleId="NoticiasChar" w:customStyle="1">
    <w:name w:val="noticias Char"/>
    <w:basedOn w:val="DefaultParagraphFont"/>
    <w:qFormat/>
    <w:rPr>
      <w:rFonts w:ascii="Arial" w:hAnsi="Arial" w:eastAsia="Arial" w:cs="Arial"/>
    </w:rPr>
  </w:style>
  <w:style w:type="character" w:styleId="CitaesChar" w:customStyle="1">
    <w:name w:val="citações Char"/>
    <w:basedOn w:val="DefaultParagraphFont"/>
    <w:qFormat/>
    <w:rPr>
      <w:rFonts w:ascii="Times New Roman" w:hAnsi="Times New Roman" w:eastAsia="Times New Roman" w:cs="Times New Roman"/>
      <w:szCs w:val="24"/>
    </w:rPr>
  </w:style>
  <w:style w:type="character" w:styleId="CitaoChar" w:customStyle="1">
    <w:name w:val="Citação Char"/>
    <w:basedOn w:val="DefaultParagraphFont"/>
    <w:qFormat/>
    <w:rPr>
      <w:rFonts w:ascii="Times New Roman" w:hAnsi="Times New Roman" w:eastAsia="Times New Roman" w:cs="Times New Roman"/>
      <w:color w:val="000000"/>
      <w:sz w:val="24"/>
      <w:szCs w:val="24"/>
    </w:rPr>
  </w:style>
  <w:style w:type="character" w:styleId="Ttulo1Char" w:customStyle="1">
    <w:name w:val="Título 1 Char"/>
    <w:basedOn w:val="DefaultParagraphFont"/>
    <w:qFormat/>
    <w:rPr>
      <w:rFonts w:ascii="Calibri Light" w:hAnsi="Calibri Light" w:eastAsia="Calibri" w:cs="Times New Roman"/>
      <w:color w:val="2F5496"/>
      <w:sz w:val="32"/>
      <w:szCs w:val="32"/>
      <w:lang w:eastAsia="pt-BR"/>
    </w:rPr>
  </w:style>
  <w:style w:type="character" w:styleId="Ttulo2Char" w:customStyle="1">
    <w:name w:val="Título 2 Char"/>
    <w:basedOn w:val="DefaultParagraphFont"/>
    <w:qFormat/>
    <w:rPr>
      <w:rFonts w:ascii="Arial" w:hAnsi="Arial" w:eastAsia="Times New Roman" w:cs="Arial"/>
      <w:b/>
      <w:color w:val="000000"/>
      <w:sz w:val="24"/>
      <w:szCs w:val="24"/>
      <w:lang w:eastAsia="pt-BR"/>
    </w:rPr>
  </w:style>
  <w:style w:type="character" w:styleId="Ttulo3Char" w:customStyle="1">
    <w:name w:val="Título 3 Char"/>
    <w:basedOn w:val="DefaultParagraphFont"/>
    <w:qFormat/>
    <w:rPr>
      <w:rFonts w:ascii="Arial" w:hAnsi="Arial" w:eastAsia="Times New Roman" w:cs="Arial"/>
      <w:i/>
      <w:color w:val="808080"/>
      <w:sz w:val="24"/>
      <w:szCs w:val="24"/>
      <w:lang w:eastAsia="pt-BR"/>
    </w:rPr>
  </w:style>
  <w:style w:type="character" w:styleId="TpicoChar" w:customStyle="1">
    <w:name w:val="Tópico Char"/>
    <w:basedOn w:val="DefaultParagraphFont"/>
    <w:qFormat/>
    <w:rPr>
      <w:rFonts w:ascii="Times New Roman" w:hAnsi="Times New Roman" w:eastAsia="Times New Roman" w:cs="Times New Roman"/>
      <w:sz w:val="24"/>
      <w:szCs w:val="24"/>
      <w:lang w:eastAsia="pt-BR"/>
    </w:rPr>
  </w:style>
  <w:style w:type="character" w:styleId="IncisoChar" w:customStyle="1">
    <w:name w:val="Inciso Char"/>
    <w:basedOn w:val="DefaultParagraphFont"/>
    <w:qFormat/>
    <w:rPr>
      <w:rFonts w:ascii="Arial" w:hAnsi="Arial" w:eastAsia="Times New Roman" w:cs="Arial"/>
      <w:sz w:val="24"/>
      <w:szCs w:val="24"/>
      <w:lang w:eastAsia="pt-BR"/>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rFonts w:ascii="Arial" w:hAnsi="Arial" w:eastAsia="Times New Roman" w:cs="Arial"/>
      <w:sz w:val="20"/>
      <w:szCs w:val="20"/>
      <w:lang w:eastAsia="pt-BR"/>
    </w:rPr>
  </w:style>
  <w:style w:type="character" w:styleId="TextodebaloChar" w:customStyle="1">
    <w:name w:val="Texto de balão Char"/>
    <w:basedOn w:val="DefaultParagraphFont"/>
    <w:qFormat/>
    <w:rPr>
      <w:rFonts w:ascii="Segoe UI" w:hAnsi="Segoe UI" w:eastAsia="Times New Roman" w:cs="Segoe UI"/>
      <w:sz w:val="18"/>
      <w:szCs w:val="18"/>
      <w:lang w:eastAsia="pt-BR"/>
    </w:rPr>
  </w:style>
  <w:style w:type="character" w:styleId="Internetlink" w:customStyle="1">
    <w:name w:val="Internet link"/>
    <w:basedOn w:val="DefaultParagraphFont"/>
    <w:qFormat/>
    <w:rPr>
      <w:color w:val="0000FF"/>
      <w:u w:val="single"/>
    </w:rPr>
  </w:style>
  <w:style w:type="character" w:styleId="AssuntodocomentrioChar" w:customStyle="1">
    <w:name w:val="Assunto do comentário Char"/>
    <w:basedOn w:val="TextodecomentrioChar"/>
    <w:qFormat/>
    <w:rPr>
      <w:rFonts w:ascii="Arial" w:hAnsi="Arial" w:eastAsia="Times New Roman" w:cs="Arial"/>
      <w:b/>
      <w:bCs/>
      <w:sz w:val="20"/>
      <w:szCs w:val="20"/>
      <w:lang w:eastAsia="pt-BR"/>
    </w:rPr>
  </w:style>
  <w:style w:type="character" w:styleId="PargrafodaListaChar" w:customStyle="1">
    <w:name w:val="Parágrafo da Lista Char"/>
    <w:basedOn w:val="DefaultParagraphFont"/>
    <w:qFormat/>
    <w:rPr>
      <w:rFonts w:ascii="Arial" w:hAnsi="Arial" w:eastAsia="Times New Roman" w:cs="Arial"/>
      <w:sz w:val="24"/>
      <w:szCs w:val="24"/>
      <w:lang w:eastAsia="pt-BR"/>
    </w:rPr>
  </w:style>
  <w:style w:type="character" w:styleId="CabealhoChar" w:customStyle="1">
    <w:name w:val="Cabeçalho Char"/>
    <w:basedOn w:val="DefaultParagraphFont"/>
    <w:qFormat/>
    <w:rPr>
      <w:rFonts w:ascii="Arial" w:hAnsi="Arial" w:eastAsia="Times New Roman" w:cs="Arial"/>
      <w:sz w:val="24"/>
      <w:szCs w:val="24"/>
      <w:lang w:eastAsia="pt-BR"/>
    </w:rPr>
  </w:style>
  <w:style w:type="character" w:styleId="RodapChar" w:customStyle="1">
    <w:name w:val="Rodapé Char"/>
    <w:basedOn w:val="DefaultParagraphFont"/>
    <w:qFormat/>
    <w:rPr>
      <w:rFonts w:ascii="Arial" w:hAnsi="Arial" w:eastAsia="Times New Roman" w:cs="Arial"/>
      <w:sz w:val="24"/>
      <w:szCs w:val="24"/>
      <w:lang w:eastAsia="pt-BR"/>
    </w:rPr>
  </w:style>
  <w:style w:type="character" w:styleId="PlaceholderText">
    <w:name w:val="Placeholder Text"/>
    <w:basedOn w:val="DefaultParagraphFont"/>
    <w:qFormat/>
    <w:rPr>
      <w:color w:val="808080"/>
    </w:rPr>
  </w:style>
  <w:style w:type="character" w:styleId="StrongEmphasis" w:customStyle="1">
    <w:name w:val="Strong Emphasis"/>
    <w:basedOn w:val="DefaultParagraphFont"/>
    <w:qFormat/>
    <w:rPr>
      <w:b/>
      <w:bCs/>
    </w:rPr>
  </w:style>
  <w:style w:type="character" w:styleId="MenoPendente1" w:customStyle="1">
    <w:name w:val="Menção Pendente1"/>
    <w:basedOn w:val="DefaultParagraphFont"/>
    <w:qFormat/>
    <w:rPr>
      <w:color w:val="605E5C"/>
      <w:shd w:fill="E1DFDD" w:val="clear"/>
    </w:rPr>
  </w:style>
  <w:style w:type="character" w:styleId="NormalWebChar" w:customStyle="1">
    <w:name w:val="Normal (Web) Char"/>
    <w:basedOn w:val="DefaultParagraphFont"/>
    <w:qFormat/>
    <w:rPr>
      <w:rFonts w:ascii="Times New Roman" w:hAnsi="Times New Roman" w:eastAsia="Times New Roman" w:cs="Times New Roman"/>
      <w:sz w:val="24"/>
      <w:szCs w:val="24"/>
      <w:lang w:eastAsia="pt-BR"/>
    </w:rPr>
  </w:style>
  <w:style w:type="character" w:styleId="TR-PBChar" w:customStyle="1">
    <w:name w:val="TR - PB Char"/>
    <w:basedOn w:val="NormalWebChar"/>
    <w:qFormat/>
    <w:rPr>
      <w:rFonts w:ascii="Arial" w:hAnsi="Arial" w:eastAsia="Times New Roman" w:cs="Arial"/>
      <w:b/>
      <w:bCs/>
      <w:sz w:val="24"/>
      <w:szCs w:val="24"/>
      <w:lang w:eastAsia="pt-BR"/>
    </w:rPr>
  </w:style>
  <w:style w:type="character" w:styleId="3onivel111Char" w:customStyle="1">
    <w:name w:val="3o nivel 1.1.1 Char"/>
    <w:basedOn w:val="Ttulo2Char"/>
    <w:qFormat/>
    <w:rPr>
      <w:rFonts w:ascii="Arial" w:hAnsi="Arial" w:eastAsia="Times New Roman" w:cs="Arial"/>
      <w:b w:val="false"/>
      <w:bCs/>
      <w:color w:val="000000"/>
      <w:sz w:val="24"/>
      <w:szCs w:val="24"/>
      <w:u w:val="single"/>
      <w:lang w:eastAsia="pt-BR"/>
    </w:rPr>
  </w:style>
  <w:style w:type="character" w:styleId="CorpodetextoChar" w:customStyle="1">
    <w:name w:val="Corpo de texto Char"/>
    <w:basedOn w:val="DefaultParagraphFont"/>
    <w:qFormat/>
    <w:rPr>
      <w:rFonts w:ascii="Times New Roman" w:hAnsi="Times New Roman" w:eastAsia="Times New Roman" w:cs="Times New Roman"/>
      <w:sz w:val="24"/>
      <w:szCs w:val="24"/>
      <w:lang w:val="en-US"/>
    </w:rPr>
  </w:style>
  <w:style w:type="character" w:styleId="Cf01" w:customStyle="1">
    <w:name w:val="cf01"/>
    <w:basedOn w:val="DefaultParagraphFont"/>
    <w:qFormat/>
    <w:rPr>
      <w:rFonts w:ascii="Segoe UI" w:hAnsi="Segoe UI" w:eastAsia="Segoe UI" w:cs="Segoe UI"/>
      <w:sz w:val="18"/>
      <w:szCs w:val="18"/>
    </w:rPr>
  </w:style>
  <w:style w:type="character" w:styleId="Cf11" w:customStyle="1">
    <w:name w:val="cf11"/>
    <w:basedOn w:val="DefaultParagraphFont"/>
    <w:qFormat/>
    <w:rPr>
      <w:rFonts w:ascii="Segoe UI" w:hAnsi="Segoe UI" w:eastAsia="Segoe UI" w:cs="Segoe UI"/>
      <w:b/>
      <w:bCs/>
      <w:sz w:val="18"/>
      <w:szCs w:val="18"/>
    </w:rPr>
  </w:style>
  <w:style w:type="character" w:styleId="Tpico1Char" w:customStyle="1">
    <w:name w:val="Tópico 1 Char"/>
    <w:basedOn w:val="PargrafodaListaChar"/>
    <w:qFormat/>
    <w:rPr>
      <w:rFonts w:ascii="Arial" w:hAnsi="Arial" w:eastAsia="Times New Roman" w:cs="Arial"/>
      <w:b/>
      <w:bCs/>
      <w:iCs/>
      <w:color w:val="808080"/>
      <w:sz w:val="24"/>
      <w:szCs w:val="24"/>
      <w:lang w:eastAsia="pt-BR"/>
    </w:rPr>
  </w:style>
  <w:style w:type="character" w:styleId="Tpico2Char" w:customStyle="1">
    <w:name w:val="Tópico 2 Char"/>
    <w:basedOn w:val="PargrafodaListaChar"/>
    <w:qFormat/>
    <w:rPr>
      <w:rFonts w:ascii="Arial" w:hAnsi="Arial" w:eastAsia="Times New Roman" w:cs="Arial"/>
      <w:b/>
      <w:bCs/>
      <w:iCs/>
      <w:sz w:val="24"/>
      <w:szCs w:val="24"/>
      <w:lang w:eastAsia="pt-BR"/>
    </w:rPr>
  </w:style>
  <w:style w:type="character" w:styleId="Tpico3Char" w:customStyle="1">
    <w:name w:val="Tópico 3 Char"/>
    <w:basedOn w:val="PargrafodaListaChar"/>
    <w:qFormat/>
    <w:rPr>
      <w:rFonts w:ascii="Arial" w:hAnsi="Arial" w:eastAsia="Times New Roman" w:cs="Arial"/>
      <w:b/>
      <w:bCs/>
      <w:iCs/>
      <w:sz w:val="24"/>
      <w:szCs w:val="24"/>
      <w:lang w:eastAsia="pt-BR"/>
    </w:rPr>
  </w:style>
  <w:style w:type="character" w:styleId="TtuloChar" w:customStyle="1">
    <w:name w:val="Título Char"/>
    <w:basedOn w:val="DefaultParagraphFont"/>
    <w:qFormat/>
    <w:rPr>
      <w:rFonts w:ascii="Arial" w:hAnsi="Arial" w:eastAsia="Times New Roman" w:cs="Arial"/>
      <w:b/>
      <w:bCs/>
      <w:sz w:val="24"/>
      <w:szCs w:val="24"/>
      <w:lang w:eastAsia="pt-BR"/>
    </w:rPr>
  </w:style>
  <w:style w:type="character" w:styleId="PargrafoChar" w:customStyle="1">
    <w:name w:val="parágrafo Char"/>
    <w:basedOn w:val="DefaultParagraphFont"/>
    <w:qFormat/>
    <w:rPr>
      <w:rFonts w:ascii="Arial" w:hAnsi="Arial" w:eastAsia="Calibri" w:cs="Arial"/>
      <w:sz w:val="24"/>
    </w:rPr>
  </w:style>
  <w:style w:type="character" w:styleId="ArtChar" w:customStyle="1">
    <w:name w:val="Art. Char"/>
    <w:basedOn w:val="DefaultParagraphFont"/>
    <w:qFormat/>
    <w:rPr>
      <w:rFonts w:ascii="Arial" w:hAnsi="Arial" w:eastAsia="Calibri" w:cs="Arial"/>
      <w:sz w:val="24"/>
    </w:rPr>
  </w:style>
  <w:style w:type="character" w:styleId="ListaChar" w:customStyle="1">
    <w:name w:val="Lista Char"/>
    <w:basedOn w:val="DefaultParagraphFont"/>
    <w:qFormat/>
    <w:rPr>
      <w:rFonts w:ascii="Arial" w:hAnsi="Arial" w:eastAsia="Times New Roman" w:cs="Arial"/>
      <w:sz w:val="24"/>
      <w:szCs w:val="24"/>
      <w:lang w:eastAsia="pt-BR"/>
    </w:rPr>
  </w:style>
  <w:style w:type="character" w:styleId="Tpico4Char" w:customStyle="1">
    <w:name w:val="Tópico 4 Char"/>
    <w:basedOn w:val="ListaChar"/>
    <w:qFormat/>
    <w:rPr>
      <w:rFonts w:ascii="Arial" w:hAnsi="Arial" w:eastAsia="Times New Roman" w:cs="Arial"/>
      <w:sz w:val="24"/>
      <w:szCs w:val="24"/>
      <w:lang w:eastAsia="pt-BR"/>
    </w:rPr>
  </w:style>
  <w:style w:type="character" w:styleId="Tpico5Char" w:customStyle="1">
    <w:name w:val="Tópico 5 Char"/>
    <w:basedOn w:val="Tpico4Char"/>
    <w:qFormat/>
    <w:rPr>
      <w:rFonts w:ascii="Arial" w:hAnsi="Arial" w:eastAsia="Times New Roman" w:cs="Arial"/>
      <w:sz w:val="24"/>
      <w:szCs w:val="24"/>
      <w:lang w:eastAsia="pt-BR"/>
    </w:rPr>
  </w:style>
  <w:style w:type="character" w:styleId="MenoPendente2" w:customStyle="1">
    <w:name w:val="Menção Pendente2"/>
    <w:basedOn w:val="DefaultParagraphFont"/>
    <w:qFormat/>
    <w:rPr>
      <w:color w:val="605E5C"/>
      <w:shd w:fill="E1DFDD" w:val="clear"/>
    </w:rPr>
  </w:style>
  <w:style w:type="character" w:styleId="VisitedInternetLink" w:customStyle="1">
    <w:name w:val="Visited Internet Link"/>
    <w:basedOn w:val="DefaultParagraphFont"/>
    <w:qFormat/>
    <w:rPr>
      <w:color w:val="954F72"/>
      <w:u w:val="single"/>
    </w:rPr>
  </w:style>
  <w:style w:type="character" w:styleId="ARTIGO10Char" w:customStyle="1">
    <w:name w:val="ARTIGO   10  + Char"/>
    <w:basedOn w:val="DefaultParagraphFont"/>
    <w:qFormat/>
    <w:rPr>
      <w:rFonts w:ascii="Arial" w:hAnsi="Arial" w:eastAsia="Calibri" w:cs="Arial"/>
      <w:sz w:val="24"/>
      <w:szCs w:val="24"/>
    </w:rPr>
  </w:style>
  <w:style w:type="character" w:styleId="ExpandidoChar" w:customStyle="1">
    <w:name w:val="Expandido Char"/>
    <w:basedOn w:val="DefaultParagraphFont"/>
    <w:qFormat/>
    <w:rPr>
      <w:rFonts w:ascii="Segoe UI" w:hAnsi="Segoe UI" w:eastAsia="Times New Roman" w:cs="Times New Roman"/>
      <w:color w:val="385623"/>
      <w:sz w:val="18"/>
      <w:szCs w:val="24"/>
      <w:lang w:eastAsia="pt-BR"/>
    </w:rPr>
  </w:style>
  <w:style w:type="character" w:styleId="Cf21" w:customStyle="1">
    <w:name w:val="cf21"/>
    <w:basedOn w:val="DefaultParagraphFont"/>
    <w:qFormat/>
    <w:rPr>
      <w:rFonts w:ascii="Segoe UI" w:hAnsi="Segoe UI" w:eastAsia="Segoe UI" w:cs="Segoe UI"/>
      <w:b/>
      <w:bCs/>
      <w:sz w:val="18"/>
      <w:szCs w:val="18"/>
    </w:rPr>
  </w:style>
  <w:style w:type="character" w:styleId="Apple-converted-space" w:customStyle="1">
    <w:name w:val="apple-converted-space"/>
    <w:basedOn w:val="DefaultParagraphFont"/>
    <w:qFormat/>
    <w:rPr/>
  </w:style>
  <w:style w:type="character" w:styleId="QuebrasChar" w:customStyle="1">
    <w:name w:val="Quebras Char"/>
    <w:basedOn w:val="DefaultParagraphFont"/>
    <w:qFormat/>
    <w:rPr>
      <w:rFonts w:ascii="Arial" w:hAnsi="Arial" w:eastAsia="Times New Roman" w:cs="Arial"/>
      <w:i/>
      <w:iCs/>
      <w:color w:val="808080"/>
      <w:sz w:val="2"/>
      <w:szCs w:val="2"/>
      <w:lang w:eastAsia="pt-BR"/>
    </w:rPr>
  </w:style>
  <w:style w:type="character" w:styleId="MenoPendente3" w:customStyle="1">
    <w:name w:val="Menção Pendente3"/>
    <w:basedOn w:val="DefaultParagraphFont"/>
    <w:qFormat/>
    <w:rPr>
      <w:color w:val="605E5C"/>
      <w:shd w:fill="E1DFDD" w:val="clear"/>
    </w:rPr>
  </w:style>
  <w:style w:type="character" w:styleId="Nvel2-RedChar" w:customStyle="1">
    <w:name w:val="Nível 2 -Red Char"/>
    <w:basedOn w:val="DefaultParagraphFont"/>
    <w:qFormat/>
    <w:rPr>
      <w:rFonts w:ascii="Arial" w:hAnsi="Arial" w:eastAsia="Arial" w:cs="Arial"/>
      <w:i/>
      <w:iCs/>
      <w:color w:val="FF0000"/>
      <w:sz w:val="20"/>
      <w:szCs w:val="20"/>
      <w:lang w:eastAsia="pt-BR"/>
    </w:rPr>
  </w:style>
  <w:style w:type="character" w:styleId="Nvel3-RChar" w:customStyle="1">
    <w:name w:val="Nível 3-R Char"/>
    <w:basedOn w:val="DefaultParagraphFont"/>
    <w:qFormat/>
    <w:rPr>
      <w:rFonts w:ascii="Arial" w:hAnsi="Arial" w:eastAsia="Calibri" w:cs="Arial"/>
      <w:i/>
      <w:iCs/>
      <w:color w:val="FF0000"/>
      <w:sz w:val="20"/>
      <w:szCs w:val="20"/>
      <w:lang w:eastAsia="pt-BR"/>
    </w:rPr>
  </w:style>
  <w:style w:type="character" w:styleId="Nvel1-SemNumChar" w:customStyle="1">
    <w:name w:val="Nível 1-Sem Num Char"/>
    <w:basedOn w:val="DefaultParagraphFont"/>
    <w:qFormat/>
    <w:rPr>
      <w:rFonts w:ascii="Arial" w:hAnsi="Arial" w:eastAsia="Calibri" w:cs="Arial"/>
      <w:b/>
      <w:bCs/>
      <w:color w:val="FF0000"/>
      <w:sz w:val="20"/>
      <w:szCs w:val="20"/>
      <w:lang w:eastAsia="pt-BR"/>
    </w:rPr>
  </w:style>
  <w:style w:type="character" w:styleId="Nivel2Char" w:customStyle="1">
    <w:name w:val="Nivel 2 Char"/>
    <w:basedOn w:val="DefaultParagraphFont"/>
    <w:qFormat/>
    <w:rPr>
      <w:rFonts w:ascii="Arial" w:hAnsi="Arial" w:eastAsia="Times New Roman" w:cs="Arial"/>
      <w:i/>
      <w:iCs/>
      <w:sz w:val="24"/>
      <w:szCs w:val="24"/>
      <w:lang w:eastAsia="pt-BR"/>
    </w:rPr>
  </w:style>
  <w:style w:type="character" w:styleId="OuChar" w:customStyle="1">
    <w:name w:val="ou Char"/>
    <w:basedOn w:val="PargrafodaListaChar"/>
    <w:qFormat/>
    <w:rPr>
      <w:rFonts w:ascii="Arial" w:hAnsi="Arial" w:eastAsia="Calibri" w:cs="Arial"/>
      <w:b/>
      <w:bCs/>
      <w:i/>
      <w:iCs/>
      <w:color w:val="FF0000"/>
      <w:sz w:val="20"/>
      <w:szCs w:val="24"/>
      <w:u w:val="single"/>
      <w:lang w:eastAsia="pt-BR"/>
    </w:rPr>
  </w:style>
  <w:style w:type="character" w:styleId="Nvel1-SemNumPretoChar" w:customStyle="1">
    <w:name w:val="Nível 1-Sem Num Preto Char"/>
    <w:basedOn w:val="Nvel1-SemNumChar"/>
    <w:qFormat/>
    <w:rPr>
      <w:rFonts w:ascii="Arial" w:hAnsi="Arial" w:eastAsia="Calibri" w:cs="Arial"/>
      <w:b/>
      <w:bCs/>
      <w:color w:val="FF0000"/>
      <w:sz w:val="20"/>
      <w:szCs w:val="20"/>
      <w:lang w:eastAsia="zh-CN" w:bidi="hi-IN"/>
    </w:rPr>
  </w:style>
  <w:style w:type="paragraph" w:styleId="Ttulo" w:customStyle="1">
    <w:name w:val="Título"/>
    <w:basedOn w:val="Standard"/>
    <w:next w:val="Textbody"/>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Standard"/>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Standard"/>
    <w:qFormat/>
    <w:pPr>
      <w:suppressLineNumbers/>
    </w:pPr>
    <w:rPr/>
  </w:style>
  <w:style w:type="paragraph" w:styleId="Standard" w:customStyle="1">
    <w:name w:val="Standard"/>
    <w:qFormat/>
    <w:pPr>
      <w:widowControl/>
      <w:suppressAutoHyphens w:val="true"/>
      <w:bidi w:val="0"/>
      <w:spacing w:lineRule="atLeast" w:line="280" w:before="120" w:after="120"/>
      <w:jc w:val="both"/>
      <w:textAlignment w:val="baseline"/>
    </w:pPr>
    <w:rPr>
      <w:rFonts w:ascii="Arial" w:hAnsi="Arial" w:eastAsia="Times New Roman" w:cs="Arial"/>
      <w:color w:val="auto"/>
      <w:kern w:val="0"/>
      <w:sz w:val="24"/>
      <w:szCs w:val="24"/>
      <w:lang w:val="pt-BR" w:eastAsia="pt-BR" w:bidi="ar-SA"/>
    </w:rPr>
  </w:style>
  <w:style w:type="paragraph" w:styleId="Textbody" w:customStyle="1">
    <w:name w:val="Text body"/>
    <w:basedOn w:val="Standard"/>
    <w:qFormat/>
    <w:pPr>
      <w:widowControl w:val="false"/>
      <w:spacing w:lineRule="auto" w:line="240" w:before="0" w:after="0"/>
      <w:jc w:val="left"/>
    </w:pPr>
    <w:rPr>
      <w:rFonts w:ascii="Times New Roman" w:hAnsi="Times New Roman" w:cs="Times New Roman"/>
      <w:lang w:val="en-US" w:eastAsia="en-US"/>
    </w:rPr>
  </w:style>
  <w:style w:type="paragraph" w:styleId="Caption1">
    <w:name w:val="caption1"/>
    <w:basedOn w:val="Standard"/>
    <w:qFormat/>
    <w:pPr>
      <w:suppressLineNumbers/>
    </w:pPr>
    <w:rPr>
      <w:i/>
      <w:iCs/>
    </w:rPr>
  </w:style>
  <w:style w:type="paragraph" w:styleId="Noticias" w:customStyle="1">
    <w:name w:val="noticias"/>
    <w:qFormat/>
    <w:pPr>
      <w:widowControl/>
      <w:suppressAutoHyphens w:val="true"/>
      <w:bidi w:val="0"/>
      <w:spacing w:before="120" w:after="0"/>
      <w:jc w:val="both"/>
      <w:textAlignment w:val="baseline"/>
    </w:pPr>
    <w:rPr>
      <w:rFonts w:ascii="Arial" w:hAnsi="Arial" w:eastAsia="Arial" w:cs="Arial"/>
      <w:color w:val="auto"/>
      <w:kern w:val="0"/>
      <w:sz w:val="22"/>
      <w:szCs w:val="22"/>
      <w:lang w:val="pt-BR" w:eastAsia="en-US" w:bidi="ar-SA"/>
    </w:rPr>
  </w:style>
  <w:style w:type="paragraph" w:styleId="Citaes" w:customStyle="1">
    <w:name w:val="citações"/>
    <w:basedOn w:val="Standard"/>
    <w:qFormat/>
    <w:pPr>
      <w:spacing w:lineRule="auto" w:line="264"/>
      <w:ind w:left="2268"/>
    </w:pPr>
    <w:rPr>
      <w:rFonts w:ascii="Times New Roman" w:hAnsi="Times New Roman" w:cs="Times New Roman"/>
    </w:rPr>
  </w:style>
  <w:style w:type="paragraph" w:styleId="Quote">
    <w:name w:val="Quote"/>
    <w:basedOn w:val="Standard"/>
    <w:next w:val="Standard"/>
    <w:qFormat/>
    <w:pPr>
      <w:spacing w:lineRule="auto" w:line="264"/>
      <w:ind w:left="2268"/>
    </w:pPr>
    <w:rPr>
      <w:rFonts w:ascii="Times New Roman" w:hAnsi="Times New Roman"/>
      <w:color w:val="000000"/>
    </w:rPr>
  </w:style>
  <w:style w:type="paragraph" w:styleId="NormalWeb">
    <w:name w:val="Normal (Web)"/>
    <w:basedOn w:val="Standard"/>
    <w:qFormat/>
    <w:pPr>
      <w:spacing w:lineRule="auto" w:line="240" w:before="280" w:after="280"/>
    </w:pPr>
    <w:rPr>
      <w:rFonts w:ascii="Times New Roman" w:hAnsi="Times New Roman" w:cs="Times New Roman"/>
    </w:rPr>
  </w:style>
  <w:style w:type="paragraph" w:styleId="Tpico" w:customStyle="1">
    <w:name w:val="Tópico"/>
    <w:basedOn w:val="NormalWeb"/>
    <w:qFormat/>
    <w:pPr>
      <w:numPr>
        <w:ilvl w:val="0"/>
        <w:numId w:val="3"/>
      </w:numPr>
    </w:pPr>
    <w:rPr/>
  </w:style>
  <w:style w:type="paragraph" w:styleId="Ttulos" w:customStyle="1">
    <w:name w:val="Títulos"/>
    <w:basedOn w:val="Standard"/>
    <w:next w:val="Standard"/>
    <w:qFormat/>
    <w:pPr>
      <w:keepNext w:val="true"/>
      <w:numPr>
        <w:ilvl w:val="0"/>
        <w:numId w:val="4"/>
      </w:numPr>
      <w:pBdr>
        <w:bottom w:val="double" w:sz="12" w:space="1" w:color="000000"/>
      </w:pBdr>
      <w:spacing w:lineRule="auto" w:line="240" w:before="360" w:after="0"/>
    </w:pPr>
    <w:rPr>
      <w:b/>
      <w:color w:val="000000"/>
    </w:rPr>
  </w:style>
  <w:style w:type="paragraph" w:styleId="Inciso" w:customStyle="1">
    <w:name w:val="Inciso"/>
    <w:basedOn w:val="ListParagraph"/>
    <w:qFormat/>
    <w:pPr>
      <w:numPr>
        <w:ilvl w:val="0"/>
        <w:numId w:val="2"/>
      </w:numPr>
      <w:spacing w:lineRule="auto" w:line="264" w:before="240" w:after="0"/>
    </w:pPr>
    <w:rPr/>
  </w:style>
  <w:style w:type="paragraph" w:styleId="ListParagraph">
    <w:name w:val="List Paragraph"/>
    <w:basedOn w:val="Standard"/>
    <w:qFormat/>
    <w:pPr>
      <w:ind w:left="720"/>
    </w:pPr>
    <w:rPr/>
  </w:style>
  <w:style w:type="paragraph" w:styleId="Marginalia" w:customStyle="1">
    <w:name w:val="Marginalia"/>
    <w:basedOn w:val="Standard"/>
    <w:qFormat/>
    <w:pPr>
      <w:spacing w:lineRule="auto" w:line="240"/>
    </w:pPr>
    <w:rPr>
      <w:sz w:val="20"/>
      <w:szCs w:val="20"/>
    </w:rPr>
  </w:style>
  <w:style w:type="paragraph" w:styleId="BalloonText">
    <w:name w:val="Balloon Text"/>
    <w:basedOn w:val="Standard"/>
    <w:qFormat/>
    <w:pPr>
      <w:spacing w:lineRule="auto" w:line="240" w:before="120" w:after="0"/>
    </w:pPr>
    <w:rPr>
      <w:rFonts w:ascii="Segoe UI" w:hAnsi="Segoe UI" w:eastAsia="Segoe UI" w:cs="Segoe UI"/>
      <w:sz w:val="18"/>
      <w:szCs w:val="18"/>
    </w:rPr>
  </w:style>
  <w:style w:type="paragraph" w:styleId="Corpo" w:customStyle="1">
    <w:name w:val="corpo"/>
    <w:basedOn w:val="Standard"/>
    <w:qFormat/>
    <w:pPr>
      <w:spacing w:lineRule="auto" w:line="240" w:before="280" w:after="280"/>
    </w:pPr>
    <w:rPr>
      <w:rFonts w:ascii="Times New Roman" w:hAnsi="Times New Roman" w:cs="Times New Roman"/>
    </w:rPr>
  </w:style>
  <w:style w:type="paragraph" w:styleId="Artigo" w:customStyle="1">
    <w:name w:val="artigo"/>
    <w:basedOn w:val="Standard"/>
    <w:qFormat/>
    <w:pPr>
      <w:spacing w:lineRule="auto" w:line="240" w:before="280" w:after="280"/>
    </w:pPr>
    <w:rPr>
      <w:rFonts w:ascii="Times New Roman" w:hAnsi="Times New Roman" w:cs="Times New Roman"/>
    </w:rPr>
  </w:style>
  <w:style w:type="paragraph" w:styleId="Annotationsubject">
    <w:name w:val="annotation subject"/>
    <w:basedOn w:val="Marginalia"/>
    <w:next w:val="Marginalia"/>
    <w:qFormat/>
    <w:pPr/>
    <w:rPr>
      <w:b/>
      <w:bCs/>
    </w:rPr>
  </w:style>
  <w:style w:type="paragraph" w:styleId="NoSpacing">
    <w:name w:val="No Spacing"/>
    <w:qFormat/>
    <w:pPr>
      <w:widowControl/>
      <w:suppressAutoHyphens w:val="true"/>
      <w:bidi w:val="0"/>
      <w:spacing w:before="0" w:after="0"/>
      <w:jc w:val="both"/>
      <w:textAlignment w:val="baseline"/>
    </w:pPr>
    <w:rPr>
      <w:rFonts w:ascii="Arial" w:hAnsi="Arial" w:eastAsia="Times New Roman" w:cs="Arial"/>
      <w:color w:val="auto"/>
      <w:kern w:val="0"/>
      <w:sz w:val="22"/>
      <w:szCs w:val="24"/>
      <w:lang w:val="pt-BR" w:eastAsia="pt-BR" w:bidi="ar-SA"/>
    </w:rPr>
  </w:style>
  <w:style w:type="paragraph" w:styleId="Revision">
    <w:name w:val="Revision"/>
    <w:qFormat/>
    <w:pPr>
      <w:widowControl/>
      <w:suppressAutoHyphens w:val="true"/>
      <w:bidi w:val="0"/>
      <w:spacing w:before="0" w:after="0"/>
      <w:jc w:val="left"/>
      <w:textAlignment w:val="baseline"/>
    </w:pPr>
    <w:rPr>
      <w:rFonts w:ascii="Arial" w:hAnsi="Arial" w:eastAsia="Times New Roman" w:cs="Arial"/>
      <w:color w:val="auto"/>
      <w:kern w:val="0"/>
      <w:sz w:val="22"/>
      <w:szCs w:val="24"/>
      <w:lang w:val="pt-BR" w:eastAsia="pt-BR" w:bidi="ar-SA"/>
    </w:rPr>
  </w:style>
  <w:style w:type="paragraph" w:styleId="CabealhoeRodap" w:customStyle="1">
    <w:name w:val="Cabeçalho e Rodapé"/>
    <w:basedOn w:val="Standard"/>
    <w:qFormat/>
    <w:pPr/>
    <w:rPr/>
  </w:style>
  <w:style w:type="paragraph" w:styleId="Header">
    <w:name w:val="Header"/>
    <w:basedOn w:val="Standard"/>
    <w:pPr>
      <w:tabs>
        <w:tab w:val="clear" w:pos="708"/>
        <w:tab w:val="center" w:pos="4252" w:leader="none"/>
        <w:tab w:val="right" w:pos="8504" w:leader="none"/>
      </w:tabs>
      <w:spacing w:lineRule="auto" w:line="240" w:before="0" w:after="0"/>
    </w:pPr>
    <w:rPr/>
  </w:style>
  <w:style w:type="paragraph" w:styleId="Footer">
    <w:name w:val="Footer"/>
    <w:basedOn w:val="Standard"/>
    <w:pPr>
      <w:tabs>
        <w:tab w:val="clear" w:pos="708"/>
        <w:tab w:val="center" w:pos="4252" w:leader="none"/>
        <w:tab w:val="right" w:pos="8504" w:leader="none"/>
      </w:tabs>
      <w:spacing w:lineRule="auto" w:line="240" w:before="0" w:after="0"/>
    </w:pPr>
    <w:rPr/>
  </w:style>
  <w:style w:type="paragraph" w:styleId="Tabelatextocentralizado" w:customStyle="1">
    <w:name w:val="tabela_texto_centralizado"/>
    <w:basedOn w:val="Standard"/>
    <w:qFormat/>
    <w:pPr>
      <w:spacing w:lineRule="auto" w:line="240" w:before="280" w:after="280"/>
      <w:jc w:val="left"/>
    </w:pPr>
    <w:rPr>
      <w:rFonts w:ascii="Times New Roman" w:hAnsi="Times New Roman" w:cs="Times New Roman"/>
    </w:rPr>
  </w:style>
  <w:style w:type="paragraph" w:styleId="TR-PB" w:customStyle="1">
    <w:name w:val="TR - PB"/>
    <w:basedOn w:val="NormalWeb"/>
    <w:qFormat/>
    <w:pPr>
      <w:spacing w:before="280" w:after="0"/>
      <w:jc w:val="center"/>
    </w:pPr>
    <w:rPr>
      <w:rFonts w:ascii="Arial" w:hAnsi="Arial" w:eastAsia="Arial" w:cs="Arial"/>
      <w:b/>
      <w:bCs/>
    </w:rPr>
  </w:style>
  <w:style w:type="paragraph" w:styleId="3onivel111" w:customStyle="1">
    <w:name w:val="3o nivel 1.1.1"/>
    <w:basedOn w:val="Heading2"/>
    <w:qFormat/>
    <w:pPr>
      <w:keepNext w:val="false"/>
      <w:numPr>
        <w:ilvl w:val="0"/>
        <w:numId w:val="0"/>
      </w:numPr>
      <w:tabs>
        <w:tab w:val="clear" w:pos="708"/>
        <w:tab w:val="left" w:pos="1702" w:leader="none"/>
      </w:tabs>
      <w:spacing w:before="240" w:after="120"/>
      <w:ind w:hanging="851" w:left="851"/>
    </w:pPr>
    <w:rPr>
      <w:b w:val="false"/>
      <w:bCs/>
      <w:u w:val="single"/>
    </w:rPr>
  </w:style>
  <w:style w:type="paragraph" w:styleId="TableParagraph" w:customStyle="1">
    <w:name w:val="Table Paragraph"/>
    <w:basedOn w:val="Standard"/>
    <w:qFormat/>
    <w:pPr>
      <w:widowControl w:val="false"/>
      <w:spacing w:lineRule="auto" w:line="240" w:before="0" w:after="0"/>
      <w:jc w:val="left"/>
    </w:pPr>
    <w:rPr>
      <w:rFonts w:ascii="Times New Roman" w:hAnsi="Times New Roman" w:cs="Times New Roman"/>
      <w:szCs w:val="22"/>
      <w:lang w:val="en-US" w:eastAsia="en-US"/>
    </w:rPr>
  </w:style>
  <w:style w:type="paragraph" w:styleId="Pf0" w:customStyle="1">
    <w:name w:val="pf0"/>
    <w:basedOn w:val="Standard"/>
    <w:qFormat/>
    <w:pPr>
      <w:spacing w:lineRule="auto" w:line="240" w:before="280" w:after="280"/>
      <w:jc w:val="left"/>
    </w:pPr>
    <w:rPr>
      <w:rFonts w:ascii="Times New Roman" w:hAnsi="Times New Roman" w:cs="Times New Roman"/>
    </w:rPr>
  </w:style>
  <w:style w:type="paragraph" w:styleId="Tpico1" w:customStyle="1">
    <w:name w:val="Tópico 1"/>
    <w:basedOn w:val="ListParagraph"/>
    <w:qFormat/>
    <w:pPr>
      <w:keepNext w:val="true"/>
      <w:pBdr>
        <w:bottom w:val="double" w:sz="12" w:space="1" w:color="000000"/>
      </w:pBdr>
      <w:spacing w:lineRule="auto" w:line="288" w:before="360" w:after="240"/>
      <w:ind w:hanging="425" w:left="425"/>
    </w:pPr>
    <w:rPr>
      <w:b/>
      <w:bCs/>
      <w:iCs/>
      <w:color w:val="808080"/>
    </w:rPr>
  </w:style>
  <w:style w:type="paragraph" w:styleId="Tpico2" w:customStyle="1">
    <w:name w:val="Tópico 2"/>
    <w:basedOn w:val="ListParagraph"/>
    <w:qFormat/>
    <w:pPr>
      <w:pBdr>
        <w:bottom w:val="single" w:sz="4" w:space="1" w:color="000000"/>
      </w:pBdr>
      <w:spacing w:lineRule="auto" w:line="288" w:before="360" w:after="240"/>
    </w:pPr>
    <w:rPr>
      <w:b/>
      <w:bCs/>
      <w:iCs/>
    </w:rPr>
  </w:style>
  <w:style w:type="paragraph" w:styleId="Tpico3" w:customStyle="1">
    <w:name w:val="Tópico 3"/>
    <w:basedOn w:val="ListParagraph"/>
    <w:qFormat/>
    <w:pPr>
      <w:numPr>
        <w:ilvl w:val="0"/>
        <w:numId w:val="5"/>
      </w:numPr>
      <w:spacing w:lineRule="auto" w:line="288" w:before="360" w:after="240"/>
    </w:pPr>
    <w:rPr>
      <w:b/>
      <w:bCs/>
      <w:iCs/>
    </w:rPr>
  </w:style>
  <w:style w:type="paragraph" w:styleId="Title">
    <w:name w:val="Title"/>
    <w:basedOn w:val="Standard"/>
    <w:next w:val="Standard"/>
    <w:uiPriority w:val="10"/>
    <w:qFormat/>
    <w:pPr>
      <w:spacing w:lineRule="auto" w:line="252" w:before="0" w:after="120"/>
      <w:jc w:val="center"/>
    </w:pPr>
    <w:rPr>
      <w:b/>
      <w:bCs/>
    </w:rPr>
  </w:style>
  <w:style w:type="paragraph" w:styleId="Pargrafo" w:customStyle="1">
    <w:name w:val="parágrafo"/>
    <w:basedOn w:val="Art"/>
    <w:autoRedefine/>
    <w:qFormat/>
    <w:pPr/>
    <w:rPr/>
  </w:style>
  <w:style w:type="paragraph" w:styleId="Art" w:customStyle="1">
    <w:name w:val="Art."/>
    <w:basedOn w:val="ListParagraph"/>
    <w:qFormat/>
    <w:pPr>
      <w:tabs>
        <w:tab w:val="clear" w:pos="708"/>
        <w:tab w:val="left" w:pos="737" w:leader="none"/>
        <w:tab w:val="left" w:pos="907" w:leader="none"/>
        <w:tab w:val="left" w:pos="1077" w:leader="none"/>
      </w:tabs>
      <w:spacing w:lineRule="auto" w:line="264" w:before="120" w:after="0"/>
      <w:ind w:left="0"/>
    </w:pPr>
    <w:rPr>
      <w:rFonts w:eastAsia="Calibri"/>
      <w:szCs w:val="22"/>
      <w:lang w:eastAsia="en-US"/>
    </w:rPr>
  </w:style>
  <w:style w:type="paragraph" w:styleId="Tpico4" w:customStyle="1">
    <w:name w:val="Tópico 4"/>
    <w:basedOn w:val="List"/>
    <w:qFormat/>
    <w:pPr>
      <w:tabs>
        <w:tab w:val="clear" w:pos="708"/>
        <w:tab w:val="left" w:pos="993" w:leader="none"/>
      </w:tabs>
      <w:spacing w:before="240" w:after="240"/>
    </w:pPr>
    <w:rPr/>
  </w:style>
  <w:style w:type="paragraph" w:styleId="Tpico5" w:customStyle="1">
    <w:name w:val="Tópico 5"/>
    <w:basedOn w:val="Tpico4"/>
    <w:qFormat/>
    <w:pPr>
      <w:ind w:hanging="1134" w:left="1134"/>
    </w:pPr>
    <w:rPr/>
  </w:style>
  <w:style w:type="paragraph" w:styleId="Alinea10" w:customStyle="1">
    <w:name w:val="Alinea 10+"/>
    <w:basedOn w:val="Standard"/>
    <w:qFormat/>
    <w:pPr>
      <w:spacing w:lineRule="auto" w:line="288" w:before="120" w:after="0"/>
    </w:pPr>
    <w:rPr>
      <w:rFonts w:eastAsia="Calibri"/>
      <w:lang w:eastAsia="en-US"/>
    </w:rPr>
  </w:style>
  <w:style w:type="paragraph" w:styleId="ARTIGO10" w:customStyle="1">
    <w:name w:val="ARTIGO   10  +"/>
    <w:basedOn w:val="Standard"/>
    <w:qFormat/>
    <w:pPr>
      <w:spacing w:lineRule="auto" w:line="288" w:before="120" w:after="0"/>
    </w:pPr>
    <w:rPr>
      <w:rFonts w:eastAsia="Calibri"/>
      <w:lang w:eastAsia="en-US"/>
    </w:rPr>
  </w:style>
  <w:style w:type="paragraph" w:styleId="Incisodeartigo10" w:customStyle="1">
    <w:name w:val="Inciso de artigo 10 +"/>
    <w:basedOn w:val="Standard"/>
    <w:qFormat/>
    <w:pPr>
      <w:spacing w:lineRule="auto" w:line="288" w:before="120" w:after="0"/>
    </w:pPr>
    <w:rPr>
      <w:rFonts w:eastAsia="Calibri"/>
      <w:lang w:eastAsia="en-US"/>
    </w:rPr>
  </w:style>
  <w:style w:type="paragraph" w:styleId="10" w:customStyle="1">
    <w:name w:val="§   10  +"/>
    <w:basedOn w:val="Standard"/>
    <w:qFormat/>
    <w:pPr>
      <w:spacing w:lineRule="auto" w:line="288" w:before="120" w:after="0"/>
    </w:pPr>
    <w:rPr>
      <w:rFonts w:eastAsia="Calibri"/>
      <w:lang w:eastAsia="en-US"/>
    </w:rPr>
  </w:style>
  <w:style w:type="paragraph" w:styleId="Incisode10" w:customStyle="1">
    <w:name w:val="Inciso de § 10 +"/>
    <w:basedOn w:val="10"/>
    <w:qFormat/>
    <w:pPr>
      <w:numPr>
        <w:ilvl w:val="0"/>
        <w:numId w:val="7"/>
      </w:numPr>
    </w:pPr>
    <w:rPr/>
  </w:style>
  <w:style w:type="paragraph" w:styleId="Expandido" w:customStyle="1">
    <w:name w:val="Expandido"/>
    <w:basedOn w:val="Standard"/>
    <w:qFormat/>
    <w:pPr>
      <w:spacing w:lineRule="auto" w:line="240" w:before="0" w:after="0"/>
      <w:ind w:left="1701"/>
    </w:pPr>
    <w:rPr>
      <w:rFonts w:ascii="Segoe UI" w:hAnsi="Segoe UI" w:eastAsia="Segoe UI" w:cs="Times New Roman"/>
      <w:color w:val="385623"/>
      <w:sz w:val="18"/>
    </w:rPr>
  </w:style>
  <w:style w:type="paragraph" w:styleId="Quebras" w:customStyle="1">
    <w:name w:val="Quebras"/>
    <w:basedOn w:val="Standard"/>
    <w:qFormat/>
    <w:pPr>
      <w:tabs>
        <w:tab w:val="clear" w:pos="708"/>
        <w:tab w:val="left" w:pos="567" w:leader="none"/>
        <w:tab w:val="left" w:pos="1256" w:leader="none"/>
      </w:tabs>
      <w:spacing w:lineRule="auto" w:line="240" w:before="0" w:after="0"/>
    </w:pPr>
    <w:rPr>
      <w:i/>
      <w:iCs/>
      <w:color w:val="808080"/>
      <w:sz w:val="2"/>
      <w:szCs w:val="2"/>
    </w:rPr>
  </w:style>
  <w:style w:type="paragraph" w:styleId="Nivel01" w:customStyle="1">
    <w:name w:val="Nivel 01"/>
    <w:basedOn w:val="Heading1"/>
    <w:next w:val="Standard"/>
    <w:autoRedefine/>
    <w:qFormat/>
    <w:pPr>
      <w:tabs>
        <w:tab w:val="clear" w:pos="708"/>
        <w:tab w:val="left" w:pos="567" w:leader="none"/>
      </w:tabs>
      <w:spacing w:lineRule="auto" w:line="276" w:before="240" w:after="120"/>
    </w:pPr>
    <w:rPr>
      <w:rFonts w:ascii="Arial" w:hAnsi="Arial" w:eastAsia="Arial" w:cs="Arial"/>
      <w:b/>
      <w:bCs/>
      <w:color w:val="auto"/>
      <w:sz w:val="20"/>
      <w:szCs w:val="20"/>
    </w:rPr>
  </w:style>
  <w:style w:type="paragraph" w:styleId="Nivel2" w:customStyle="1">
    <w:name w:val="Nivel 2"/>
    <w:basedOn w:val="Standard"/>
    <w:autoRedefine/>
    <w:qFormat/>
    <w:pPr>
      <w:spacing w:lineRule="auto" w:line="240" w:before="0" w:after="0"/>
    </w:pPr>
    <w:rPr>
      <w:i/>
      <w:iCs/>
    </w:rPr>
  </w:style>
  <w:style w:type="paragraph" w:styleId="Nivel3" w:customStyle="1">
    <w:name w:val="Nivel 3"/>
    <w:basedOn w:val="Standard"/>
    <w:autoRedefine/>
    <w:qFormat/>
    <w:pPr>
      <w:spacing w:lineRule="auto" w:line="276"/>
    </w:pPr>
    <w:rPr>
      <w:rFonts w:eastAsia="Calibri"/>
      <w:color w:val="000000"/>
      <w:sz w:val="20"/>
      <w:szCs w:val="20"/>
    </w:rPr>
  </w:style>
  <w:style w:type="paragraph" w:styleId="Nivel4" w:customStyle="1">
    <w:name w:val="Nivel 4"/>
    <w:basedOn w:val="Nivel3"/>
    <w:autoRedefine/>
    <w:qFormat/>
    <w:pPr>
      <w:ind w:left="567"/>
    </w:pPr>
    <w:rPr>
      <w:color w:val="auto"/>
    </w:rPr>
  </w:style>
  <w:style w:type="paragraph" w:styleId="Nivel5" w:customStyle="1">
    <w:name w:val="Nivel 5"/>
    <w:basedOn w:val="Nivel4"/>
    <w:autoRedefine/>
    <w:qFormat/>
    <w:pPr>
      <w:numPr>
        <w:ilvl w:val="0"/>
        <w:numId w:val="8"/>
      </w:numPr>
    </w:pPr>
    <w:rPr/>
  </w:style>
  <w:style w:type="paragraph" w:styleId="Nvel2-Red" w:customStyle="1">
    <w:name w:val="Nível 2 -Red"/>
    <w:basedOn w:val="Nivel2"/>
    <w:qFormat/>
    <w:pPr/>
    <w:rPr>
      <w:i w:val="false"/>
      <w:iCs w:val="false"/>
      <w:color w:val="FF0000"/>
    </w:rPr>
  </w:style>
  <w:style w:type="paragraph" w:styleId="Nvel3-R" w:customStyle="1">
    <w:name w:val="Nível 3-R"/>
    <w:basedOn w:val="Nivel3"/>
    <w:autoRedefine/>
    <w:qFormat/>
    <w:pPr>
      <w:numPr>
        <w:ilvl w:val="0"/>
        <w:numId w:val="6"/>
      </w:numPr>
    </w:pPr>
    <w:rPr>
      <w:i/>
      <w:iCs/>
      <w:color w:val="FF0000"/>
    </w:rPr>
  </w:style>
  <w:style w:type="paragraph" w:styleId="Nvel1-SemNum" w:customStyle="1">
    <w:name w:val="Nível 1-Sem Num"/>
    <w:basedOn w:val="Nivel01"/>
    <w:autoRedefine/>
    <w:qFormat/>
    <w:pPr>
      <w:outlineLvl w:val="1"/>
    </w:pPr>
    <w:rPr>
      <w:color w:val="FF0000"/>
    </w:rPr>
  </w:style>
  <w:style w:type="paragraph" w:styleId="Ou" w:customStyle="1">
    <w:name w:val="ou"/>
    <w:basedOn w:val="ListParagraph"/>
    <w:qFormat/>
    <w:pPr>
      <w:spacing w:lineRule="auto" w:line="252" w:before="60" w:after="60"/>
      <w:ind w:left="0"/>
      <w:jc w:val="center"/>
    </w:pPr>
    <w:rPr>
      <w:rFonts w:eastAsia="Calibri"/>
      <w:b/>
      <w:bCs/>
      <w:i/>
      <w:iCs/>
      <w:color w:val="FF0000"/>
      <w:sz w:val="20"/>
      <w:u w:val="single"/>
    </w:rPr>
  </w:style>
  <w:style w:type="paragraph" w:styleId="Nivel3-erro" w:customStyle="1">
    <w:name w:val="Nivel 3-erro"/>
    <w:basedOn w:val="Nivel3"/>
    <w:qFormat/>
    <w:pPr>
      <w:numPr>
        <w:ilvl w:val="0"/>
        <w:numId w:val="9"/>
      </w:numPr>
      <w:spacing w:lineRule="auto" w:line="240"/>
    </w:pPr>
    <w:rPr>
      <w:rFonts w:cs="Tahoma"/>
      <w:color w:val="auto"/>
      <w:szCs w:val="24"/>
    </w:rPr>
  </w:style>
  <w:style w:type="paragraph" w:styleId="Nvel1-SemNumPreto" w:customStyle="1">
    <w:name w:val="Nível 1-Sem Num Preto"/>
    <w:basedOn w:val="Nvel1-SemNum"/>
    <w:qFormat/>
    <w:pPr/>
    <w:rPr>
      <w:lang w:eastAsia="zh-CN" w:bidi="hi-IN"/>
    </w:rPr>
  </w:style>
  <w:style w:type="paragraph" w:styleId="Contedodatabela" w:customStyle="1">
    <w:name w:val="Conteúdo da tabela"/>
    <w:basedOn w:val="Standard"/>
    <w:qFormat/>
    <w:pPr>
      <w:widowControl w:val="false"/>
      <w:suppressLineNumbers/>
    </w:pPr>
    <w:rPr/>
  </w:style>
  <w:style w:type="paragraph" w:styleId="Ttulodetabela" w:customStyle="1">
    <w:name w:val="Título de tabela"/>
    <w:basedOn w:val="Contedodatabela"/>
    <w:qFormat/>
    <w:pPr>
      <w:jc w:val="center"/>
    </w:pPr>
    <w:rPr>
      <w:b/>
      <w:bCs/>
    </w:rPr>
  </w:style>
  <w:style w:type="numbering" w:styleId="NoList" w:customStyle="1">
    <w:name w:val="No List"/>
    <w:qFormat/>
  </w:style>
  <w:style w:type="numbering" w:styleId="WWOutlineListStyle" w:customStyle="1">
    <w:name w:val="WW_OutlineListStyle"/>
    <w:qFormat/>
  </w:style>
  <w:style w:type="numbering" w:styleId="Estilo1" w:customStyle="1">
    <w:name w:val="Estilo1"/>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TotalTime>
  <Application>LibreOffice/7.6.4.1$Windows_X86_64 LibreOffice_project/e19e193f88cd6c0525a17fb7a176ed8e6a3e2aa1</Application>
  <AppVersion>15.0000</AppVersion>
  <Pages>21</Pages>
  <Words>5214</Words>
  <Characters>30699</Characters>
  <CharactersWithSpaces>35843</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2026-09-08T12:25:00Z</dcterms:created>
  <dc:creator>Felipe Boselli</dc:creator>
  <dc:description/>
  <dc:language>pt-BR</dc:language>
  <cp:lastModifiedBy/>
  <cp:lastPrinted>2026-09-08T14:17:01Z</cp:lastPrinted>
  <dcterms:modified xsi:type="dcterms:W3CDTF">2026-09-08T14:28:04Z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