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869" w:rsidRPr="00C21869" w:rsidRDefault="00C21869" w:rsidP="00C21869">
      <w:pPr>
        <w:pStyle w:val="isselectedend"/>
        <w:tabs>
          <w:tab w:val="right" w:pos="8931"/>
        </w:tabs>
        <w:rPr>
          <w:u w:val="single"/>
        </w:rPr>
      </w:pPr>
      <w:r w:rsidRPr="00C21869">
        <w:rPr>
          <w:rStyle w:val="Forte"/>
          <w:u w:val="single"/>
        </w:rPr>
        <w:t>SERVIÇO AUTÔNOMO DE ÁGUA E ESGOTO – SAAE RIO DAS PEDRAS/SP</w:t>
      </w:r>
    </w:p>
    <w:p w:rsidR="00C21869" w:rsidRDefault="00C21869" w:rsidP="00C21869">
      <w:pPr>
        <w:pStyle w:val="isselectedend"/>
        <w:jc w:val="center"/>
      </w:pPr>
      <w:r>
        <w:rPr>
          <w:rStyle w:val="Forte"/>
        </w:rPr>
        <w:t>AVISO DE CONTRATAÇÃO DIRETA</w:t>
      </w:r>
      <w:r>
        <w:br/>
      </w:r>
      <w:r w:rsidR="00EF745A">
        <w:rPr>
          <w:rStyle w:val="Forte"/>
        </w:rPr>
        <w:t xml:space="preserve">DISPENSA </w:t>
      </w:r>
      <w:proofErr w:type="gramStart"/>
      <w:r w:rsidR="00EF745A">
        <w:rPr>
          <w:rStyle w:val="Forte"/>
        </w:rPr>
        <w:t>ELETRÔNICA Nº</w:t>
      </w:r>
      <w:proofErr w:type="gramEnd"/>
      <w:r w:rsidR="00EF745A">
        <w:rPr>
          <w:rStyle w:val="Forte"/>
        </w:rPr>
        <w:t xml:space="preserve"> 49</w:t>
      </w:r>
      <w:r>
        <w:rPr>
          <w:rStyle w:val="Forte"/>
        </w:rPr>
        <w:t>/2026</w:t>
      </w:r>
      <w:r>
        <w:br/>
      </w:r>
      <w:r w:rsidR="00EF745A">
        <w:rPr>
          <w:rStyle w:val="Forte"/>
        </w:rPr>
        <w:t>PROCESSO ADMINISTRATIVO Nº 2155</w:t>
      </w:r>
      <w:r>
        <w:rPr>
          <w:rStyle w:val="Forte"/>
        </w:rPr>
        <w:t>/2026</w:t>
      </w:r>
    </w:p>
    <w:p w:rsidR="00C21869" w:rsidRDefault="00C21869" w:rsidP="00C21869">
      <w:pPr>
        <w:pStyle w:val="isselectedend"/>
      </w:pPr>
      <w:r>
        <w:t>O Serviço Autônomo de Água e Esgoto – SAAE, por intermédio do Agente de Contratação, torna público, para conhecimento dos interessados, que realizará DISPENSA ELETRÔNICA, com critério de julgamento de menor preço unitário, em razão do valor, com fundamento no artigo 75, inciso II, da Lei Federal nº 14.133/2021, Lei Complementar nº 123/2006 e alterações posteriores, bem como na Instrução Normativa nº 04/2023, conforme condições, quantidades e exigências estabelecidas neste Aviso de Contratação Direta e seus anexos.</w:t>
      </w:r>
    </w:p>
    <w:p w:rsidR="00C21869" w:rsidRDefault="00C21869" w:rsidP="00C21869">
      <w:pPr>
        <w:pStyle w:val="isselectedend"/>
      </w:pPr>
      <w:r>
        <w:rPr>
          <w:rStyle w:val="Forte"/>
        </w:rPr>
        <w:t>INFORMAÇÕES GERAIS</w:t>
      </w:r>
    </w:p>
    <w:p w:rsidR="00BE2834" w:rsidRDefault="00C21869" w:rsidP="00C21869">
      <w:pPr>
        <w:pStyle w:val="isselectedend"/>
        <w:rPr>
          <w:rStyle w:val="Forte"/>
        </w:rPr>
      </w:pPr>
      <w:r>
        <w:rPr>
          <w:rStyle w:val="Forte"/>
        </w:rPr>
        <w:t>OBJETO:</w:t>
      </w:r>
    </w:p>
    <w:p w:rsidR="00BE2834" w:rsidRDefault="00BE2834" w:rsidP="00C21869">
      <w:pPr>
        <w:pStyle w:val="isselectedend"/>
      </w:pPr>
      <w:r w:rsidRPr="00BE2834">
        <w:t>Analisador digital para determinação de íons fluoreto em água pelo método SPADNS, destinado à utilização laboratorial.</w:t>
      </w:r>
    </w:p>
    <w:p w:rsidR="00C21869" w:rsidRDefault="00C21869" w:rsidP="00C21869">
      <w:pPr>
        <w:pStyle w:val="isselectedend"/>
      </w:pPr>
      <w:r>
        <w:br/>
      </w:r>
      <w:r>
        <w:rPr>
          <w:rStyle w:val="Forte"/>
        </w:rPr>
        <w:t>RECEBIMENTO DAS PROPOSTAS:</w:t>
      </w:r>
      <w:r>
        <w:br/>
        <w:t xml:space="preserve">De </w:t>
      </w:r>
      <w:r w:rsidR="003B0D88">
        <w:t>2</w:t>
      </w:r>
      <w:r w:rsidR="0004210D">
        <w:t>4</w:t>
      </w:r>
      <w:r>
        <w:rPr>
          <w:rStyle w:val="Forte"/>
        </w:rPr>
        <w:t>/</w:t>
      </w:r>
      <w:r w:rsidR="00FA6AF5" w:rsidRPr="00FA6AF5">
        <w:rPr>
          <w:rStyle w:val="Forte"/>
          <w:b w:val="0"/>
        </w:rPr>
        <w:t>06</w:t>
      </w:r>
      <w:r>
        <w:t xml:space="preserve">/2026 às 08h00min até </w:t>
      </w:r>
      <w:r w:rsidR="0004210D">
        <w:t>30</w:t>
      </w:r>
      <w:r>
        <w:rPr>
          <w:rStyle w:val="Forte"/>
        </w:rPr>
        <w:t>/</w:t>
      </w:r>
      <w:r w:rsidR="00FA6AF5" w:rsidRPr="00FA6AF5">
        <w:rPr>
          <w:rStyle w:val="Forte"/>
          <w:b w:val="0"/>
        </w:rPr>
        <w:t>06</w:t>
      </w:r>
      <w:r>
        <w:t>/2026 às 07h59min.</w:t>
      </w:r>
    </w:p>
    <w:p w:rsidR="00C21869" w:rsidRDefault="00C21869" w:rsidP="00C21869">
      <w:pPr>
        <w:pStyle w:val="isselectedend"/>
      </w:pPr>
      <w:r>
        <w:rPr>
          <w:rStyle w:val="Forte"/>
        </w:rPr>
        <w:t>ENVIO DAS PROPOSTAS:</w:t>
      </w:r>
      <w:r>
        <w:br/>
        <w:t>Exclusivamente através da plataforma eletrônica BLL Compras.</w:t>
      </w:r>
    </w:p>
    <w:p w:rsidR="00C21869" w:rsidRDefault="00C21869" w:rsidP="00C21869">
      <w:pPr>
        <w:pStyle w:val="isselectedend"/>
      </w:pPr>
      <w:r>
        <w:rPr>
          <w:rStyle w:val="Forte"/>
        </w:rPr>
        <w:t>SISTEMA ELETRÔNICO UTILIZADO:</w:t>
      </w:r>
      <w:r>
        <w:br/>
        <w:t>BLL Compras.</w:t>
      </w:r>
    </w:p>
    <w:p w:rsidR="00C21869" w:rsidRDefault="00C21869" w:rsidP="00C21869">
      <w:pPr>
        <w:pStyle w:val="isselectedend"/>
      </w:pPr>
      <w:r>
        <w:rPr>
          <w:rStyle w:val="Forte"/>
        </w:rPr>
        <w:t>ENDEREÇO ELETRÔNICO:</w:t>
      </w:r>
      <w:r>
        <w:br/>
      </w:r>
      <w:hyperlink r:id="rId8" w:history="1">
        <w:r>
          <w:rPr>
            <w:rStyle w:val="Hyperlink"/>
          </w:rPr>
          <w:t>https://bll.org.br/</w:t>
        </w:r>
      </w:hyperlink>
    </w:p>
    <w:p w:rsidR="00C21869" w:rsidRDefault="00C21869" w:rsidP="00C21869">
      <w:pPr>
        <w:pStyle w:val="isselectedend"/>
      </w:pPr>
      <w:r>
        <w:rPr>
          <w:rStyle w:val="Forte"/>
        </w:rPr>
        <w:t>CRITÉRIO DE JULGAMENTO:</w:t>
      </w:r>
      <w:r>
        <w:br/>
        <w:t>Menor preço unitário.</w:t>
      </w:r>
    </w:p>
    <w:p w:rsidR="00C21869" w:rsidRDefault="00C21869" w:rsidP="00C21869">
      <w:pPr>
        <w:pStyle w:val="isselectedend"/>
      </w:pPr>
      <w:r>
        <w:rPr>
          <w:rStyle w:val="Forte"/>
        </w:rPr>
        <w:t>VALOR ESTIMADO DA CONTRATAÇÃO:</w:t>
      </w:r>
      <w:r w:rsidR="0004210D">
        <w:br/>
        <w:t>R$ 17.288,00 (dezessete mil duzentos</w:t>
      </w:r>
      <w:proofErr w:type="gramStart"/>
      <w:r w:rsidR="0004210D">
        <w:t xml:space="preserve"> </w:t>
      </w:r>
      <w:r w:rsidR="00BE2834">
        <w:t xml:space="preserve"> </w:t>
      </w:r>
      <w:proofErr w:type="gramEnd"/>
      <w:r w:rsidR="00BE2834">
        <w:t xml:space="preserve">e </w:t>
      </w:r>
      <w:r w:rsidR="0004210D">
        <w:t xml:space="preserve">oitenta e oito </w:t>
      </w:r>
      <w:r w:rsidR="00BE2834">
        <w:t>reais</w:t>
      </w:r>
      <w:r>
        <w:t>).</w:t>
      </w:r>
    </w:p>
    <w:p w:rsidR="00C21869" w:rsidRDefault="00C21869" w:rsidP="00C21869">
      <w:pPr>
        <w:pStyle w:val="isselectedend"/>
      </w:pPr>
      <w:r>
        <w:rPr>
          <w:rStyle w:val="Forte"/>
        </w:rPr>
        <w:t>DOTAÇÃO ORÇAMENTÁRIA:</w:t>
      </w:r>
      <w:r>
        <w:br/>
        <w:t>3.</w:t>
      </w:r>
      <w:r w:rsidR="00BE2834">
        <w:t>3.90.30.00 – Equipamentos de uso permanente</w:t>
      </w:r>
      <w:r>
        <w:t>.</w:t>
      </w:r>
    </w:p>
    <w:p w:rsidR="00C21869" w:rsidRDefault="00C21869" w:rsidP="00C21869">
      <w:pPr>
        <w:pStyle w:val="isselectedend"/>
      </w:pPr>
      <w:r>
        <w:rPr>
          <w:rStyle w:val="Forte"/>
        </w:rPr>
        <w:t>PREFERÊNCIA PARA ME/EPP/EQUIPARADAS:</w:t>
      </w:r>
      <w:r>
        <w:br/>
        <w:t>Sim.</w:t>
      </w:r>
    </w:p>
    <w:p w:rsidR="00C21869" w:rsidRDefault="00C21869" w:rsidP="00C21869">
      <w:pPr>
        <w:pStyle w:val="isselectedend"/>
      </w:pPr>
      <w:r>
        <w:rPr>
          <w:rStyle w:val="Forte"/>
        </w:rPr>
        <w:lastRenderedPageBreak/>
        <w:t>DA DISPUTA ELETRÔNICA:</w:t>
      </w:r>
      <w:r>
        <w:br/>
        <w:t xml:space="preserve">O período de recebimento de propostas não será inferior a </w:t>
      </w:r>
      <w:proofErr w:type="gramStart"/>
      <w:r>
        <w:t>6</w:t>
      </w:r>
      <w:proofErr w:type="gramEnd"/>
      <w:r>
        <w:t xml:space="preserve"> (seis) horas, observando-se o prazo mínimo legal previsto na legislação vigente.</w:t>
      </w:r>
    </w:p>
    <w:p w:rsidR="00C21869" w:rsidRDefault="00C21869" w:rsidP="00C21869">
      <w:pPr>
        <w:pStyle w:val="isselectedend"/>
      </w:pPr>
      <w:r>
        <w:rPr>
          <w:rStyle w:val="Forte"/>
        </w:rPr>
        <w:t>REFERÊNCIA DE TEMPO:</w:t>
      </w:r>
      <w:r>
        <w:br/>
        <w:t>Horário de Brasília – DF.</w:t>
      </w:r>
    </w:p>
    <w:p w:rsidR="00C21869" w:rsidRDefault="00C21869" w:rsidP="00C21869">
      <w:pPr>
        <w:pStyle w:val="isselectedend"/>
      </w:pPr>
      <w:r>
        <w:rPr>
          <w:rStyle w:val="Forte"/>
        </w:rPr>
        <w:t>ESCLARECIMENTOS:</w:t>
      </w:r>
      <w:r>
        <w:br/>
        <w:t>Eventuais dúvidas, pedidos de esclarecimentos e demais informações deverão ser realizados exclusivamente através do ambiente eletrônico da plataforma BLL Compras.</w:t>
      </w:r>
    </w:p>
    <w:p w:rsidR="00C21869" w:rsidRDefault="00C21869" w:rsidP="00C21869">
      <w:pPr>
        <w:pStyle w:val="isselectedend"/>
        <w:rPr>
          <w:rStyle w:val="Forte"/>
        </w:rPr>
      </w:pPr>
      <w:r>
        <w:rPr>
          <w:rStyle w:val="Forte"/>
        </w:rPr>
        <w:t>ANEXO I</w:t>
      </w:r>
    </w:p>
    <w:p w:rsidR="003426DB" w:rsidRPr="001C1765" w:rsidRDefault="003426DB" w:rsidP="003426DB">
      <w:pPr>
        <w:rPr>
          <w:szCs w:val="32"/>
        </w:rPr>
      </w:pPr>
      <w:r w:rsidRPr="001C1765">
        <w:rPr>
          <w:szCs w:val="32"/>
        </w:rPr>
        <w:t>3. DESCRIÇÃO DO OBJETO</w:t>
      </w:r>
    </w:p>
    <w:p w:rsidR="003426DB" w:rsidRPr="001C1765" w:rsidRDefault="003426DB" w:rsidP="003426DB">
      <w:pPr>
        <w:rPr>
          <w:szCs w:val="32"/>
        </w:rPr>
      </w:pPr>
      <w:r w:rsidRPr="001C1765">
        <w:rPr>
          <w:szCs w:val="32"/>
        </w:rPr>
        <w:t>Item</w:t>
      </w:r>
      <w:r w:rsidRPr="001C1765">
        <w:rPr>
          <w:szCs w:val="32"/>
        </w:rPr>
        <w:tab/>
        <w:t>Descrição</w:t>
      </w:r>
      <w:r w:rsidRPr="001C1765">
        <w:rPr>
          <w:szCs w:val="32"/>
        </w:rPr>
        <w:tab/>
        <w:t>Unidade</w:t>
      </w:r>
      <w:r w:rsidRPr="001C1765">
        <w:rPr>
          <w:szCs w:val="32"/>
        </w:rPr>
        <w:tab/>
        <w:t>Quantidade</w:t>
      </w:r>
    </w:p>
    <w:p w:rsidR="003426DB" w:rsidRPr="001C1765" w:rsidRDefault="003426DB" w:rsidP="003426DB">
      <w:pPr>
        <w:rPr>
          <w:szCs w:val="32"/>
        </w:rPr>
      </w:pPr>
      <w:r w:rsidRPr="001C1765">
        <w:rPr>
          <w:szCs w:val="32"/>
        </w:rPr>
        <w:t>01</w:t>
      </w:r>
      <w:r w:rsidRPr="001C1765">
        <w:rPr>
          <w:szCs w:val="32"/>
        </w:rPr>
        <w:tab/>
        <w:t>Analisador digital para determinação de íons fluoreto em água pelo método SPADNS, destinado à utilização laboratorial.</w:t>
      </w:r>
      <w:r w:rsidRPr="001C1765">
        <w:rPr>
          <w:szCs w:val="32"/>
        </w:rPr>
        <w:tab/>
        <w:t>Unidade</w:t>
      </w:r>
      <w:r w:rsidRPr="001C1765">
        <w:rPr>
          <w:szCs w:val="32"/>
        </w:rPr>
        <w:tab/>
      </w:r>
      <w:proofErr w:type="gramStart"/>
      <w:r w:rsidRPr="001C1765">
        <w:rPr>
          <w:szCs w:val="32"/>
        </w:rPr>
        <w:t>02</w:t>
      </w:r>
      <w:proofErr w:type="gramEnd"/>
    </w:p>
    <w:p w:rsidR="003426DB" w:rsidRPr="001C1765" w:rsidRDefault="003426DB" w:rsidP="003426DB">
      <w:pPr>
        <w:rPr>
          <w:szCs w:val="32"/>
        </w:rPr>
      </w:pPr>
      <w:r w:rsidRPr="001C1765">
        <w:rPr>
          <w:szCs w:val="32"/>
        </w:rPr>
        <w:t>4. ESPECIFICAÇÕES TÉCNICAS MÍNIMAS</w:t>
      </w:r>
    </w:p>
    <w:p w:rsidR="003426DB" w:rsidRPr="001C1765" w:rsidRDefault="003426DB" w:rsidP="003426DB">
      <w:pPr>
        <w:rPr>
          <w:szCs w:val="32"/>
        </w:rPr>
      </w:pPr>
    </w:p>
    <w:p w:rsidR="003426DB" w:rsidRPr="001C1765" w:rsidRDefault="003426DB" w:rsidP="003426DB">
      <w:pPr>
        <w:rPr>
          <w:szCs w:val="32"/>
        </w:rPr>
      </w:pPr>
      <w:r w:rsidRPr="001C1765">
        <w:rPr>
          <w:szCs w:val="32"/>
        </w:rPr>
        <w:t>Os equipamentos deverão possuir, no mínimo, as seguintes características:</w:t>
      </w:r>
    </w:p>
    <w:p w:rsidR="003426DB" w:rsidRPr="001C1765" w:rsidRDefault="003426DB" w:rsidP="003426DB">
      <w:pPr>
        <w:rPr>
          <w:szCs w:val="32"/>
        </w:rPr>
      </w:pPr>
    </w:p>
    <w:p w:rsidR="003426DB" w:rsidRPr="001C1765" w:rsidRDefault="003426DB" w:rsidP="003426DB">
      <w:pPr>
        <w:rPr>
          <w:szCs w:val="32"/>
        </w:rPr>
      </w:pPr>
      <w:r w:rsidRPr="001C1765">
        <w:rPr>
          <w:szCs w:val="32"/>
        </w:rPr>
        <w:t>Características Técnicas</w:t>
      </w:r>
    </w:p>
    <w:p w:rsidR="003426DB" w:rsidRPr="001C1765" w:rsidRDefault="003426DB" w:rsidP="003426DB">
      <w:pPr>
        <w:rPr>
          <w:szCs w:val="32"/>
        </w:rPr>
      </w:pPr>
      <w:r w:rsidRPr="001C1765">
        <w:rPr>
          <w:szCs w:val="32"/>
        </w:rPr>
        <w:t>Destinação para utilização laboratorial;</w:t>
      </w:r>
    </w:p>
    <w:p w:rsidR="003426DB" w:rsidRPr="001C1765" w:rsidRDefault="003426DB" w:rsidP="003426DB">
      <w:pPr>
        <w:rPr>
          <w:szCs w:val="32"/>
        </w:rPr>
      </w:pPr>
      <w:r w:rsidRPr="001C1765">
        <w:rPr>
          <w:szCs w:val="32"/>
        </w:rPr>
        <w:t>Determinação quantitativa de íons fluoreto em água através do método colorimétrico SPADNS;</w:t>
      </w:r>
    </w:p>
    <w:p w:rsidR="003426DB" w:rsidRPr="001C1765" w:rsidRDefault="003426DB" w:rsidP="003426DB">
      <w:pPr>
        <w:rPr>
          <w:szCs w:val="32"/>
        </w:rPr>
      </w:pPr>
      <w:r w:rsidRPr="001C1765">
        <w:rPr>
          <w:szCs w:val="32"/>
        </w:rPr>
        <w:t xml:space="preserve">Faixa mínima de leitura de 0,00 a 2,00 </w:t>
      </w:r>
      <w:proofErr w:type="spellStart"/>
      <w:proofErr w:type="gramStart"/>
      <w:r w:rsidRPr="001C1765">
        <w:rPr>
          <w:szCs w:val="32"/>
        </w:rPr>
        <w:t>mg</w:t>
      </w:r>
      <w:proofErr w:type="spellEnd"/>
      <w:proofErr w:type="gramEnd"/>
      <w:r w:rsidRPr="001C1765">
        <w:rPr>
          <w:szCs w:val="32"/>
        </w:rPr>
        <w:t>/L de fluoreto;</w:t>
      </w:r>
    </w:p>
    <w:p w:rsidR="003426DB" w:rsidRPr="001C1765" w:rsidRDefault="003426DB" w:rsidP="003426DB">
      <w:pPr>
        <w:rPr>
          <w:szCs w:val="32"/>
        </w:rPr>
      </w:pPr>
      <w:r w:rsidRPr="001C1765">
        <w:rPr>
          <w:szCs w:val="32"/>
        </w:rPr>
        <w:t xml:space="preserve">Resolução mínima de 0,01 </w:t>
      </w:r>
      <w:proofErr w:type="spellStart"/>
      <w:proofErr w:type="gramStart"/>
      <w:r w:rsidRPr="001C1765">
        <w:rPr>
          <w:szCs w:val="32"/>
        </w:rPr>
        <w:t>mg</w:t>
      </w:r>
      <w:proofErr w:type="spellEnd"/>
      <w:proofErr w:type="gramEnd"/>
      <w:r w:rsidRPr="001C1765">
        <w:rPr>
          <w:szCs w:val="32"/>
        </w:rPr>
        <w:t>/L;</w:t>
      </w:r>
    </w:p>
    <w:p w:rsidR="003426DB" w:rsidRPr="001C1765" w:rsidRDefault="003426DB" w:rsidP="003426DB">
      <w:pPr>
        <w:rPr>
          <w:szCs w:val="32"/>
        </w:rPr>
      </w:pPr>
      <w:r w:rsidRPr="001C1765">
        <w:rPr>
          <w:szCs w:val="32"/>
        </w:rPr>
        <w:t>Precisão igual ou superior a ± 1,5% do fundo de escala;</w:t>
      </w:r>
    </w:p>
    <w:p w:rsidR="003426DB" w:rsidRPr="001C1765" w:rsidRDefault="003426DB" w:rsidP="003426DB">
      <w:pPr>
        <w:rPr>
          <w:szCs w:val="32"/>
        </w:rPr>
      </w:pPr>
      <w:r w:rsidRPr="001C1765">
        <w:rPr>
          <w:szCs w:val="32"/>
        </w:rPr>
        <w:t>Sistema óptico compatível com o método SPADNS;</w:t>
      </w:r>
    </w:p>
    <w:p w:rsidR="003426DB" w:rsidRPr="001C1765" w:rsidRDefault="003426DB" w:rsidP="003426DB">
      <w:pPr>
        <w:rPr>
          <w:szCs w:val="32"/>
        </w:rPr>
      </w:pPr>
      <w:r w:rsidRPr="001C1765">
        <w:rPr>
          <w:szCs w:val="32"/>
        </w:rPr>
        <w:t>Comprimento de onda compatível com a metodologia aplicada;</w:t>
      </w:r>
    </w:p>
    <w:p w:rsidR="003426DB" w:rsidRPr="001C1765" w:rsidRDefault="003426DB" w:rsidP="003426DB">
      <w:pPr>
        <w:rPr>
          <w:szCs w:val="32"/>
        </w:rPr>
      </w:pPr>
      <w:r w:rsidRPr="001C1765">
        <w:rPr>
          <w:szCs w:val="32"/>
        </w:rPr>
        <w:t>Visor digital para apresentação dos resultados;</w:t>
      </w:r>
    </w:p>
    <w:p w:rsidR="003426DB" w:rsidRPr="001C1765" w:rsidRDefault="003426DB" w:rsidP="003426DB">
      <w:pPr>
        <w:rPr>
          <w:szCs w:val="32"/>
        </w:rPr>
      </w:pPr>
      <w:r w:rsidRPr="001C1765">
        <w:rPr>
          <w:szCs w:val="32"/>
        </w:rPr>
        <w:t>Memória interna para armazenamento de resultados ou sistema equivalente;</w:t>
      </w:r>
    </w:p>
    <w:p w:rsidR="003426DB" w:rsidRPr="001C1765" w:rsidRDefault="003426DB" w:rsidP="003426DB">
      <w:pPr>
        <w:rPr>
          <w:szCs w:val="32"/>
        </w:rPr>
      </w:pPr>
      <w:r w:rsidRPr="001C1765">
        <w:rPr>
          <w:szCs w:val="32"/>
        </w:rPr>
        <w:t>Interface USB ou equivalente para exportação de dados;</w:t>
      </w:r>
    </w:p>
    <w:p w:rsidR="003426DB" w:rsidRPr="001C1765" w:rsidRDefault="003426DB" w:rsidP="003426DB">
      <w:pPr>
        <w:rPr>
          <w:szCs w:val="32"/>
        </w:rPr>
      </w:pPr>
      <w:r w:rsidRPr="001C1765">
        <w:rPr>
          <w:szCs w:val="32"/>
        </w:rPr>
        <w:t>Possibilidade de calibração pelo usuário utilizando padrões de fluoreto;</w:t>
      </w:r>
    </w:p>
    <w:p w:rsidR="003426DB" w:rsidRPr="001C1765" w:rsidRDefault="003426DB" w:rsidP="003426DB">
      <w:pPr>
        <w:rPr>
          <w:szCs w:val="32"/>
        </w:rPr>
      </w:pPr>
      <w:r w:rsidRPr="001C1765">
        <w:rPr>
          <w:szCs w:val="32"/>
        </w:rPr>
        <w:lastRenderedPageBreak/>
        <w:t>Alimentação elétrica bivolt automática (100 a 240 V);</w:t>
      </w:r>
    </w:p>
    <w:p w:rsidR="003426DB" w:rsidRPr="001C1765" w:rsidRDefault="003426DB" w:rsidP="003426DB">
      <w:pPr>
        <w:rPr>
          <w:szCs w:val="32"/>
        </w:rPr>
      </w:pPr>
      <w:r w:rsidRPr="001C1765">
        <w:rPr>
          <w:szCs w:val="32"/>
        </w:rPr>
        <w:t>Equipamento novo, sem uso anterior e em linha regular de fabricação.</w:t>
      </w:r>
    </w:p>
    <w:p w:rsidR="003426DB" w:rsidRPr="001C1765" w:rsidRDefault="003426DB" w:rsidP="003426DB">
      <w:pPr>
        <w:rPr>
          <w:szCs w:val="32"/>
        </w:rPr>
      </w:pPr>
      <w:r w:rsidRPr="001C1765">
        <w:rPr>
          <w:szCs w:val="32"/>
        </w:rPr>
        <w:t>Não serão aceitos</w:t>
      </w:r>
    </w:p>
    <w:p w:rsidR="003426DB" w:rsidRPr="001C1765" w:rsidRDefault="003426DB" w:rsidP="003426DB">
      <w:pPr>
        <w:rPr>
          <w:szCs w:val="32"/>
        </w:rPr>
      </w:pPr>
      <w:r w:rsidRPr="001C1765">
        <w:rPr>
          <w:szCs w:val="32"/>
        </w:rPr>
        <w:t>Equipamentos classificados pelo fabricante como portáteis ou destinados predominantemente ao uso em campo;</w:t>
      </w:r>
    </w:p>
    <w:p w:rsidR="003426DB" w:rsidRPr="001C1765" w:rsidRDefault="003426DB" w:rsidP="003426DB">
      <w:pPr>
        <w:rPr>
          <w:szCs w:val="32"/>
        </w:rPr>
      </w:pPr>
      <w:r w:rsidRPr="001C1765">
        <w:rPr>
          <w:szCs w:val="32"/>
        </w:rPr>
        <w:t>Equipamentos cuja operação dependa exclusivamente de pilhas ou baterias;</w:t>
      </w:r>
    </w:p>
    <w:p w:rsidR="003426DB" w:rsidRPr="001C1765" w:rsidRDefault="003426DB" w:rsidP="003426DB">
      <w:pPr>
        <w:rPr>
          <w:szCs w:val="32"/>
        </w:rPr>
      </w:pPr>
      <w:r w:rsidRPr="001C1765">
        <w:rPr>
          <w:szCs w:val="32"/>
        </w:rPr>
        <w:t>Equipamentos usados, recondicionados ou fora de linha de fabricação.</w:t>
      </w:r>
    </w:p>
    <w:p w:rsidR="003426DB" w:rsidRPr="001C1765" w:rsidRDefault="003426DB" w:rsidP="003426DB">
      <w:pPr>
        <w:rPr>
          <w:szCs w:val="32"/>
        </w:rPr>
      </w:pPr>
      <w:r w:rsidRPr="001C1765">
        <w:rPr>
          <w:szCs w:val="32"/>
        </w:rPr>
        <w:t>Documentação Técnica</w:t>
      </w:r>
    </w:p>
    <w:p w:rsidR="003426DB" w:rsidRPr="001C1765" w:rsidRDefault="003426DB" w:rsidP="003426DB">
      <w:pPr>
        <w:rPr>
          <w:szCs w:val="32"/>
        </w:rPr>
      </w:pPr>
    </w:p>
    <w:p w:rsidR="003426DB" w:rsidRPr="001C1765" w:rsidRDefault="003426DB" w:rsidP="003426DB">
      <w:pPr>
        <w:rPr>
          <w:szCs w:val="32"/>
        </w:rPr>
      </w:pPr>
      <w:r w:rsidRPr="001C1765">
        <w:rPr>
          <w:szCs w:val="32"/>
        </w:rPr>
        <w:t>A licitante deverá apresentar catálogo técnico, ficha técnica ou documentação oficial do fabricante que comprove o atendimento integral das especificações exigidas neste Termo de Referência.</w:t>
      </w:r>
    </w:p>
    <w:p w:rsidR="003426DB" w:rsidRPr="001C1765" w:rsidRDefault="003426DB" w:rsidP="003426DB">
      <w:pPr>
        <w:rPr>
          <w:szCs w:val="32"/>
        </w:rPr>
      </w:pPr>
    </w:p>
    <w:p w:rsidR="003426DB" w:rsidRPr="001C1765" w:rsidRDefault="003426DB" w:rsidP="003426DB">
      <w:pPr>
        <w:rPr>
          <w:szCs w:val="32"/>
        </w:rPr>
      </w:pPr>
      <w:r w:rsidRPr="001C1765">
        <w:rPr>
          <w:szCs w:val="32"/>
        </w:rPr>
        <w:t>5. ACESSÓRIOS E ITENS INCLUSOS</w:t>
      </w:r>
    </w:p>
    <w:p w:rsidR="003426DB" w:rsidRPr="001C1765" w:rsidRDefault="003426DB" w:rsidP="003426DB">
      <w:pPr>
        <w:rPr>
          <w:szCs w:val="32"/>
        </w:rPr>
      </w:pPr>
    </w:p>
    <w:p w:rsidR="003426DB" w:rsidRPr="001C1765" w:rsidRDefault="003426DB" w:rsidP="003426DB">
      <w:pPr>
        <w:rPr>
          <w:szCs w:val="32"/>
        </w:rPr>
      </w:pPr>
      <w:r w:rsidRPr="001C1765">
        <w:rPr>
          <w:szCs w:val="32"/>
        </w:rPr>
        <w:t>Cada equipamento deverá ser fornecido acompanhado de:</w:t>
      </w:r>
    </w:p>
    <w:p w:rsidR="003426DB" w:rsidRPr="001C1765" w:rsidRDefault="003426DB" w:rsidP="003426DB">
      <w:pPr>
        <w:rPr>
          <w:szCs w:val="32"/>
        </w:rPr>
      </w:pPr>
    </w:p>
    <w:p w:rsidR="003426DB" w:rsidRPr="001C1765" w:rsidRDefault="003426DB" w:rsidP="003426DB">
      <w:pPr>
        <w:rPr>
          <w:szCs w:val="32"/>
        </w:rPr>
      </w:pPr>
      <w:r w:rsidRPr="001C1765">
        <w:rPr>
          <w:szCs w:val="32"/>
        </w:rPr>
        <w:t>Fonte de alimentação;</w:t>
      </w:r>
    </w:p>
    <w:p w:rsidR="003426DB" w:rsidRPr="001C1765" w:rsidRDefault="003426DB" w:rsidP="003426DB">
      <w:pPr>
        <w:rPr>
          <w:szCs w:val="32"/>
        </w:rPr>
      </w:pPr>
      <w:r w:rsidRPr="001C1765">
        <w:rPr>
          <w:szCs w:val="32"/>
        </w:rPr>
        <w:t>Cabos necessários ao funcionamento;</w:t>
      </w:r>
    </w:p>
    <w:p w:rsidR="003426DB" w:rsidRPr="001C1765" w:rsidRDefault="003426DB" w:rsidP="003426DB">
      <w:pPr>
        <w:rPr>
          <w:szCs w:val="32"/>
        </w:rPr>
      </w:pPr>
      <w:proofErr w:type="spellStart"/>
      <w:r w:rsidRPr="001C1765">
        <w:rPr>
          <w:szCs w:val="32"/>
        </w:rPr>
        <w:t>Cubetas</w:t>
      </w:r>
      <w:proofErr w:type="spellEnd"/>
      <w:r w:rsidRPr="001C1765">
        <w:rPr>
          <w:szCs w:val="32"/>
        </w:rPr>
        <w:t xml:space="preserve"> compatíveis com o equipamento;</w:t>
      </w:r>
    </w:p>
    <w:p w:rsidR="003426DB" w:rsidRPr="001C1765" w:rsidRDefault="003426DB" w:rsidP="003426DB">
      <w:pPr>
        <w:rPr>
          <w:szCs w:val="32"/>
        </w:rPr>
      </w:pPr>
      <w:r w:rsidRPr="001C1765">
        <w:rPr>
          <w:szCs w:val="32"/>
        </w:rPr>
        <w:t>Solução padrão para calibração inicial;</w:t>
      </w:r>
    </w:p>
    <w:p w:rsidR="003426DB" w:rsidRPr="001C1765" w:rsidRDefault="003426DB" w:rsidP="003426DB">
      <w:pPr>
        <w:rPr>
          <w:szCs w:val="32"/>
        </w:rPr>
      </w:pPr>
      <w:r w:rsidRPr="001C1765">
        <w:rPr>
          <w:szCs w:val="32"/>
        </w:rPr>
        <w:t>Reagentes SPADNS necessários para realização das análises iniciais;</w:t>
      </w:r>
    </w:p>
    <w:p w:rsidR="003426DB" w:rsidRPr="001C1765" w:rsidRDefault="003426DB" w:rsidP="003426DB">
      <w:pPr>
        <w:rPr>
          <w:szCs w:val="32"/>
        </w:rPr>
      </w:pPr>
      <w:r w:rsidRPr="001C1765">
        <w:rPr>
          <w:szCs w:val="32"/>
        </w:rPr>
        <w:t>Manual de operação em língua portuguesa;</w:t>
      </w:r>
    </w:p>
    <w:p w:rsidR="003426DB" w:rsidRPr="001C1765" w:rsidRDefault="003426DB" w:rsidP="003426DB">
      <w:pPr>
        <w:rPr>
          <w:szCs w:val="32"/>
        </w:rPr>
      </w:pPr>
      <w:r w:rsidRPr="001C1765">
        <w:rPr>
          <w:szCs w:val="32"/>
        </w:rPr>
        <w:t>Certificado de garantia.</w:t>
      </w:r>
    </w:p>
    <w:p w:rsidR="003426DB" w:rsidRDefault="003426DB" w:rsidP="00C21869">
      <w:pPr>
        <w:pStyle w:val="isselectedend"/>
      </w:pPr>
    </w:p>
    <w:tbl>
      <w:tblPr>
        <w:tblW w:w="0" w:type="auto"/>
        <w:tblCellSpacing w:w="15" w:type="dxa"/>
        <w:tblCellMar>
          <w:top w:w="15" w:type="dxa"/>
          <w:left w:w="15" w:type="dxa"/>
          <w:bottom w:w="15" w:type="dxa"/>
          <w:right w:w="15" w:type="dxa"/>
        </w:tblCellMar>
        <w:tblLook w:val="04A0"/>
      </w:tblPr>
      <w:tblGrid>
        <w:gridCol w:w="81"/>
        <w:gridCol w:w="1108"/>
        <w:gridCol w:w="5287"/>
        <w:gridCol w:w="66"/>
        <w:gridCol w:w="81"/>
      </w:tblGrid>
      <w:tr w:rsidR="00C21869" w:rsidTr="00C4200E">
        <w:trPr>
          <w:tblCellSpacing w:w="15" w:type="dxa"/>
        </w:trPr>
        <w:tc>
          <w:tcPr>
            <w:tcW w:w="0" w:type="auto"/>
            <w:vAlign w:val="center"/>
            <w:hideMark/>
          </w:tcPr>
          <w:p w:rsidR="00C21869" w:rsidRDefault="00C21869">
            <w:pPr>
              <w:jc w:val="center"/>
              <w:rPr>
                <w:b/>
                <w:bCs/>
                <w:sz w:val="24"/>
                <w:szCs w:val="24"/>
              </w:rPr>
            </w:pPr>
          </w:p>
        </w:tc>
        <w:tc>
          <w:tcPr>
            <w:tcW w:w="1078" w:type="dxa"/>
            <w:vAlign w:val="center"/>
            <w:hideMark/>
          </w:tcPr>
          <w:p w:rsidR="00C21869" w:rsidRDefault="00C21869">
            <w:pPr>
              <w:jc w:val="center"/>
              <w:rPr>
                <w:b/>
                <w:bCs/>
                <w:sz w:val="24"/>
                <w:szCs w:val="24"/>
              </w:rPr>
            </w:pPr>
          </w:p>
        </w:tc>
        <w:tc>
          <w:tcPr>
            <w:tcW w:w="5257" w:type="dxa"/>
            <w:vAlign w:val="center"/>
            <w:hideMark/>
          </w:tcPr>
          <w:p w:rsidR="00C21869" w:rsidRDefault="00C21869">
            <w:pPr>
              <w:jc w:val="center"/>
              <w:rPr>
                <w:b/>
                <w:bCs/>
                <w:sz w:val="24"/>
                <w:szCs w:val="24"/>
              </w:rPr>
            </w:pPr>
          </w:p>
        </w:tc>
        <w:tc>
          <w:tcPr>
            <w:tcW w:w="0" w:type="auto"/>
            <w:vAlign w:val="center"/>
            <w:hideMark/>
          </w:tcPr>
          <w:p w:rsidR="00C21869" w:rsidRDefault="00C21869">
            <w:pPr>
              <w:jc w:val="center"/>
              <w:rPr>
                <w:b/>
                <w:bCs/>
                <w:sz w:val="24"/>
                <w:szCs w:val="24"/>
              </w:rPr>
            </w:pPr>
          </w:p>
        </w:tc>
        <w:tc>
          <w:tcPr>
            <w:tcW w:w="0" w:type="auto"/>
            <w:vAlign w:val="center"/>
            <w:hideMark/>
          </w:tcPr>
          <w:p w:rsidR="00C21869" w:rsidRDefault="00C21869">
            <w:pPr>
              <w:jc w:val="center"/>
              <w:rPr>
                <w:b/>
                <w:bCs/>
                <w:sz w:val="24"/>
                <w:szCs w:val="24"/>
              </w:rPr>
            </w:pPr>
          </w:p>
        </w:tc>
      </w:tr>
      <w:tr w:rsidR="003B0D88" w:rsidTr="00C4200E">
        <w:trPr>
          <w:tblCellSpacing w:w="15" w:type="dxa"/>
        </w:trPr>
        <w:tc>
          <w:tcPr>
            <w:tcW w:w="0" w:type="auto"/>
            <w:vAlign w:val="center"/>
            <w:hideMark/>
          </w:tcPr>
          <w:p w:rsidR="003B0D88" w:rsidRDefault="003B0D88">
            <w:pPr>
              <w:rPr>
                <w:sz w:val="24"/>
                <w:szCs w:val="24"/>
              </w:rPr>
            </w:pPr>
          </w:p>
        </w:tc>
        <w:tc>
          <w:tcPr>
            <w:tcW w:w="1078" w:type="dxa"/>
            <w:vAlign w:val="center"/>
            <w:hideMark/>
          </w:tcPr>
          <w:p w:rsidR="003B0D88" w:rsidRDefault="003B0D88" w:rsidP="00DA362C">
            <w:pPr>
              <w:jc w:val="center"/>
              <w:rPr>
                <w:b/>
                <w:bCs/>
              </w:rPr>
            </w:pPr>
          </w:p>
        </w:tc>
        <w:tc>
          <w:tcPr>
            <w:tcW w:w="5257" w:type="dxa"/>
            <w:vAlign w:val="center"/>
            <w:hideMark/>
          </w:tcPr>
          <w:p w:rsidR="003B0D88" w:rsidRDefault="003B0D88" w:rsidP="00DA362C">
            <w:pPr>
              <w:jc w:val="center"/>
              <w:rPr>
                <w:b/>
                <w:bCs/>
              </w:rPr>
            </w:pPr>
          </w:p>
        </w:tc>
        <w:tc>
          <w:tcPr>
            <w:tcW w:w="0" w:type="auto"/>
            <w:vAlign w:val="center"/>
            <w:hideMark/>
          </w:tcPr>
          <w:p w:rsidR="003B0D88" w:rsidRDefault="003B0D88" w:rsidP="00DA362C">
            <w:pPr>
              <w:jc w:val="center"/>
              <w:rPr>
                <w:b/>
                <w:bCs/>
              </w:rPr>
            </w:pPr>
          </w:p>
        </w:tc>
        <w:tc>
          <w:tcPr>
            <w:tcW w:w="0" w:type="auto"/>
            <w:vAlign w:val="center"/>
            <w:hideMark/>
          </w:tcPr>
          <w:p w:rsidR="003B0D88" w:rsidRDefault="003B0D88" w:rsidP="00DA362C">
            <w:pPr>
              <w:jc w:val="center"/>
              <w:rPr>
                <w:b/>
                <w:bCs/>
              </w:rPr>
            </w:pPr>
          </w:p>
        </w:tc>
      </w:tr>
      <w:tr w:rsidR="003B0D88" w:rsidTr="00C4200E">
        <w:trPr>
          <w:tblCellSpacing w:w="15" w:type="dxa"/>
        </w:trPr>
        <w:tc>
          <w:tcPr>
            <w:tcW w:w="0" w:type="auto"/>
            <w:vAlign w:val="center"/>
          </w:tcPr>
          <w:p w:rsidR="003B0D88" w:rsidRDefault="003B0D88"/>
        </w:tc>
        <w:tc>
          <w:tcPr>
            <w:tcW w:w="1078" w:type="dxa"/>
            <w:vAlign w:val="center"/>
          </w:tcPr>
          <w:p w:rsidR="003B0D88" w:rsidRDefault="003B0D88" w:rsidP="00DA362C"/>
        </w:tc>
        <w:tc>
          <w:tcPr>
            <w:tcW w:w="5257" w:type="dxa"/>
            <w:vAlign w:val="center"/>
          </w:tcPr>
          <w:p w:rsidR="003B0D88" w:rsidRPr="0084197E" w:rsidRDefault="003B0D88" w:rsidP="00DA362C">
            <w:pPr>
              <w:rPr>
                <w:sz w:val="20"/>
                <w:szCs w:val="20"/>
              </w:rPr>
            </w:pPr>
          </w:p>
        </w:tc>
        <w:tc>
          <w:tcPr>
            <w:tcW w:w="0" w:type="auto"/>
            <w:vAlign w:val="center"/>
          </w:tcPr>
          <w:p w:rsidR="003B0D88" w:rsidRPr="0084197E" w:rsidRDefault="003B0D88" w:rsidP="00DA362C">
            <w:pPr>
              <w:rPr>
                <w:sz w:val="20"/>
                <w:szCs w:val="20"/>
              </w:rPr>
            </w:pPr>
          </w:p>
        </w:tc>
        <w:tc>
          <w:tcPr>
            <w:tcW w:w="0" w:type="auto"/>
            <w:vAlign w:val="center"/>
          </w:tcPr>
          <w:p w:rsidR="003B0D88" w:rsidRPr="0084197E" w:rsidRDefault="003B0D88" w:rsidP="00DA362C">
            <w:pPr>
              <w:rPr>
                <w:sz w:val="20"/>
                <w:szCs w:val="20"/>
              </w:rPr>
            </w:pPr>
          </w:p>
        </w:tc>
      </w:tr>
    </w:tbl>
    <w:p w:rsidR="003426DB" w:rsidRDefault="003426DB" w:rsidP="00C21869">
      <w:pPr>
        <w:pStyle w:val="isselectedend"/>
        <w:rPr>
          <w:rStyle w:val="Forte"/>
        </w:rPr>
      </w:pPr>
    </w:p>
    <w:p w:rsidR="003426DB" w:rsidRDefault="003426DB" w:rsidP="00C21869">
      <w:pPr>
        <w:pStyle w:val="isselectedend"/>
        <w:rPr>
          <w:rStyle w:val="Forte"/>
        </w:rPr>
      </w:pPr>
    </w:p>
    <w:p w:rsidR="00C21869" w:rsidRDefault="00C21869" w:rsidP="00C21869">
      <w:pPr>
        <w:pStyle w:val="isselectedend"/>
      </w:pPr>
      <w:r>
        <w:rPr>
          <w:rStyle w:val="Forte"/>
        </w:rPr>
        <w:lastRenderedPageBreak/>
        <w:t>ANEXO II</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TERMO DE REFERÊNCIA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1. OBJETO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 xml:space="preserve">Aquisição de 02 (dois) analisadores digitais para determinação de íons fluoreto em água pelo método SPADNS, destinados ao Laboratório de Controle de Qualidade da Água do Serviço Autônomo de Água e Esgoto – SAAE de Rio das Pedras/SP, visando o monitoramento e controle operacional da </w:t>
      </w:r>
      <w:proofErr w:type="spellStart"/>
      <w:r w:rsidRPr="00EF745A">
        <w:rPr>
          <w:rFonts w:ascii="Times New Roman" w:hAnsi="Times New Roman"/>
          <w:sz w:val="24"/>
          <w:szCs w:val="24"/>
        </w:rPr>
        <w:t>fluoretação</w:t>
      </w:r>
      <w:proofErr w:type="spellEnd"/>
      <w:r w:rsidRPr="00EF745A">
        <w:rPr>
          <w:rFonts w:ascii="Times New Roman" w:hAnsi="Times New Roman"/>
          <w:sz w:val="24"/>
          <w:szCs w:val="24"/>
        </w:rPr>
        <w:t xml:space="preserve"> da água distribuída à população, conforme condições, quantidades e exigências estabelecidas neste Termo de Referência.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2. FUNDAMENTAÇÃO DA CONTRATAÇÃO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 contratação tem por finalidade atender às necessidades do Laboratório de Controle de Qualidade da Água do Serviço Autônomo de Água e Esgoto – SAAE de Rio das Pedras/SP, responsável pelo monitoramento dos parâmetros de qualidade da água distribuída à população.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 xml:space="preserve">E manutenção das atividades de controle da </w:t>
      </w:r>
      <w:proofErr w:type="spellStart"/>
      <w:r w:rsidRPr="00EF745A">
        <w:rPr>
          <w:rFonts w:ascii="Times New Roman" w:hAnsi="Times New Roman"/>
          <w:sz w:val="24"/>
          <w:szCs w:val="24"/>
        </w:rPr>
        <w:t>fluoretação</w:t>
      </w:r>
      <w:proofErr w:type="spellEnd"/>
      <w:r w:rsidRPr="00EF745A">
        <w:rPr>
          <w:rFonts w:ascii="Times New Roman" w:hAnsi="Times New Roman"/>
          <w:sz w:val="24"/>
          <w:szCs w:val="24"/>
        </w:rPr>
        <w:t xml:space="preserve"> da água tratada, em conformidade com a Portaria GM/MS nº 888, de 04 de maio de 2021.</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3. DESCRIÇÃO DO OBJETO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Item</w:t>
      </w:r>
      <w:r w:rsidRPr="00EF745A">
        <w:rPr>
          <w:rFonts w:ascii="Times New Roman" w:hAnsi="Times New Roman"/>
          <w:sz w:val="24"/>
          <w:szCs w:val="24"/>
        </w:rPr>
        <w:tab/>
        <w:t>Descrição</w:t>
      </w:r>
      <w:r w:rsidRPr="00EF745A">
        <w:rPr>
          <w:rFonts w:ascii="Times New Roman" w:hAnsi="Times New Roman"/>
          <w:sz w:val="24"/>
          <w:szCs w:val="24"/>
        </w:rPr>
        <w:tab/>
        <w:t>Unidade</w:t>
      </w:r>
      <w:r w:rsidRPr="00EF745A">
        <w:rPr>
          <w:rFonts w:ascii="Times New Roman" w:hAnsi="Times New Roman"/>
          <w:sz w:val="24"/>
          <w:szCs w:val="24"/>
        </w:rPr>
        <w:tab/>
        <w:t>Quantidade</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01</w:t>
      </w:r>
      <w:r w:rsidRPr="00EF745A">
        <w:rPr>
          <w:rFonts w:ascii="Times New Roman" w:hAnsi="Times New Roman"/>
          <w:sz w:val="24"/>
          <w:szCs w:val="24"/>
        </w:rPr>
        <w:tab/>
        <w:t>Analisador digital para determinação de íons fluoreto em água pelo método SPADNS, destinado à utilização laboratorial.</w:t>
      </w:r>
      <w:r w:rsidRPr="00EF745A">
        <w:rPr>
          <w:rFonts w:ascii="Times New Roman" w:hAnsi="Times New Roman"/>
          <w:sz w:val="24"/>
          <w:szCs w:val="24"/>
        </w:rPr>
        <w:tab/>
        <w:t>Unidade</w:t>
      </w:r>
      <w:r w:rsidRPr="00EF745A">
        <w:rPr>
          <w:rFonts w:ascii="Times New Roman" w:hAnsi="Times New Roman"/>
          <w:sz w:val="24"/>
          <w:szCs w:val="24"/>
        </w:rPr>
        <w:tab/>
      </w:r>
      <w:proofErr w:type="gramStart"/>
      <w:r w:rsidRPr="00EF745A">
        <w:rPr>
          <w:rFonts w:ascii="Times New Roman" w:hAnsi="Times New Roman"/>
          <w:sz w:val="24"/>
          <w:szCs w:val="24"/>
        </w:rPr>
        <w:t>02</w:t>
      </w:r>
      <w:proofErr w:type="gramEnd"/>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4. ESPECIFICAÇÕES TÉCNICAS MÍNIMAS</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Os equipamentos deverão possuir, no mínimo, as seguintes características:</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Características Técnicas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Destinação para utilização laboratorial;</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Determinação quantitativa de íons fluoreto em água através do método colorimétrico SPADNS;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lastRenderedPageBreak/>
        <w:t xml:space="preserve">Faixa mínima de leitura de 0,00 a 2,00 </w:t>
      </w:r>
      <w:proofErr w:type="spellStart"/>
      <w:proofErr w:type="gramStart"/>
      <w:r w:rsidRPr="00EF745A">
        <w:rPr>
          <w:rFonts w:ascii="Times New Roman" w:hAnsi="Times New Roman"/>
          <w:sz w:val="24"/>
          <w:szCs w:val="24"/>
        </w:rPr>
        <w:t>mg</w:t>
      </w:r>
      <w:proofErr w:type="spellEnd"/>
      <w:proofErr w:type="gramEnd"/>
      <w:r w:rsidRPr="00EF745A">
        <w:rPr>
          <w:rFonts w:ascii="Times New Roman" w:hAnsi="Times New Roman"/>
          <w:sz w:val="24"/>
          <w:szCs w:val="24"/>
        </w:rPr>
        <w:t>/L de fluoreto;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 xml:space="preserve">Resolução mínima de 0,01 </w:t>
      </w:r>
      <w:proofErr w:type="spellStart"/>
      <w:proofErr w:type="gramStart"/>
      <w:r w:rsidRPr="00EF745A">
        <w:rPr>
          <w:rFonts w:ascii="Times New Roman" w:hAnsi="Times New Roman"/>
          <w:sz w:val="24"/>
          <w:szCs w:val="24"/>
        </w:rPr>
        <w:t>mg</w:t>
      </w:r>
      <w:proofErr w:type="spellEnd"/>
      <w:proofErr w:type="gramEnd"/>
      <w:r w:rsidRPr="00EF745A">
        <w:rPr>
          <w:rFonts w:ascii="Times New Roman" w:hAnsi="Times New Roman"/>
          <w:sz w:val="24"/>
          <w:szCs w:val="24"/>
        </w:rPr>
        <w:t>/L;</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Precisão igual ou superior a ± 1,5% do fundo de escala;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Sistema óptico compatível com o método SPADNS;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Comprimento de onda compatível com a metodologia aplicada;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Visor digital para apresentação dos resultados;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Memória interna para armazenamento de resultados ou sistema equivalente;</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Interface USB ou equivalente para exportação de dados;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Possibilidade de calibração pelo usuário utilizando padrões de fluoreto;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Alimentação elétrica bivolt automática (100 a 240 V);</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Equipamento novo, sem uso anterior e em linha regular de fabricação.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Não serão aceitos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Equipamentos classificados pelo fabricante como portáteis ou destinados predominantemente ao uso em campo;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Equipamentos cuja operação dependa exclusivamente de pilhas ou baterias;</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Equipamentos usados, recondicionados ou fora de linha de fabricação.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Documentação Técnica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 licitante deverá apresentar catálogo técnico, ficha técnica ou documentação oficial do fabricante que comprove o atendimento integral das especificações exigidas neste Termo de Referência.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5. ACESSÓRIOS E ITENS INCLUSOS</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Cada equipamento deverá ser fornecido acompanhado de:</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Fonte de alimentação;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Cabos necessários ao funcionamento;</w:t>
      </w:r>
    </w:p>
    <w:p w:rsidR="003426DB" w:rsidRPr="00EF745A" w:rsidRDefault="003426DB" w:rsidP="003426DB">
      <w:pPr>
        <w:rPr>
          <w:rFonts w:ascii="Times New Roman" w:hAnsi="Times New Roman"/>
          <w:sz w:val="24"/>
          <w:szCs w:val="24"/>
        </w:rPr>
      </w:pPr>
      <w:proofErr w:type="spellStart"/>
      <w:r w:rsidRPr="00EF745A">
        <w:rPr>
          <w:rFonts w:ascii="Times New Roman" w:hAnsi="Times New Roman"/>
          <w:sz w:val="24"/>
          <w:szCs w:val="24"/>
        </w:rPr>
        <w:lastRenderedPageBreak/>
        <w:t>Cubetas</w:t>
      </w:r>
      <w:proofErr w:type="spellEnd"/>
      <w:r w:rsidRPr="00EF745A">
        <w:rPr>
          <w:rFonts w:ascii="Times New Roman" w:hAnsi="Times New Roman"/>
          <w:sz w:val="24"/>
          <w:szCs w:val="24"/>
        </w:rPr>
        <w:t xml:space="preserve"> compatíveis com o equipamento;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Solução padrão para calibração inicial;</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Manual de operação em língua portuguesa;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Certificado de garantia.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6. SOLUÇÃO COMO UM TODO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 solução consiste na aquisição de dois analisadores digitais para determinação de fluoreto pelo método SPADNS, incluindo todos os acessórios indispensáveis ao seu funcionamento, instalação, calibração inicial e operação.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 xml:space="preserve">A contratação visa restabelecer a capacidade operacional do Laboratório de Controle de Qualidade da Água, assegurando a realização das análises necessárias ao monitoramento da </w:t>
      </w:r>
      <w:proofErr w:type="spellStart"/>
      <w:r w:rsidRPr="00EF745A">
        <w:rPr>
          <w:rFonts w:ascii="Times New Roman" w:hAnsi="Times New Roman"/>
          <w:sz w:val="24"/>
          <w:szCs w:val="24"/>
        </w:rPr>
        <w:t>fluoretação</w:t>
      </w:r>
      <w:proofErr w:type="spellEnd"/>
      <w:r w:rsidRPr="00EF745A">
        <w:rPr>
          <w:rFonts w:ascii="Times New Roman" w:hAnsi="Times New Roman"/>
          <w:sz w:val="24"/>
          <w:szCs w:val="24"/>
        </w:rPr>
        <w:t xml:space="preserve"> da água distribuída à população.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7. REQUISITOS DA CONTRATAÇÃO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Os equipamentos deverão: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Ser novos e de primeiro uso;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Possuir assistência técnica em território nacional ou suporte técnico disponibilizado pelo fabricante ou representante autorizado;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Ser entregues acompanhados de manuais e documentação técnica;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Atender às exigências da Portaria GM/MS nº 888/2021 e normas técnicas aplicáveis à determinação de fluoreto em água para consumo humano.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8. LOCAL E PRAZO DE ENTREGA</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Local de Entrega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Os equipamentos deverão ser entregues na sede administrativa do Serviço Autônomo de Água e Esgoto – SAAE de Rio das Pedras/SP,</w:t>
      </w:r>
      <w:r w:rsidR="00EF745A" w:rsidRPr="00EF745A">
        <w:rPr>
          <w:rFonts w:ascii="Times New Roman" w:hAnsi="Times New Roman"/>
          <w:sz w:val="24"/>
          <w:szCs w:val="24"/>
        </w:rPr>
        <w:t xml:space="preserve"> localizada na Ladeira José Leite de </w:t>
      </w:r>
      <w:proofErr w:type="gramStart"/>
      <w:r w:rsidR="00EF745A" w:rsidRPr="00EF745A">
        <w:rPr>
          <w:rFonts w:ascii="Times New Roman" w:hAnsi="Times New Roman"/>
          <w:sz w:val="24"/>
          <w:szCs w:val="24"/>
        </w:rPr>
        <w:t>Negreiros</w:t>
      </w:r>
      <w:r w:rsidRPr="00EF745A">
        <w:rPr>
          <w:rFonts w:ascii="Times New Roman" w:hAnsi="Times New Roman"/>
          <w:sz w:val="24"/>
          <w:szCs w:val="24"/>
        </w:rPr>
        <w:t xml:space="preserve"> nº</w:t>
      </w:r>
      <w:proofErr w:type="gramEnd"/>
      <w:r w:rsidRPr="00EF745A">
        <w:rPr>
          <w:rFonts w:ascii="Times New Roman" w:hAnsi="Times New Roman"/>
          <w:sz w:val="24"/>
          <w:szCs w:val="24"/>
        </w:rPr>
        <w:t xml:space="preserve"> 10, Centro, Rio das Pedras/SP.</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 entrega deverá ser previamente agendada junto ao fiscal da contratação ou servidor designado pela Autarquia.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 definição do local de entrega justifica-se pela necessidade de realização dos procedimentos de recebimento administrativo, conferência documental, verificação das especificações técnicas, incorporação patrimonial e tombamento dos bens permanentes antes de sua disponibilização ao setor usuário.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Após a conclusão dos procedimentos administrativos e patrimoniais, os equipamentos serão encaminhados ao Laboratório de Controle de Qualidade da Água para utilização operacional.</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Prazo de Entrega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Os equipamentos deverão ser entregues no prazo máximo de 30 (trinta) dias corridos, contados do recebimento da Autorização de Fornecimento ou instrumento equivalente.</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9. RECEBIMENTO</w:t>
      </w: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Recebimento Provisório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 recebimento provisório ocorrerá no ato da entrega para conferência quantitativa, verificação da integridade física dos equipamentos e conferência da documentação apresentada.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Recebimento Definitivo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 recebimento definitivo ocorrerá em até 10 (dez) dias úteis após a entrega, mediante verificação do atendimento às especificações técnicas, acessórios fornecidos, documentação exigida e funcionamento dos equipamentos.</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lastRenderedPageBreak/>
        <w:t>Caso sejam constatadas irregularidades ou desconformidades, a contratada será notificada para promover a substituição ou regularização dos itens sem qualquer ônus para a Administração.</w:t>
      </w:r>
    </w:p>
    <w:p w:rsidR="003426DB" w:rsidRPr="00EF745A" w:rsidRDefault="003426DB" w:rsidP="003426DB">
      <w:pPr>
        <w:rPr>
          <w:rFonts w:ascii="Times New Roman" w:hAnsi="Times New Roman"/>
          <w:sz w:val="24"/>
          <w:szCs w:val="24"/>
        </w:rPr>
      </w:pPr>
    </w:p>
    <w:p w:rsidR="00EF745A" w:rsidRPr="00EF745A" w:rsidRDefault="00EF745A" w:rsidP="003426DB">
      <w:pPr>
        <w:rPr>
          <w:rFonts w:ascii="Times New Roman" w:hAnsi="Times New Roman"/>
          <w:sz w:val="24"/>
          <w:szCs w:val="24"/>
        </w:rPr>
      </w:pPr>
    </w:p>
    <w:p w:rsidR="00EF745A" w:rsidRPr="00EF745A" w:rsidRDefault="00EF745A" w:rsidP="003426DB">
      <w:pPr>
        <w:rPr>
          <w:rFonts w:ascii="Times New Roman" w:hAnsi="Times New Roman"/>
          <w:sz w:val="24"/>
          <w:szCs w:val="24"/>
        </w:rPr>
      </w:pPr>
    </w:p>
    <w:p w:rsidR="00EF745A" w:rsidRPr="00EF745A" w:rsidRDefault="00EF745A"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10. GARANTIA</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Os equipamentos deverão possuir garantia mínima de 12 (doze) meses, contados da data do recebimento definitivo.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Durante o período de garantia, a contratada deverá reparar ou substituir os equipamentos que apresentarem defeitos de fabricação, sem custos adicionais para a Administração.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11. CRITÉRIO DE JULGAMENTO</w:t>
      </w:r>
    </w:p>
    <w:p w:rsidR="003426DB" w:rsidRPr="00EF745A" w:rsidRDefault="003426DB" w:rsidP="003426DB">
      <w:pPr>
        <w:rPr>
          <w:rFonts w:ascii="Times New Roman" w:hAnsi="Times New Roman"/>
          <w:sz w:val="24"/>
          <w:szCs w:val="24"/>
        </w:rPr>
      </w:pPr>
    </w:p>
    <w:p w:rsidR="003426DB" w:rsidRPr="00EF745A" w:rsidRDefault="003426DB" w:rsidP="003426DB">
      <w:pPr>
        <w:rPr>
          <w:rFonts w:ascii="Times New Roman" w:hAnsi="Times New Roman"/>
          <w:sz w:val="24"/>
          <w:szCs w:val="24"/>
        </w:rPr>
      </w:pPr>
      <w:r w:rsidRPr="00EF745A">
        <w:rPr>
          <w:rFonts w:ascii="Times New Roman" w:hAnsi="Times New Roman"/>
          <w:sz w:val="24"/>
          <w:szCs w:val="24"/>
        </w:rPr>
        <w:t>O julgamento das propostas será realizado pelo critério de MENOR PREÇO POR ITEM, desde que atendidas integralmente todas as especificações técnicas exigidas neste Termo de Referência.</w:t>
      </w:r>
    </w:p>
    <w:p w:rsidR="003426DB" w:rsidRDefault="003426DB" w:rsidP="003426DB">
      <w:pPr>
        <w:pStyle w:val="isselectedend"/>
        <w:ind w:left="720"/>
        <w:rPr>
          <w:rStyle w:val="Forte"/>
        </w:rPr>
      </w:pPr>
    </w:p>
    <w:p w:rsidR="00C21869" w:rsidRDefault="00C21869" w:rsidP="00C21869">
      <w:pPr>
        <w:pStyle w:val="isselectedend"/>
      </w:pPr>
      <w:r>
        <w:rPr>
          <w:rStyle w:val="Forte"/>
        </w:rPr>
        <w:t>3. ENTREGA</w:t>
      </w:r>
    </w:p>
    <w:p w:rsidR="00C21869" w:rsidRDefault="00C21869" w:rsidP="00C21869">
      <w:pPr>
        <w:pStyle w:val="isselectedend"/>
      </w:pPr>
      <w:r>
        <w:t xml:space="preserve">3.1. O material deverá ser entregue no </w:t>
      </w:r>
      <w:r w:rsidR="003426DB">
        <w:t xml:space="preserve">Setor administrativo </w:t>
      </w:r>
      <w:r>
        <w:t>do Serviço Autônomo de Água e Esgoto – SAAE, situado na</w:t>
      </w:r>
      <w:r w:rsidR="003426DB">
        <w:t xml:space="preserve"> Ladeira José Leite de Negreiros n° 10, CEP 13390-049</w:t>
      </w:r>
      <w:r>
        <w:t>, Município de Rio das Pedras/SP.</w:t>
      </w:r>
    </w:p>
    <w:p w:rsidR="00C21869" w:rsidRDefault="00C21869" w:rsidP="00C21869">
      <w:pPr>
        <w:pStyle w:val="isselectedend"/>
      </w:pPr>
      <w:r>
        <w:t>3.2. Deverão estar inclusos no preço ofertado todos os custos diretos e indiretos, inclusive transporte, carga, descarga, frete, tributos e demais despesas necessárias ao fornecimento do objeto.</w:t>
      </w:r>
    </w:p>
    <w:p w:rsidR="00C21869" w:rsidRDefault="00C21869" w:rsidP="00C21869">
      <w:pPr>
        <w:pStyle w:val="isselectedend"/>
      </w:pPr>
      <w:r>
        <w:t>3.3. O material será conferido pelo setor responsável, podendo ser recusado caso esteja em desacordo com as especificações estabelecidas neste Termo de Referência.</w:t>
      </w:r>
    </w:p>
    <w:p w:rsidR="00C21869" w:rsidRDefault="00C21869" w:rsidP="00C21869">
      <w:pPr>
        <w:pStyle w:val="isselectedend"/>
      </w:pPr>
      <w:r>
        <w:rPr>
          <w:rStyle w:val="Forte"/>
        </w:rPr>
        <w:lastRenderedPageBreak/>
        <w:t>4. CRITÉRIO DE JULGAMENTO</w:t>
      </w:r>
    </w:p>
    <w:p w:rsidR="00C21869" w:rsidRDefault="00C21869" w:rsidP="00C21869">
      <w:pPr>
        <w:pStyle w:val="isselectedend"/>
      </w:pPr>
      <w:r>
        <w:t>4.1. O critério de julgamento adotado será o de menor preço unitário.</w:t>
      </w:r>
    </w:p>
    <w:p w:rsidR="00C21869" w:rsidRDefault="00C21869" w:rsidP="00C21869">
      <w:pPr>
        <w:pStyle w:val="isselectedend"/>
      </w:pPr>
      <w:r>
        <w:rPr>
          <w:rStyle w:val="Forte"/>
        </w:rPr>
        <w:t>5. PRAZO E CONDIÇÕES DE ENTREGA</w:t>
      </w:r>
    </w:p>
    <w:p w:rsidR="00C21869" w:rsidRDefault="00C21869" w:rsidP="00C21869">
      <w:pPr>
        <w:pStyle w:val="isselectedend"/>
      </w:pPr>
      <w:r>
        <w:t>5.1. O fornecimento do material deverá ocorrer em até 10 (dez) dias úteis contados do recebimento da Autorização de Fornecimento emitida pelo Serviço Autônomo de Água e Esgoto – SAAE Rio das Pedras/SP.</w:t>
      </w:r>
    </w:p>
    <w:p w:rsidR="00C21869" w:rsidRDefault="00C21869" w:rsidP="00C21869">
      <w:pPr>
        <w:pStyle w:val="isselectedend"/>
      </w:pPr>
      <w:r>
        <w:t xml:space="preserve">5.2. O material deverá ser entregue no </w:t>
      </w:r>
      <w:r w:rsidR="003426DB">
        <w:t>setor a</w:t>
      </w:r>
      <w:r>
        <w:t>d</w:t>
      </w:r>
      <w:r w:rsidR="003426DB">
        <w:t>ministrativo d</w:t>
      </w:r>
      <w:r>
        <w:t xml:space="preserve">o Serviço Autônomo de Água e Esgoto – SAAE, situado na </w:t>
      </w:r>
      <w:r w:rsidR="003426DB">
        <w:t xml:space="preserve">Ladeira José Leite de </w:t>
      </w:r>
      <w:r w:rsidR="00EF745A">
        <w:t>Negreiro nº</w:t>
      </w:r>
      <w:r w:rsidR="003426DB">
        <w:t xml:space="preserve"> 10, CEP 13390-049</w:t>
      </w:r>
      <w:r>
        <w:t>, Município de Rio das Pedras/SP, em horário comercial e previamente agendado junto ao setor responsável.</w:t>
      </w:r>
    </w:p>
    <w:p w:rsidR="00C21869" w:rsidRDefault="00C21869" w:rsidP="00C21869">
      <w:pPr>
        <w:pStyle w:val="isselectedend"/>
      </w:pPr>
      <w:r>
        <w:t>5.3. Todas as despesas com transporte, frete, carga, descarga, tributos, seguros e demais custos necessários ao fornecimento do objeto correrão por conta exclusiva da contratada.</w:t>
      </w:r>
    </w:p>
    <w:p w:rsidR="00C21869" w:rsidRDefault="00C21869" w:rsidP="00C21869">
      <w:pPr>
        <w:pStyle w:val="isselectedend"/>
      </w:pPr>
      <w:r>
        <w:t>5.4. O material entregue será conferido pelo setor competente do SAAE, podendo ser recusado, no todo ou em parte, caso esteja em desacordo com as especificações constantes neste Termo de Referência.</w:t>
      </w:r>
    </w:p>
    <w:p w:rsidR="00C21869" w:rsidRDefault="00C21869" w:rsidP="00C21869">
      <w:pPr>
        <w:pStyle w:val="isselectedend"/>
      </w:pPr>
      <w:r>
        <w:t xml:space="preserve">5.5. Verificada irregularidade no objeto fornecido, a contratada deverá promover a substituição do material no prazo máximo de </w:t>
      </w:r>
      <w:proofErr w:type="gramStart"/>
      <w:r>
        <w:t>5</w:t>
      </w:r>
      <w:proofErr w:type="gramEnd"/>
      <w:r>
        <w:t xml:space="preserve"> (cinco) dias úteis, contados da notificação formal, sem quaisquer ônus adicionais à Administração.</w:t>
      </w:r>
    </w:p>
    <w:p w:rsidR="00C21869" w:rsidRDefault="00C21869" w:rsidP="00C21869">
      <w:pPr>
        <w:pStyle w:val="isselectedend"/>
      </w:pPr>
      <w:r>
        <w:t>5.6. O recebimento provisório ou definitivo do objeto não exclui a responsabilidade da contratada quanto à qualidade, integridade e garantia dos materiais fornecidos.</w:t>
      </w:r>
    </w:p>
    <w:p w:rsidR="00C21869" w:rsidRDefault="00C21869" w:rsidP="00C21869">
      <w:pPr>
        <w:pStyle w:val="isselectedend"/>
      </w:pPr>
      <w:r>
        <w:rPr>
          <w:rStyle w:val="Forte"/>
        </w:rPr>
        <w:t>6. PARTICIPAÇÃO NA DISPENSA ELETRÔNICA</w:t>
      </w:r>
    </w:p>
    <w:p w:rsidR="00C21869" w:rsidRDefault="00C21869" w:rsidP="00C21869">
      <w:pPr>
        <w:pStyle w:val="isselectedend"/>
      </w:pPr>
      <w:r>
        <w:t>6.1. Só poderão participar desta Dispensa Eletrônica as microempresas e empresas de pequeno porte, nos termos da Lei Complementar nº 123/2006, especialmente do artigo 48, inciso I, que, no ano-calendário de realização deste procedimento, ainda não tenham celebrado contratos com a Administração Pública cujos valores somados extrapolem a receita bruta máxima admitida para fins de enquadramento como empresa de pequeno porte.</w:t>
      </w:r>
    </w:p>
    <w:p w:rsidR="00C21869" w:rsidRDefault="00C21869" w:rsidP="00C21869">
      <w:pPr>
        <w:pStyle w:val="isselectedend"/>
      </w:pPr>
      <w:r>
        <w:t>6.2. Não poderão participar desta dispensa os fornecedores:</w:t>
      </w:r>
    </w:p>
    <w:p w:rsidR="00C21869" w:rsidRDefault="00C21869" w:rsidP="00C21869">
      <w:pPr>
        <w:pStyle w:val="isselectedend"/>
      </w:pPr>
      <w:r>
        <w:t>a) Que não atendam às condições deste edital e seus anexos;</w:t>
      </w:r>
    </w:p>
    <w:p w:rsidR="00C21869" w:rsidRDefault="00C21869" w:rsidP="00C21869">
      <w:pPr>
        <w:pStyle w:val="isselectedend"/>
      </w:pPr>
      <w:r>
        <w:t>b) Estrangeiros que não tenham representação legal no Brasil;</w:t>
      </w:r>
    </w:p>
    <w:p w:rsidR="00C21869" w:rsidRDefault="00C21869" w:rsidP="00C21869">
      <w:pPr>
        <w:pStyle w:val="isselectedend"/>
      </w:pPr>
      <w:r>
        <w:t>c) Que se enquadrem nas hipóteses previstas no artigo 14 da Lei Federal nº 14.133/2021;</w:t>
      </w:r>
    </w:p>
    <w:p w:rsidR="00C21869" w:rsidRDefault="00C21869" w:rsidP="00C21869">
      <w:pPr>
        <w:pStyle w:val="isselectedend"/>
      </w:pPr>
      <w:r>
        <w:lastRenderedPageBreak/>
        <w:t>d) Empresas impedidas de licitar ou contratar com a Administração Pública;</w:t>
      </w:r>
    </w:p>
    <w:p w:rsidR="00C21869" w:rsidRDefault="00C21869" w:rsidP="00C21869">
      <w:pPr>
        <w:pStyle w:val="isselectedend"/>
      </w:pPr>
      <w:r>
        <w:t>e) Empresas declaradas inidôneas.</w:t>
      </w:r>
    </w:p>
    <w:p w:rsidR="00C21869" w:rsidRDefault="00C21869" w:rsidP="00C21869">
      <w:pPr>
        <w:pStyle w:val="isselectedend"/>
      </w:pPr>
      <w:r>
        <w:rPr>
          <w:rStyle w:val="Forte"/>
        </w:rPr>
        <w:t>7. CADASTRO NO SISTEMA</w:t>
      </w:r>
    </w:p>
    <w:p w:rsidR="00C21869" w:rsidRDefault="00C21869" w:rsidP="00C21869">
      <w:pPr>
        <w:pStyle w:val="isselectedend"/>
      </w:pPr>
      <w:r>
        <w:t>7.1. O interessado deverá se cadastrar no sistema através do endereço eletrônico:</w:t>
      </w:r>
      <w:r>
        <w:br/>
      </w:r>
      <w:hyperlink r:id="rId9" w:history="1">
        <w:r>
          <w:rPr>
            <w:rStyle w:val="Hyperlink"/>
          </w:rPr>
          <w:t>https://bll.org.br/</w:t>
        </w:r>
      </w:hyperlink>
    </w:p>
    <w:p w:rsidR="00C21869" w:rsidRDefault="00C21869" w:rsidP="00C21869">
      <w:pPr>
        <w:pStyle w:val="isselectedend"/>
      </w:pPr>
      <w:r>
        <w:t>7.2. O uso da senha de acesso é de responsabilidade exclusiva do fornecedor.</w:t>
      </w:r>
    </w:p>
    <w:p w:rsidR="00C21869" w:rsidRDefault="00C21869" w:rsidP="00C21869">
      <w:pPr>
        <w:pStyle w:val="isselectedend"/>
      </w:pPr>
      <w:r>
        <w:t>7.3. O fornecedor deverá acompanhar as operações no sistema eletrônico durante a sessão pública.</w:t>
      </w:r>
    </w:p>
    <w:p w:rsidR="00C21869" w:rsidRDefault="00C21869" w:rsidP="00C21869">
      <w:pPr>
        <w:pStyle w:val="isselectedend"/>
        <w:rPr>
          <w:rStyle w:val="Forte"/>
        </w:rPr>
      </w:pPr>
    </w:p>
    <w:p w:rsidR="00C21869" w:rsidRDefault="00C21869" w:rsidP="00C21869">
      <w:pPr>
        <w:pStyle w:val="isselectedend"/>
      </w:pPr>
      <w:r>
        <w:rPr>
          <w:rStyle w:val="Forte"/>
        </w:rPr>
        <w:t>8. INGRESSO NA DISPENSA E PROPOSTA</w:t>
      </w:r>
    </w:p>
    <w:p w:rsidR="00C21869" w:rsidRDefault="00C21869" w:rsidP="00C21869">
      <w:pPr>
        <w:pStyle w:val="isselectedend"/>
      </w:pPr>
      <w:r>
        <w:t>8.1. O fornecedor encaminhará exclusivamente por meio do sistema eletrônico sua proposta contendo descrição do objeto ofertado, marca, quando aplicável, e preço.</w:t>
      </w:r>
    </w:p>
    <w:p w:rsidR="00C21869" w:rsidRDefault="00C21869" w:rsidP="00C21869">
      <w:pPr>
        <w:pStyle w:val="isselectedend"/>
      </w:pPr>
      <w:r>
        <w:t>8.2. Nos valores propostos estarão inclusos todos os custos diretos e indiretos necessários ao fornecimento do objeto.</w:t>
      </w:r>
    </w:p>
    <w:p w:rsidR="00C21869" w:rsidRDefault="00C21869" w:rsidP="00C21869">
      <w:pPr>
        <w:pStyle w:val="isselectedend"/>
      </w:pPr>
      <w:r>
        <w:t>8.3. Todas as especificações do objeto vinculam o fornecedor.</w:t>
      </w:r>
    </w:p>
    <w:p w:rsidR="00C21869" w:rsidRDefault="00C21869" w:rsidP="00C21869">
      <w:pPr>
        <w:pStyle w:val="isselectedend"/>
      </w:pPr>
      <w:r>
        <w:t>8.4. A validade mínima da proposta será de 60 (sessenta) dias.</w:t>
      </w:r>
    </w:p>
    <w:p w:rsidR="00C21869" w:rsidRDefault="00C21869" w:rsidP="00C21869">
      <w:pPr>
        <w:pStyle w:val="isselectedend"/>
      </w:pPr>
      <w:r>
        <w:rPr>
          <w:rStyle w:val="Forte"/>
        </w:rPr>
        <w:t>9. FASE DE LANCES</w:t>
      </w:r>
    </w:p>
    <w:p w:rsidR="00C21869" w:rsidRDefault="00C21869" w:rsidP="00C21869">
      <w:pPr>
        <w:pStyle w:val="isselectedend"/>
      </w:pPr>
      <w:r>
        <w:t>9.1. A sessão pública será automaticamente aberta pelo sistema eletrônico para envio de lances públicos e sucessivos.</w:t>
      </w:r>
    </w:p>
    <w:p w:rsidR="00C21869" w:rsidRDefault="00C21869" w:rsidP="00C21869">
      <w:pPr>
        <w:pStyle w:val="isselectedend"/>
      </w:pPr>
      <w:r>
        <w:t>9.2. O lance deverá ser ofertado pelo valor unitário do item.</w:t>
      </w:r>
    </w:p>
    <w:p w:rsidR="00C21869" w:rsidRDefault="00C21869" w:rsidP="00C21869">
      <w:pPr>
        <w:pStyle w:val="isselectedend"/>
      </w:pPr>
      <w:r>
        <w:t>9.3. O fornecedor somente poderá oferecer lance inferior ao último por ele ofertado.</w:t>
      </w:r>
    </w:p>
    <w:p w:rsidR="00C21869" w:rsidRDefault="00C21869" w:rsidP="00C21869">
      <w:pPr>
        <w:pStyle w:val="isselectedend"/>
      </w:pPr>
      <w:r>
        <w:t>9.4. Encerrada a etapa competitiva, o sistema ordenará automaticamente as propostas.</w:t>
      </w:r>
    </w:p>
    <w:p w:rsidR="00C21869" w:rsidRDefault="00C21869" w:rsidP="00C21869">
      <w:pPr>
        <w:pStyle w:val="isselectedend"/>
      </w:pPr>
      <w:r>
        <w:rPr>
          <w:rStyle w:val="Forte"/>
        </w:rPr>
        <w:t>10. JULGAMENTO DAS PROPOSTAS</w:t>
      </w:r>
    </w:p>
    <w:p w:rsidR="00C21869" w:rsidRDefault="00C21869" w:rsidP="00C21869">
      <w:pPr>
        <w:pStyle w:val="isselectedend"/>
      </w:pPr>
      <w:r>
        <w:t>10.1. Encerrada a etapa de lances, será verificada a compatibilidade da proposta classificada em primeiro lugar.</w:t>
      </w:r>
    </w:p>
    <w:p w:rsidR="00C21869" w:rsidRDefault="00C21869" w:rsidP="00C21869">
      <w:pPr>
        <w:pStyle w:val="isselectedend"/>
      </w:pPr>
      <w:r>
        <w:lastRenderedPageBreak/>
        <w:t>10.2. Poderão ser realizadas diligências para esclarecimentos ou comprovação da exequibilidade da proposta.</w:t>
      </w:r>
    </w:p>
    <w:p w:rsidR="00C21869" w:rsidRDefault="00C21869" w:rsidP="00C21869">
      <w:pPr>
        <w:pStyle w:val="isselectedend"/>
      </w:pPr>
      <w:r>
        <w:t>10.3. Será desclassificada a proposta que:</w:t>
      </w:r>
    </w:p>
    <w:p w:rsidR="00C21869" w:rsidRDefault="00C21869" w:rsidP="00C21869">
      <w:pPr>
        <w:pStyle w:val="isselectedend"/>
      </w:pPr>
      <w:r>
        <w:t>a) Não atender às especificações do objeto;</w:t>
      </w:r>
    </w:p>
    <w:p w:rsidR="00C21869" w:rsidRDefault="00C21869" w:rsidP="00C21869">
      <w:pPr>
        <w:pStyle w:val="isselectedend"/>
      </w:pPr>
      <w:r>
        <w:t>b) Apresentar preços inexequíveis;</w:t>
      </w:r>
    </w:p>
    <w:p w:rsidR="00C21869" w:rsidRDefault="00C21869" w:rsidP="00C21869">
      <w:pPr>
        <w:pStyle w:val="isselectedend"/>
      </w:pPr>
      <w:r>
        <w:t>c) Permanecer acima do valor estimado;</w:t>
      </w:r>
    </w:p>
    <w:p w:rsidR="00C21869" w:rsidRDefault="00C21869" w:rsidP="00C21869">
      <w:pPr>
        <w:pStyle w:val="isselectedend"/>
      </w:pPr>
      <w:r>
        <w:t>d) Contiver vícios insanáveis.</w:t>
      </w:r>
    </w:p>
    <w:p w:rsidR="00C21869" w:rsidRDefault="00C21869" w:rsidP="00C21869">
      <w:pPr>
        <w:pStyle w:val="isselectedend"/>
      </w:pPr>
      <w:r>
        <w:rPr>
          <w:rStyle w:val="Forte"/>
        </w:rPr>
        <w:t>11. HABILITAÇÃO</w:t>
      </w:r>
    </w:p>
    <w:p w:rsidR="00C21869" w:rsidRDefault="00C21869" w:rsidP="00C21869">
      <w:pPr>
        <w:pStyle w:val="isselectedend"/>
      </w:pPr>
      <w:r>
        <w:t xml:space="preserve">11.1. Encerrada a fase de julgamento das propostas, o fornecedor classificado provisoriamente em primeiro lugar será convocado pelo Agente de Contratação para encaminhamento dos documentos de habilitação exclusivamente através do sistema eletrônico da plataforma BLL Compras, no prazo de até </w:t>
      </w:r>
      <w:proofErr w:type="gramStart"/>
      <w:r>
        <w:t>2</w:t>
      </w:r>
      <w:proofErr w:type="gramEnd"/>
      <w:r>
        <w:t xml:space="preserve"> (duas) horas contadas da convocação realizada no sistema.</w:t>
      </w:r>
    </w:p>
    <w:p w:rsidR="00C21869" w:rsidRDefault="00C21869" w:rsidP="00C21869">
      <w:pPr>
        <w:pStyle w:val="isselectedend"/>
      </w:pPr>
      <w:r>
        <w:t>11.1.1. Eventuais documentos complementares, proposta readequada, esclarecimentos e diligências deverão ser encaminhados exclusivamente por meio do sistema eletrônico da plataforma BLL Compras.</w:t>
      </w:r>
    </w:p>
    <w:p w:rsidR="00C21869" w:rsidRDefault="00C21869" w:rsidP="00C21869">
      <w:pPr>
        <w:pStyle w:val="isselectedend"/>
      </w:pPr>
      <w:r>
        <w:t>11.2. Regularidade fiscal e trabalhista:</w:t>
      </w:r>
    </w:p>
    <w:p w:rsidR="00C21869" w:rsidRDefault="00C21869" w:rsidP="00C21869">
      <w:pPr>
        <w:pStyle w:val="isselectedend"/>
      </w:pPr>
      <w:r>
        <w:t>a) Comprovante de inscrição no CNPJ;</w:t>
      </w:r>
    </w:p>
    <w:p w:rsidR="00C21869" w:rsidRDefault="00C21869" w:rsidP="00C21869">
      <w:pPr>
        <w:pStyle w:val="isselectedend"/>
      </w:pPr>
      <w:r>
        <w:t>b) Certidão Negativa de Débitos relativos aos Tributos Federais e à Dívida Ativa da União – CND Federal;</w:t>
      </w:r>
    </w:p>
    <w:p w:rsidR="00C21869" w:rsidRDefault="00C21869" w:rsidP="00C21869">
      <w:pPr>
        <w:pStyle w:val="isselectedend"/>
      </w:pPr>
      <w:r>
        <w:t>c) Certificado de Regularidade do FGTS;</w:t>
      </w:r>
    </w:p>
    <w:p w:rsidR="00C21869" w:rsidRDefault="00C21869" w:rsidP="00C21869">
      <w:pPr>
        <w:pStyle w:val="isselectedend"/>
      </w:pPr>
      <w:r>
        <w:t>d) Certidão Negativa de Débitos Trabalhistas – CNDT.</w:t>
      </w:r>
    </w:p>
    <w:p w:rsidR="00C21869" w:rsidRDefault="00C21869" w:rsidP="00C21869">
      <w:pPr>
        <w:pStyle w:val="isselectedend"/>
      </w:pPr>
      <w:r>
        <w:t>11.3. Para fins de enquadramento como microempresa ou empresa de pequeno porte, a empresa deverá apresentar:</w:t>
      </w:r>
    </w:p>
    <w:p w:rsidR="00C21869" w:rsidRDefault="00C21869" w:rsidP="00C21869">
      <w:pPr>
        <w:pStyle w:val="isselectedend"/>
      </w:pPr>
      <w:r>
        <w:t>a) Declaração de enquadramento;</w:t>
      </w:r>
    </w:p>
    <w:p w:rsidR="00C21869" w:rsidRDefault="00C21869" w:rsidP="00C21869">
      <w:pPr>
        <w:pStyle w:val="isselectedend"/>
      </w:pPr>
      <w:r>
        <w:t>b) Certidão simplificada da Junta Comercial emitida há menos de 90 (noventa) dias.</w:t>
      </w:r>
    </w:p>
    <w:p w:rsidR="00C21869" w:rsidRDefault="00C21869" w:rsidP="00C21869">
      <w:pPr>
        <w:pStyle w:val="isselectedend"/>
      </w:pPr>
      <w:r>
        <w:t>11.4. A Administração poderá realizar consultas junto aos cadastros CEIS, CNJ, TCE/SP e demais cadastros pertinentes.</w:t>
      </w:r>
    </w:p>
    <w:p w:rsidR="00C21869" w:rsidRDefault="00C21869" w:rsidP="00C21869">
      <w:pPr>
        <w:pStyle w:val="isselectedend"/>
      </w:pPr>
      <w:r>
        <w:rPr>
          <w:rStyle w:val="Forte"/>
        </w:rPr>
        <w:lastRenderedPageBreak/>
        <w:t>12. CONTRATAÇÃO</w:t>
      </w:r>
    </w:p>
    <w:p w:rsidR="00C21869" w:rsidRDefault="00C21869" w:rsidP="00C21869">
      <w:pPr>
        <w:pStyle w:val="isselectedend"/>
      </w:pPr>
      <w:r>
        <w:t>12.1. Após homologação será emitida a Autorização de Fornecimento.</w:t>
      </w:r>
    </w:p>
    <w:p w:rsidR="00C21869" w:rsidRDefault="00C21869" w:rsidP="00C21869">
      <w:pPr>
        <w:pStyle w:val="isselectedend"/>
      </w:pPr>
      <w:r>
        <w:t xml:space="preserve">12.2. O adjudicatário terá prazo de </w:t>
      </w:r>
      <w:proofErr w:type="gramStart"/>
      <w:r>
        <w:t>2</w:t>
      </w:r>
      <w:proofErr w:type="gramEnd"/>
      <w:r>
        <w:t xml:space="preserve"> (dois) dias úteis para aceite.</w:t>
      </w:r>
    </w:p>
    <w:p w:rsidR="00C21869" w:rsidRDefault="00C21869" w:rsidP="00C21869">
      <w:pPr>
        <w:pStyle w:val="isselectedend"/>
      </w:pPr>
      <w:r>
        <w:t>12.3. A recusa injustificada sujeitará o fornecedor às penalidades previstas na Lei Federal nº 14.133/2021.</w:t>
      </w:r>
    </w:p>
    <w:p w:rsidR="00C21869" w:rsidRDefault="00C21869" w:rsidP="00C21869">
      <w:pPr>
        <w:pStyle w:val="isselectedend"/>
      </w:pPr>
      <w:r>
        <w:rPr>
          <w:rStyle w:val="Forte"/>
        </w:rPr>
        <w:t>13. PAGAMENTO</w:t>
      </w:r>
    </w:p>
    <w:p w:rsidR="00C21869" w:rsidRDefault="00C21869" w:rsidP="00C21869">
      <w:pPr>
        <w:pStyle w:val="isselectedend"/>
      </w:pPr>
      <w:r>
        <w:t>13.1. O pagamento será realizado mediante apresentação de nota fiscal eletrônica.</w:t>
      </w:r>
    </w:p>
    <w:p w:rsidR="00C21869" w:rsidRDefault="00C21869" w:rsidP="00C21869">
      <w:pPr>
        <w:pStyle w:val="isselectedend"/>
      </w:pPr>
      <w:r>
        <w:t>13.2. O pagamento será realizado na primeira sexta-feira subsequente ao prazo mínimo de 20 (vinte) dias da liberação da nota fiscal pelo setor competente.</w:t>
      </w:r>
    </w:p>
    <w:p w:rsidR="00C21869" w:rsidRDefault="00C21869" w:rsidP="00C21869">
      <w:pPr>
        <w:pStyle w:val="isselectedend"/>
      </w:pPr>
      <w:r>
        <w:t>13.3. A nota fiscal deverá conter:</w:t>
      </w:r>
    </w:p>
    <w:p w:rsidR="00C21869" w:rsidRDefault="00C21869" w:rsidP="00C21869">
      <w:pPr>
        <w:pStyle w:val="isselectedend"/>
      </w:pPr>
      <w:r>
        <w:t>a) Número da dispensa;</w:t>
      </w:r>
    </w:p>
    <w:p w:rsidR="00C21869" w:rsidRDefault="00C21869" w:rsidP="00C21869">
      <w:pPr>
        <w:pStyle w:val="isselectedend"/>
      </w:pPr>
      <w:r>
        <w:t>b) Dados bancários da contratada.</w:t>
      </w:r>
    </w:p>
    <w:p w:rsidR="00C21869" w:rsidRDefault="00C21869" w:rsidP="00C21869">
      <w:pPr>
        <w:pStyle w:val="isselectedend"/>
      </w:pPr>
      <w:r>
        <w:t>13.4. Havendo incorreção na nota fiscal, esta será devolvida para regularização.</w:t>
      </w:r>
    </w:p>
    <w:p w:rsidR="00C21869" w:rsidRDefault="00C21869" w:rsidP="00C21869">
      <w:pPr>
        <w:pStyle w:val="isselectedend"/>
      </w:pPr>
      <w:r>
        <w:rPr>
          <w:rStyle w:val="Forte"/>
        </w:rPr>
        <w:t>14. SANÇÕES ADMINISTRATIVAS</w:t>
      </w:r>
    </w:p>
    <w:p w:rsidR="00C21869" w:rsidRDefault="00C21869" w:rsidP="00C21869">
      <w:pPr>
        <w:pStyle w:val="isselectedend"/>
      </w:pPr>
      <w:r>
        <w:t>14.1. Comete infração administrativa o fornecedor que:</w:t>
      </w:r>
    </w:p>
    <w:p w:rsidR="00C21869" w:rsidRDefault="00C21869" w:rsidP="00C21869">
      <w:pPr>
        <w:pStyle w:val="isselectedend"/>
      </w:pPr>
      <w:r>
        <w:t>a) Não entregar documentação exigida;</w:t>
      </w:r>
    </w:p>
    <w:p w:rsidR="00C21869" w:rsidRDefault="00C21869" w:rsidP="00C21869">
      <w:pPr>
        <w:pStyle w:val="isselectedend"/>
      </w:pPr>
      <w:r>
        <w:t>b) Não mantiver a proposta;</w:t>
      </w:r>
    </w:p>
    <w:p w:rsidR="00C21869" w:rsidRDefault="00C21869" w:rsidP="00C21869">
      <w:pPr>
        <w:pStyle w:val="isselectedend"/>
      </w:pPr>
      <w:r>
        <w:t>c) Apresentar documentação falsa;</w:t>
      </w:r>
    </w:p>
    <w:p w:rsidR="00C21869" w:rsidRDefault="00C21869" w:rsidP="00C21869">
      <w:pPr>
        <w:pStyle w:val="isselectedend"/>
      </w:pPr>
      <w:r>
        <w:t>d) Fraudar o procedimento;</w:t>
      </w:r>
    </w:p>
    <w:p w:rsidR="00C21869" w:rsidRDefault="00C21869" w:rsidP="00C21869">
      <w:pPr>
        <w:pStyle w:val="isselectedend"/>
      </w:pPr>
      <w:r>
        <w:t>e) Descumprir as obrigações assumidas.</w:t>
      </w:r>
    </w:p>
    <w:p w:rsidR="00C21869" w:rsidRDefault="00C21869" w:rsidP="00C21869">
      <w:pPr>
        <w:pStyle w:val="isselectedend"/>
      </w:pPr>
      <w:r>
        <w:t>14.2. Poderão ser aplicadas as seguintes penalidades:</w:t>
      </w:r>
    </w:p>
    <w:p w:rsidR="00C21869" w:rsidRDefault="00C21869" w:rsidP="00C21869">
      <w:pPr>
        <w:pStyle w:val="isselectedend"/>
      </w:pPr>
      <w:r>
        <w:t>a) Advertência;</w:t>
      </w:r>
    </w:p>
    <w:p w:rsidR="00C21869" w:rsidRDefault="00C21869" w:rsidP="00C21869">
      <w:pPr>
        <w:pStyle w:val="isselectedend"/>
      </w:pPr>
      <w:r>
        <w:t>b) Multa;</w:t>
      </w:r>
    </w:p>
    <w:p w:rsidR="00C21869" w:rsidRDefault="00C21869" w:rsidP="00C21869">
      <w:pPr>
        <w:pStyle w:val="isselectedend"/>
      </w:pPr>
      <w:r>
        <w:t>c) Impedimento de licitar e contratar;</w:t>
      </w:r>
    </w:p>
    <w:p w:rsidR="00C21869" w:rsidRDefault="00C21869" w:rsidP="00C21869">
      <w:pPr>
        <w:pStyle w:val="isselectedend"/>
      </w:pPr>
      <w:r>
        <w:lastRenderedPageBreak/>
        <w:t>d) Declaração de inidoneidade.</w:t>
      </w:r>
    </w:p>
    <w:p w:rsidR="00C21869" w:rsidRDefault="00C21869" w:rsidP="00C21869">
      <w:pPr>
        <w:pStyle w:val="isselectedend"/>
      </w:pPr>
      <w:r>
        <w:t>14.3. As penalidades observarão os critérios previstos na Lei Federal nº 14.133/2021.</w:t>
      </w:r>
    </w:p>
    <w:p w:rsidR="00C21869" w:rsidRDefault="00C21869" w:rsidP="00C21869">
      <w:pPr>
        <w:pStyle w:val="isselectedend"/>
      </w:pPr>
      <w:r>
        <w:rPr>
          <w:rStyle w:val="Forte"/>
        </w:rPr>
        <w:t>15. DISPOSIÇÕES GERAIS</w:t>
      </w:r>
    </w:p>
    <w:p w:rsidR="00C21869" w:rsidRDefault="00C21869" w:rsidP="00C21869">
      <w:pPr>
        <w:pStyle w:val="isselectedend"/>
      </w:pPr>
      <w:r>
        <w:t>15.1. O procedimento será divulgado no Portal Nacional de Contratações Públicas – PNCP, na plataforma BLL Compras e no sítio oficial do SAAE Rio das Pedras/SP.</w:t>
      </w:r>
    </w:p>
    <w:p w:rsidR="00C21869" w:rsidRDefault="00C21869" w:rsidP="00C21869">
      <w:pPr>
        <w:pStyle w:val="isselectedend"/>
      </w:pPr>
      <w:r>
        <w:t>15.2. O fornecedor deverá acompanhar as operações no sistema eletrônico, sendo responsável pelos ônus decorrentes da perda de negócios.</w:t>
      </w:r>
    </w:p>
    <w:p w:rsidR="00C21869" w:rsidRDefault="00C21869" w:rsidP="00C21869">
      <w:pPr>
        <w:pStyle w:val="isselectedend"/>
      </w:pPr>
      <w:r>
        <w:t>15.3. Os horários observarão o horário oficial de Brasília/DF.</w:t>
      </w:r>
    </w:p>
    <w:p w:rsidR="00C21869" w:rsidRDefault="00C21869" w:rsidP="00C21869">
      <w:pPr>
        <w:pStyle w:val="isselectedend"/>
      </w:pPr>
      <w:r>
        <w:t>15.4. Integram este edital:</w:t>
      </w:r>
    </w:p>
    <w:p w:rsidR="00C21869" w:rsidRDefault="00C21869" w:rsidP="00C21869">
      <w:pPr>
        <w:pStyle w:val="isselectedend"/>
      </w:pPr>
      <w:r>
        <w:t>ANEXO I – Especificação do Objeto;</w:t>
      </w:r>
      <w:r>
        <w:br/>
        <w:t>ANEXO II – Termo de Referência.</w:t>
      </w:r>
    </w:p>
    <w:p w:rsidR="00C21869" w:rsidRDefault="00EF745A" w:rsidP="00C21869">
      <w:pPr>
        <w:pStyle w:val="isselectedend"/>
      </w:pPr>
      <w:r>
        <w:t>Rio das Pedras, 23</w:t>
      </w:r>
      <w:r w:rsidR="00C4200E">
        <w:t xml:space="preserve"> de junho</w:t>
      </w:r>
      <w:r w:rsidR="00C21869">
        <w:t xml:space="preserve"> de 2026.</w:t>
      </w:r>
    </w:p>
    <w:p w:rsidR="00C21869" w:rsidRDefault="00C21869" w:rsidP="00C21869">
      <w:pPr>
        <w:pStyle w:val="NormalWeb"/>
        <w:jc w:val="center"/>
      </w:pPr>
    </w:p>
    <w:p w:rsidR="00C21869" w:rsidRDefault="00C21869" w:rsidP="00C21869">
      <w:pPr>
        <w:pStyle w:val="NormalWeb"/>
        <w:jc w:val="center"/>
      </w:pPr>
    </w:p>
    <w:p w:rsidR="00C21869" w:rsidRDefault="00C21869" w:rsidP="00C21869">
      <w:pPr>
        <w:pStyle w:val="NormalWeb"/>
        <w:jc w:val="center"/>
      </w:pPr>
      <w:proofErr w:type="spellStart"/>
      <w:r>
        <w:t>Laercio</w:t>
      </w:r>
      <w:proofErr w:type="spellEnd"/>
      <w:r>
        <w:t xml:space="preserve"> </w:t>
      </w:r>
      <w:proofErr w:type="spellStart"/>
      <w:r>
        <w:t>Angelo</w:t>
      </w:r>
      <w:proofErr w:type="spellEnd"/>
      <w:r>
        <w:t xml:space="preserve"> Rossi</w:t>
      </w:r>
      <w:r>
        <w:br/>
        <w:t>Superintendente</w:t>
      </w:r>
    </w:p>
    <w:p w:rsidR="00D76442" w:rsidRPr="00C21869" w:rsidRDefault="00D76442" w:rsidP="00C21869">
      <w:pPr>
        <w:rPr>
          <w:szCs w:val="20"/>
        </w:rPr>
      </w:pPr>
    </w:p>
    <w:sectPr w:rsidR="00D76442" w:rsidRPr="00C21869" w:rsidSect="00B2193B">
      <w:headerReference w:type="default" r:id="rId10"/>
      <w:footerReference w:type="default" r:id="rId11"/>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0B5" w:rsidRDefault="001010B5" w:rsidP="00D01668">
      <w:pPr>
        <w:spacing w:after="0" w:line="240" w:lineRule="auto"/>
      </w:pPr>
      <w:r>
        <w:separator/>
      </w:r>
    </w:p>
  </w:endnote>
  <w:endnote w:type="continuationSeparator" w:id="0">
    <w:p w:rsidR="001010B5" w:rsidRDefault="001010B5"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133ACD">
    <w:pPr>
      <w:pStyle w:val="Rodap"/>
      <w:jc w:val="right"/>
    </w:pPr>
    <w:fldSimple w:instr=" PAGE   \* MERGEFORMAT ">
      <w:r w:rsidR="0004210D">
        <w:rPr>
          <w:noProof/>
        </w:rPr>
        <w:t>13</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0B5" w:rsidRDefault="001010B5" w:rsidP="00D01668">
      <w:pPr>
        <w:spacing w:after="0" w:line="240" w:lineRule="auto"/>
      </w:pPr>
      <w:r>
        <w:separator/>
      </w:r>
    </w:p>
  </w:footnote>
  <w:footnote w:type="continuationSeparator" w:id="0">
    <w:p w:rsidR="001010B5" w:rsidRDefault="001010B5"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133ACD" w:rsidP="00AB11F5">
          <w:pPr>
            <w:pStyle w:val="Cabealho"/>
            <w:jc w:val="center"/>
            <w:rPr>
              <w:sz w:val="16"/>
            </w:rPr>
          </w:pPr>
          <w:r w:rsidRPr="00133ACD">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133ACD">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B05E9B"/>
    <w:multiLevelType w:val="multilevel"/>
    <w:tmpl w:val="75826E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8">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0183657"/>
    <w:multiLevelType w:val="multilevel"/>
    <w:tmpl w:val="AEDCD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5">
    <w:nsid w:val="42F16B1C"/>
    <w:multiLevelType w:val="multilevel"/>
    <w:tmpl w:val="9B3A7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3D7AE7"/>
    <w:multiLevelType w:val="hybridMultilevel"/>
    <w:tmpl w:val="9B385A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6E62769"/>
    <w:multiLevelType w:val="multilevel"/>
    <w:tmpl w:val="2668B1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22">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4">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0000BDE"/>
    <w:multiLevelType w:val="multilevel"/>
    <w:tmpl w:val="C5C498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7"/>
  </w:num>
  <w:num w:numId="3">
    <w:abstractNumId w:val="22"/>
  </w:num>
  <w:num w:numId="4">
    <w:abstractNumId w:val="21"/>
  </w:num>
  <w:num w:numId="5">
    <w:abstractNumId w:val="23"/>
  </w:num>
  <w:num w:numId="6">
    <w:abstractNumId w:val="0"/>
  </w:num>
  <w:num w:numId="7">
    <w:abstractNumId w:val="26"/>
  </w:num>
  <w:num w:numId="8">
    <w:abstractNumId w:val="12"/>
  </w:num>
  <w:num w:numId="9">
    <w:abstractNumId w:val="20"/>
  </w:num>
  <w:num w:numId="10">
    <w:abstractNumId w:val="13"/>
  </w:num>
  <w:num w:numId="11">
    <w:abstractNumId w:val="32"/>
  </w:num>
  <w:num w:numId="12">
    <w:abstractNumId w:val="24"/>
  </w:num>
  <w:num w:numId="13">
    <w:abstractNumId w:val="25"/>
  </w:num>
  <w:num w:numId="14">
    <w:abstractNumId w:val="4"/>
  </w:num>
  <w:num w:numId="15">
    <w:abstractNumId w:val="5"/>
  </w:num>
  <w:num w:numId="16">
    <w:abstractNumId w:val="30"/>
  </w:num>
  <w:num w:numId="17">
    <w:abstractNumId w:val="3"/>
  </w:num>
  <w:num w:numId="18">
    <w:abstractNumId w:val="8"/>
  </w:num>
  <w:num w:numId="19">
    <w:abstractNumId w:val="33"/>
  </w:num>
  <w:num w:numId="20">
    <w:abstractNumId w:val="18"/>
  </w:num>
  <w:num w:numId="21">
    <w:abstractNumId w:val="14"/>
  </w:num>
  <w:num w:numId="22">
    <w:abstractNumId w:val="10"/>
  </w:num>
  <w:num w:numId="23">
    <w:abstractNumId w:val="19"/>
  </w:num>
  <w:num w:numId="24">
    <w:abstractNumId w:val="31"/>
  </w:num>
  <w:num w:numId="25">
    <w:abstractNumId w:val="28"/>
  </w:num>
  <w:num w:numId="26">
    <w:abstractNumId w:val="9"/>
  </w:num>
  <w:num w:numId="27">
    <w:abstractNumId w:val="2"/>
  </w:num>
  <w:num w:numId="28">
    <w:abstractNumId w:val="6"/>
  </w:num>
  <w:num w:numId="29">
    <w:abstractNumId w:val="15"/>
  </w:num>
  <w:num w:numId="30">
    <w:abstractNumId w:val="11"/>
  </w:num>
  <w:num w:numId="31">
    <w:abstractNumId w:val="29"/>
  </w:num>
  <w:num w:numId="32">
    <w:abstractNumId w:val="1"/>
  </w:num>
  <w:num w:numId="33">
    <w:abstractNumId w:val="17"/>
  </w:num>
  <w:num w:numId="34">
    <w:abstractNumId w:val="1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78850">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049EA"/>
    <w:rsid w:val="00016F3F"/>
    <w:rsid w:val="000252D6"/>
    <w:rsid w:val="000253BF"/>
    <w:rsid w:val="00034369"/>
    <w:rsid w:val="000419F6"/>
    <w:rsid w:val="0004210D"/>
    <w:rsid w:val="000440A2"/>
    <w:rsid w:val="000469E3"/>
    <w:rsid w:val="00050B5F"/>
    <w:rsid w:val="00052493"/>
    <w:rsid w:val="000537F1"/>
    <w:rsid w:val="00053D33"/>
    <w:rsid w:val="00055B06"/>
    <w:rsid w:val="00055D1D"/>
    <w:rsid w:val="000629D6"/>
    <w:rsid w:val="00063E6D"/>
    <w:rsid w:val="00066801"/>
    <w:rsid w:val="00066CA5"/>
    <w:rsid w:val="00071C50"/>
    <w:rsid w:val="00073996"/>
    <w:rsid w:val="000742BA"/>
    <w:rsid w:val="000813C3"/>
    <w:rsid w:val="000864C7"/>
    <w:rsid w:val="0009108C"/>
    <w:rsid w:val="0009122A"/>
    <w:rsid w:val="00093807"/>
    <w:rsid w:val="00097526"/>
    <w:rsid w:val="000B2707"/>
    <w:rsid w:val="000B35E9"/>
    <w:rsid w:val="000C0DEA"/>
    <w:rsid w:val="000C20BD"/>
    <w:rsid w:val="000C377B"/>
    <w:rsid w:val="000C384B"/>
    <w:rsid w:val="000C778A"/>
    <w:rsid w:val="000D0491"/>
    <w:rsid w:val="000D1668"/>
    <w:rsid w:val="000E0693"/>
    <w:rsid w:val="000E32A9"/>
    <w:rsid w:val="000E402D"/>
    <w:rsid w:val="000F68D4"/>
    <w:rsid w:val="001010B5"/>
    <w:rsid w:val="0010195C"/>
    <w:rsid w:val="00102D44"/>
    <w:rsid w:val="00107699"/>
    <w:rsid w:val="001168EE"/>
    <w:rsid w:val="00116956"/>
    <w:rsid w:val="00117DFF"/>
    <w:rsid w:val="001232ED"/>
    <w:rsid w:val="00133ACD"/>
    <w:rsid w:val="00150F52"/>
    <w:rsid w:val="00161C08"/>
    <w:rsid w:val="0016530B"/>
    <w:rsid w:val="0017113E"/>
    <w:rsid w:val="0017274E"/>
    <w:rsid w:val="00173C26"/>
    <w:rsid w:val="00180D18"/>
    <w:rsid w:val="00187D55"/>
    <w:rsid w:val="00190B65"/>
    <w:rsid w:val="001956C5"/>
    <w:rsid w:val="001973A6"/>
    <w:rsid w:val="001978B9"/>
    <w:rsid w:val="001A031A"/>
    <w:rsid w:val="001A21D5"/>
    <w:rsid w:val="001A6282"/>
    <w:rsid w:val="001C18B9"/>
    <w:rsid w:val="001E055F"/>
    <w:rsid w:val="001F0855"/>
    <w:rsid w:val="001F7038"/>
    <w:rsid w:val="00202602"/>
    <w:rsid w:val="00206995"/>
    <w:rsid w:val="00215E92"/>
    <w:rsid w:val="002200DE"/>
    <w:rsid w:val="00223131"/>
    <w:rsid w:val="0022555A"/>
    <w:rsid w:val="002340E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15FE"/>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26DB"/>
    <w:rsid w:val="0034497C"/>
    <w:rsid w:val="0034671F"/>
    <w:rsid w:val="00347455"/>
    <w:rsid w:val="00356828"/>
    <w:rsid w:val="003572E6"/>
    <w:rsid w:val="00364C7D"/>
    <w:rsid w:val="003707E3"/>
    <w:rsid w:val="0037197E"/>
    <w:rsid w:val="00372CFD"/>
    <w:rsid w:val="00380A98"/>
    <w:rsid w:val="003835D0"/>
    <w:rsid w:val="003908E2"/>
    <w:rsid w:val="00392B3F"/>
    <w:rsid w:val="00397B5E"/>
    <w:rsid w:val="003A54DB"/>
    <w:rsid w:val="003B0D88"/>
    <w:rsid w:val="003B622A"/>
    <w:rsid w:val="003B6FD3"/>
    <w:rsid w:val="003D4B4D"/>
    <w:rsid w:val="003D5ED1"/>
    <w:rsid w:val="003D6662"/>
    <w:rsid w:val="003E3504"/>
    <w:rsid w:val="003E5027"/>
    <w:rsid w:val="003E5D37"/>
    <w:rsid w:val="003F030F"/>
    <w:rsid w:val="003F24C8"/>
    <w:rsid w:val="003F7F66"/>
    <w:rsid w:val="00400FF7"/>
    <w:rsid w:val="00405FC0"/>
    <w:rsid w:val="004071BE"/>
    <w:rsid w:val="00415254"/>
    <w:rsid w:val="00417A80"/>
    <w:rsid w:val="00426227"/>
    <w:rsid w:val="004270FC"/>
    <w:rsid w:val="004356BF"/>
    <w:rsid w:val="00437C25"/>
    <w:rsid w:val="004403CB"/>
    <w:rsid w:val="00445049"/>
    <w:rsid w:val="00461D21"/>
    <w:rsid w:val="00470EE6"/>
    <w:rsid w:val="00471610"/>
    <w:rsid w:val="00480C4F"/>
    <w:rsid w:val="0048202C"/>
    <w:rsid w:val="0049592D"/>
    <w:rsid w:val="004A148C"/>
    <w:rsid w:val="004A43FB"/>
    <w:rsid w:val="004A6A6A"/>
    <w:rsid w:val="004B563B"/>
    <w:rsid w:val="004B740D"/>
    <w:rsid w:val="004B7DBF"/>
    <w:rsid w:val="004C586D"/>
    <w:rsid w:val="004D359E"/>
    <w:rsid w:val="004D4698"/>
    <w:rsid w:val="004D4A27"/>
    <w:rsid w:val="004E0109"/>
    <w:rsid w:val="004E0D26"/>
    <w:rsid w:val="004E1D18"/>
    <w:rsid w:val="004E329F"/>
    <w:rsid w:val="004F305F"/>
    <w:rsid w:val="00501A78"/>
    <w:rsid w:val="00503280"/>
    <w:rsid w:val="005032D5"/>
    <w:rsid w:val="0050479D"/>
    <w:rsid w:val="00510D2E"/>
    <w:rsid w:val="00511DC2"/>
    <w:rsid w:val="00513B51"/>
    <w:rsid w:val="005201D2"/>
    <w:rsid w:val="00526E9A"/>
    <w:rsid w:val="005275E0"/>
    <w:rsid w:val="005276CD"/>
    <w:rsid w:val="0053247D"/>
    <w:rsid w:val="00545C15"/>
    <w:rsid w:val="00553A58"/>
    <w:rsid w:val="005547E0"/>
    <w:rsid w:val="00560B17"/>
    <w:rsid w:val="00563F5C"/>
    <w:rsid w:val="0056508B"/>
    <w:rsid w:val="00565DCC"/>
    <w:rsid w:val="00567BCB"/>
    <w:rsid w:val="00567DEC"/>
    <w:rsid w:val="0057130C"/>
    <w:rsid w:val="0057174D"/>
    <w:rsid w:val="0057359D"/>
    <w:rsid w:val="00584DCA"/>
    <w:rsid w:val="00585DCF"/>
    <w:rsid w:val="005900F8"/>
    <w:rsid w:val="005920E4"/>
    <w:rsid w:val="00592A03"/>
    <w:rsid w:val="00596FC2"/>
    <w:rsid w:val="005A47C4"/>
    <w:rsid w:val="005A5F23"/>
    <w:rsid w:val="005B5728"/>
    <w:rsid w:val="005B6753"/>
    <w:rsid w:val="005D1EFB"/>
    <w:rsid w:val="005D7253"/>
    <w:rsid w:val="005E02C6"/>
    <w:rsid w:val="005E1693"/>
    <w:rsid w:val="005E5A62"/>
    <w:rsid w:val="005F2BDF"/>
    <w:rsid w:val="005F51A1"/>
    <w:rsid w:val="005F698A"/>
    <w:rsid w:val="005F7867"/>
    <w:rsid w:val="006005A2"/>
    <w:rsid w:val="0060176E"/>
    <w:rsid w:val="00605AF5"/>
    <w:rsid w:val="00620CB0"/>
    <w:rsid w:val="006216D1"/>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2B7C"/>
    <w:rsid w:val="006B586B"/>
    <w:rsid w:val="006C7E1C"/>
    <w:rsid w:val="006D25F6"/>
    <w:rsid w:val="006D3051"/>
    <w:rsid w:val="006D3BAD"/>
    <w:rsid w:val="006D641D"/>
    <w:rsid w:val="006D7C85"/>
    <w:rsid w:val="006D7DC9"/>
    <w:rsid w:val="006E0F9B"/>
    <w:rsid w:val="006E1763"/>
    <w:rsid w:val="006E39B0"/>
    <w:rsid w:val="006E654F"/>
    <w:rsid w:val="006E7289"/>
    <w:rsid w:val="006F1333"/>
    <w:rsid w:val="006F54EB"/>
    <w:rsid w:val="00701223"/>
    <w:rsid w:val="00702DC7"/>
    <w:rsid w:val="00703DF1"/>
    <w:rsid w:val="007121DF"/>
    <w:rsid w:val="007224CA"/>
    <w:rsid w:val="00726B3C"/>
    <w:rsid w:val="007357CE"/>
    <w:rsid w:val="00736766"/>
    <w:rsid w:val="0074141C"/>
    <w:rsid w:val="007416CF"/>
    <w:rsid w:val="00742137"/>
    <w:rsid w:val="00754180"/>
    <w:rsid w:val="007603D2"/>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6E07"/>
    <w:rsid w:val="007D7799"/>
    <w:rsid w:val="007E017D"/>
    <w:rsid w:val="007E0ED8"/>
    <w:rsid w:val="007E174B"/>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778D3"/>
    <w:rsid w:val="00880843"/>
    <w:rsid w:val="00881D97"/>
    <w:rsid w:val="00881FCF"/>
    <w:rsid w:val="00883695"/>
    <w:rsid w:val="00883F85"/>
    <w:rsid w:val="00885BBC"/>
    <w:rsid w:val="0089047D"/>
    <w:rsid w:val="00891D21"/>
    <w:rsid w:val="00893938"/>
    <w:rsid w:val="0089667C"/>
    <w:rsid w:val="008A0E14"/>
    <w:rsid w:val="008A27CB"/>
    <w:rsid w:val="008A2A01"/>
    <w:rsid w:val="008B22F5"/>
    <w:rsid w:val="008B56A6"/>
    <w:rsid w:val="008D22BB"/>
    <w:rsid w:val="008D4E5F"/>
    <w:rsid w:val="008D57AF"/>
    <w:rsid w:val="008E2100"/>
    <w:rsid w:val="008E339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42BF9"/>
    <w:rsid w:val="00950168"/>
    <w:rsid w:val="00950DE9"/>
    <w:rsid w:val="00955F1B"/>
    <w:rsid w:val="009643A6"/>
    <w:rsid w:val="009711B8"/>
    <w:rsid w:val="00974706"/>
    <w:rsid w:val="00975268"/>
    <w:rsid w:val="00977C36"/>
    <w:rsid w:val="009867E5"/>
    <w:rsid w:val="00993290"/>
    <w:rsid w:val="00994719"/>
    <w:rsid w:val="009A503C"/>
    <w:rsid w:val="009B3FCE"/>
    <w:rsid w:val="009B461A"/>
    <w:rsid w:val="009C53C9"/>
    <w:rsid w:val="009D0536"/>
    <w:rsid w:val="009D126D"/>
    <w:rsid w:val="009D53A2"/>
    <w:rsid w:val="009D751D"/>
    <w:rsid w:val="009E0C52"/>
    <w:rsid w:val="009E334F"/>
    <w:rsid w:val="009E3867"/>
    <w:rsid w:val="009E4B1E"/>
    <w:rsid w:val="009F0CA8"/>
    <w:rsid w:val="00A004CF"/>
    <w:rsid w:val="00A01EC8"/>
    <w:rsid w:val="00A03F8D"/>
    <w:rsid w:val="00A05628"/>
    <w:rsid w:val="00A13CFF"/>
    <w:rsid w:val="00A2120B"/>
    <w:rsid w:val="00A22F6D"/>
    <w:rsid w:val="00A23284"/>
    <w:rsid w:val="00A25297"/>
    <w:rsid w:val="00A30142"/>
    <w:rsid w:val="00A30951"/>
    <w:rsid w:val="00A33A89"/>
    <w:rsid w:val="00A34083"/>
    <w:rsid w:val="00A3707D"/>
    <w:rsid w:val="00A4727F"/>
    <w:rsid w:val="00A50A43"/>
    <w:rsid w:val="00A558B4"/>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AF4A57"/>
    <w:rsid w:val="00B11995"/>
    <w:rsid w:val="00B13014"/>
    <w:rsid w:val="00B163F4"/>
    <w:rsid w:val="00B176EF"/>
    <w:rsid w:val="00B2193B"/>
    <w:rsid w:val="00B2651A"/>
    <w:rsid w:val="00B36DA6"/>
    <w:rsid w:val="00B375AD"/>
    <w:rsid w:val="00B37F98"/>
    <w:rsid w:val="00B46784"/>
    <w:rsid w:val="00B47E05"/>
    <w:rsid w:val="00B510B0"/>
    <w:rsid w:val="00B51A7A"/>
    <w:rsid w:val="00B53014"/>
    <w:rsid w:val="00B55304"/>
    <w:rsid w:val="00B56066"/>
    <w:rsid w:val="00B57EDA"/>
    <w:rsid w:val="00B63B30"/>
    <w:rsid w:val="00B65F3E"/>
    <w:rsid w:val="00B67705"/>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B7F1A"/>
    <w:rsid w:val="00BC01B6"/>
    <w:rsid w:val="00BC0505"/>
    <w:rsid w:val="00BC2176"/>
    <w:rsid w:val="00BC4E07"/>
    <w:rsid w:val="00BC7468"/>
    <w:rsid w:val="00BD1D42"/>
    <w:rsid w:val="00BD58D3"/>
    <w:rsid w:val="00BE22D0"/>
    <w:rsid w:val="00BE2416"/>
    <w:rsid w:val="00BE2834"/>
    <w:rsid w:val="00BE5BB0"/>
    <w:rsid w:val="00BE6971"/>
    <w:rsid w:val="00BF3999"/>
    <w:rsid w:val="00BF4265"/>
    <w:rsid w:val="00C00166"/>
    <w:rsid w:val="00C0046F"/>
    <w:rsid w:val="00C0600A"/>
    <w:rsid w:val="00C128DB"/>
    <w:rsid w:val="00C14F84"/>
    <w:rsid w:val="00C21869"/>
    <w:rsid w:val="00C23F22"/>
    <w:rsid w:val="00C23FC5"/>
    <w:rsid w:val="00C25329"/>
    <w:rsid w:val="00C30C7F"/>
    <w:rsid w:val="00C36418"/>
    <w:rsid w:val="00C4148A"/>
    <w:rsid w:val="00C4200E"/>
    <w:rsid w:val="00C42505"/>
    <w:rsid w:val="00C47614"/>
    <w:rsid w:val="00C51C49"/>
    <w:rsid w:val="00C52E44"/>
    <w:rsid w:val="00C55042"/>
    <w:rsid w:val="00C561FF"/>
    <w:rsid w:val="00C632D2"/>
    <w:rsid w:val="00C633AC"/>
    <w:rsid w:val="00C72ED1"/>
    <w:rsid w:val="00C74E85"/>
    <w:rsid w:val="00C75164"/>
    <w:rsid w:val="00C80205"/>
    <w:rsid w:val="00C8778C"/>
    <w:rsid w:val="00C90456"/>
    <w:rsid w:val="00C9126F"/>
    <w:rsid w:val="00C97D20"/>
    <w:rsid w:val="00CA0F65"/>
    <w:rsid w:val="00CA2656"/>
    <w:rsid w:val="00CA3565"/>
    <w:rsid w:val="00CA670E"/>
    <w:rsid w:val="00CB46AB"/>
    <w:rsid w:val="00CB5B2A"/>
    <w:rsid w:val="00CC0AF4"/>
    <w:rsid w:val="00CC7F11"/>
    <w:rsid w:val="00CD0364"/>
    <w:rsid w:val="00CD068C"/>
    <w:rsid w:val="00CD3D77"/>
    <w:rsid w:val="00CE417E"/>
    <w:rsid w:val="00CF0719"/>
    <w:rsid w:val="00D01668"/>
    <w:rsid w:val="00D03FAD"/>
    <w:rsid w:val="00D05657"/>
    <w:rsid w:val="00D2768E"/>
    <w:rsid w:val="00D3233D"/>
    <w:rsid w:val="00D3474F"/>
    <w:rsid w:val="00D353A6"/>
    <w:rsid w:val="00D416E8"/>
    <w:rsid w:val="00D425FB"/>
    <w:rsid w:val="00D42B42"/>
    <w:rsid w:val="00D45711"/>
    <w:rsid w:val="00D471AD"/>
    <w:rsid w:val="00D56482"/>
    <w:rsid w:val="00D721A7"/>
    <w:rsid w:val="00D73860"/>
    <w:rsid w:val="00D76442"/>
    <w:rsid w:val="00D76EC5"/>
    <w:rsid w:val="00D80956"/>
    <w:rsid w:val="00D840A9"/>
    <w:rsid w:val="00D93117"/>
    <w:rsid w:val="00D940C5"/>
    <w:rsid w:val="00D970B1"/>
    <w:rsid w:val="00DA62C6"/>
    <w:rsid w:val="00DB31E3"/>
    <w:rsid w:val="00DB375C"/>
    <w:rsid w:val="00DB4DCB"/>
    <w:rsid w:val="00DB7457"/>
    <w:rsid w:val="00DD0C4C"/>
    <w:rsid w:val="00DD1755"/>
    <w:rsid w:val="00DD1CB6"/>
    <w:rsid w:val="00DD2C5B"/>
    <w:rsid w:val="00DD699D"/>
    <w:rsid w:val="00DD769F"/>
    <w:rsid w:val="00DE022E"/>
    <w:rsid w:val="00DE37A1"/>
    <w:rsid w:val="00DE511A"/>
    <w:rsid w:val="00DF2911"/>
    <w:rsid w:val="00DF540D"/>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6B84"/>
    <w:rsid w:val="00E6785C"/>
    <w:rsid w:val="00E7053D"/>
    <w:rsid w:val="00E7160D"/>
    <w:rsid w:val="00E747CE"/>
    <w:rsid w:val="00E75852"/>
    <w:rsid w:val="00E763CA"/>
    <w:rsid w:val="00E77328"/>
    <w:rsid w:val="00E872AB"/>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EF745A"/>
    <w:rsid w:val="00F047DF"/>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0A4A"/>
    <w:rsid w:val="00F51D44"/>
    <w:rsid w:val="00F5336D"/>
    <w:rsid w:val="00F5461D"/>
    <w:rsid w:val="00F668D8"/>
    <w:rsid w:val="00F66AF1"/>
    <w:rsid w:val="00F67431"/>
    <w:rsid w:val="00F73421"/>
    <w:rsid w:val="00F77F63"/>
    <w:rsid w:val="00F813E1"/>
    <w:rsid w:val="00F90DF6"/>
    <w:rsid w:val="00F94FF0"/>
    <w:rsid w:val="00F971D8"/>
    <w:rsid w:val="00FA6AF5"/>
    <w:rsid w:val="00FA729D"/>
    <w:rsid w:val="00FB03B9"/>
    <w:rsid w:val="00FB0C66"/>
    <w:rsid w:val="00FB1435"/>
    <w:rsid w:val="00FB235F"/>
    <w:rsid w:val="00FC0A41"/>
    <w:rsid w:val="00FC50BB"/>
    <w:rsid w:val="00FC60AE"/>
    <w:rsid w:val="00FC7F40"/>
    <w:rsid w:val="00FD03DA"/>
    <w:rsid w:val="00FD0ECA"/>
    <w:rsid w:val="00FD1F58"/>
    <w:rsid w:val="00FD48F8"/>
    <w:rsid w:val="00FD5150"/>
    <w:rsid w:val="00FD7E4F"/>
    <w:rsid w:val="00FD7FD1"/>
    <w:rsid w:val="00FE25B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8850">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 w:type="paragraph" w:customStyle="1" w:styleId="isselectedend">
    <w:name w:val="isselectedend"/>
    <w:basedOn w:val="Normal"/>
    <w:rsid w:val="001A21D5"/>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794984241">
      <w:bodyDiv w:val="1"/>
      <w:marLeft w:val="0"/>
      <w:marRight w:val="0"/>
      <w:marTop w:val="0"/>
      <w:marBottom w:val="0"/>
      <w:divBdr>
        <w:top w:val="none" w:sz="0" w:space="0" w:color="auto"/>
        <w:left w:val="none" w:sz="0" w:space="0" w:color="auto"/>
        <w:bottom w:val="none" w:sz="0" w:space="0" w:color="auto"/>
        <w:right w:val="none" w:sz="0" w:space="0" w:color="auto"/>
      </w:divBdr>
    </w:div>
    <w:div w:id="1124690352">
      <w:bodyDiv w:val="1"/>
      <w:marLeft w:val="0"/>
      <w:marRight w:val="0"/>
      <w:marTop w:val="0"/>
      <w:marBottom w:val="0"/>
      <w:divBdr>
        <w:top w:val="none" w:sz="0" w:space="0" w:color="auto"/>
        <w:left w:val="none" w:sz="0" w:space="0" w:color="auto"/>
        <w:bottom w:val="none" w:sz="0" w:space="0" w:color="auto"/>
        <w:right w:val="none" w:sz="0" w:space="0" w:color="auto"/>
      </w:divBdr>
      <w:divsChild>
        <w:div w:id="90668587">
          <w:marLeft w:val="0"/>
          <w:marRight w:val="0"/>
          <w:marTop w:val="0"/>
          <w:marBottom w:val="0"/>
          <w:divBdr>
            <w:top w:val="none" w:sz="0" w:space="0" w:color="auto"/>
            <w:left w:val="none" w:sz="0" w:space="0" w:color="auto"/>
            <w:bottom w:val="none" w:sz="0" w:space="0" w:color="auto"/>
            <w:right w:val="none" w:sz="0" w:space="0" w:color="auto"/>
          </w:divBdr>
        </w:div>
        <w:div w:id="1465271524">
          <w:marLeft w:val="0"/>
          <w:marRight w:val="0"/>
          <w:marTop w:val="0"/>
          <w:marBottom w:val="0"/>
          <w:divBdr>
            <w:top w:val="none" w:sz="0" w:space="0" w:color="auto"/>
            <w:left w:val="none" w:sz="0" w:space="0" w:color="auto"/>
            <w:bottom w:val="none" w:sz="0" w:space="0" w:color="auto"/>
            <w:right w:val="none" w:sz="0" w:space="0" w:color="auto"/>
          </w:divBdr>
        </w:div>
        <w:div w:id="18245803">
          <w:marLeft w:val="0"/>
          <w:marRight w:val="0"/>
          <w:marTop w:val="0"/>
          <w:marBottom w:val="0"/>
          <w:divBdr>
            <w:top w:val="none" w:sz="0" w:space="0" w:color="auto"/>
            <w:left w:val="none" w:sz="0" w:space="0" w:color="auto"/>
            <w:bottom w:val="none" w:sz="0" w:space="0" w:color="auto"/>
            <w:right w:val="none" w:sz="0" w:space="0" w:color="auto"/>
          </w:divBdr>
        </w:div>
        <w:div w:id="1743330102">
          <w:marLeft w:val="0"/>
          <w:marRight w:val="0"/>
          <w:marTop w:val="0"/>
          <w:marBottom w:val="0"/>
          <w:divBdr>
            <w:top w:val="none" w:sz="0" w:space="0" w:color="auto"/>
            <w:left w:val="none" w:sz="0" w:space="0" w:color="auto"/>
            <w:bottom w:val="none" w:sz="0" w:space="0" w:color="auto"/>
            <w:right w:val="none" w:sz="0" w:space="0" w:color="auto"/>
          </w:divBdr>
        </w:div>
        <w:div w:id="828138721">
          <w:marLeft w:val="0"/>
          <w:marRight w:val="0"/>
          <w:marTop w:val="0"/>
          <w:marBottom w:val="0"/>
          <w:divBdr>
            <w:top w:val="none" w:sz="0" w:space="0" w:color="auto"/>
            <w:left w:val="none" w:sz="0" w:space="0" w:color="auto"/>
            <w:bottom w:val="none" w:sz="0" w:space="0" w:color="auto"/>
            <w:right w:val="none" w:sz="0" w:space="0" w:color="auto"/>
          </w:divBdr>
        </w:div>
        <w:div w:id="267928740">
          <w:marLeft w:val="0"/>
          <w:marRight w:val="0"/>
          <w:marTop w:val="0"/>
          <w:marBottom w:val="0"/>
          <w:divBdr>
            <w:top w:val="none" w:sz="0" w:space="0" w:color="auto"/>
            <w:left w:val="none" w:sz="0" w:space="0" w:color="auto"/>
            <w:bottom w:val="none" w:sz="0" w:space="0" w:color="auto"/>
            <w:right w:val="none" w:sz="0" w:space="0" w:color="auto"/>
          </w:divBdr>
        </w:div>
        <w:div w:id="1992175396">
          <w:marLeft w:val="0"/>
          <w:marRight w:val="0"/>
          <w:marTop w:val="0"/>
          <w:marBottom w:val="0"/>
          <w:divBdr>
            <w:top w:val="none" w:sz="0" w:space="0" w:color="auto"/>
            <w:left w:val="none" w:sz="0" w:space="0" w:color="auto"/>
            <w:bottom w:val="none" w:sz="0" w:space="0" w:color="auto"/>
            <w:right w:val="none" w:sz="0" w:space="0" w:color="auto"/>
          </w:divBdr>
        </w:div>
        <w:div w:id="270015950">
          <w:marLeft w:val="0"/>
          <w:marRight w:val="0"/>
          <w:marTop w:val="0"/>
          <w:marBottom w:val="0"/>
          <w:divBdr>
            <w:top w:val="none" w:sz="0" w:space="0" w:color="auto"/>
            <w:left w:val="none" w:sz="0" w:space="0" w:color="auto"/>
            <w:bottom w:val="none" w:sz="0" w:space="0" w:color="auto"/>
            <w:right w:val="none" w:sz="0" w:space="0" w:color="auto"/>
          </w:divBdr>
        </w:div>
        <w:div w:id="894242020">
          <w:marLeft w:val="0"/>
          <w:marRight w:val="0"/>
          <w:marTop w:val="0"/>
          <w:marBottom w:val="0"/>
          <w:divBdr>
            <w:top w:val="none" w:sz="0" w:space="0" w:color="auto"/>
            <w:left w:val="none" w:sz="0" w:space="0" w:color="auto"/>
            <w:bottom w:val="none" w:sz="0" w:space="0" w:color="auto"/>
            <w:right w:val="none" w:sz="0" w:space="0" w:color="auto"/>
          </w:divBdr>
        </w:div>
        <w:div w:id="1080297647">
          <w:marLeft w:val="0"/>
          <w:marRight w:val="0"/>
          <w:marTop w:val="0"/>
          <w:marBottom w:val="0"/>
          <w:divBdr>
            <w:top w:val="none" w:sz="0" w:space="0" w:color="auto"/>
            <w:left w:val="none" w:sz="0" w:space="0" w:color="auto"/>
            <w:bottom w:val="none" w:sz="0" w:space="0" w:color="auto"/>
            <w:right w:val="none" w:sz="0" w:space="0" w:color="auto"/>
          </w:divBdr>
        </w:div>
        <w:div w:id="555043173">
          <w:marLeft w:val="0"/>
          <w:marRight w:val="0"/>
          <w:marTop w:val="0"/>
          <w:marBottom w:val="0"/>
          <w:divBdr>
            <w:top w:val="none" w:sz="0" w:space="0" w:color="auto"/>
            <w:left w:val="none" w:sz="0" w:space="0" w:color="auto"/>
            <w:bottom w:val="none" w:sz="0" w:space="0" w:color="auto"/>
            <w:right w:val="none" w:sz="0" w:space="0" w:color="auto"/>
          </w:divBdr>
        </w:div>
        <w:div w:id="840004144">
          <w:marLeft w:val="0"/>
          <w:marRight w:val="0"/>
          <w:marTop w:val="0"/>
          <w:marBottom w:val="0"/>
          <w:divBdr>
            <w:top w:val="none" w:sz="0" w:space="0" w:color="auto"/>
            <w:left w:val="none" w:sz="0" w:space="0" w:color="auto"/>
            <w:bottom w:val="none" w:sz="0" w:space="0" w:color="auto"/>
            <w:right w:val="none" w:sz="0" w:space="0" w:color="auto"/>
          </w:divBdr>
        </w:div>
        <w:div w:id="1819834190">
          <w:marLeft w:val="0"/>
          <w:marRight w:val="0"/>
          <w:marTop w:val="0"/>
          <w:marBottom w:val="0"/>
          <w:divBdr>
            <w:top w:val="none" w:sz="0" w:space="0" w:color="auto"/>
            <w:left w:val="none" w:sz="0" w:space="0" w:color="auto"/>
            <w:bottom w:val="none" w:sz="0" w:space="0" w:color="auto"/>
            <w:right w:val="none" w:sz="0" w:space="0" w:color="auto"/>
          </w:divBdr>
        </w:div>
      </w:divsChild>
    </w:div>
    <w:div w:id="1134060592">
      <w:bodyDiv w:val="1"/>
      <w:marLeft w:val="0"/>
      <w:marRight w:val="0"/>
      <w:marTop w:val="0"/>
      <w:marBottom w:val="0"/>
      <w:divBdr>
        <w:top w:val="none" w:sz="0" w:space="0" w:color="auto"/>
        <w:left w:val="none" w:sz="0" w:space="0" w:color="auto"/>
        <w:bottom w:val="none" w:sz="0" w:space="0" w:color="auto"/>
        <w:right w:val="none" w:sz="0" w:space="0" w:color="auto"/>
      </w:divBdr>
    </w:div>
    <w:div w:id="1401752986">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 w:id="2025786968">
      <w:bodyDiv w:val="1"/>
      <w:marLeft w:val="0"/>
      <w:marRight w:val="0"/>
      <w:marTop w:val="0"/>
      <w:marBottom w:val="0"/>
      <w:divBdr>
        <w:top w:val="none" w:sz="0" w:space="0" w:color="auto"/>
        <w:left w:val="none" w:sz="0" w:space="0" w:color="auto"/>
        <w:bottom w:val="none" w:sz="0" w:space="0" w:color="auto"/>
        <w:right w:val="none" w:sz="0" w:space="0" w:color="auto"/>
      </w:divBdr>
    </w:div>
    <w:div w:id="211609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1859E-69FE-4F33-A5A9-D14435D5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2624</Words>
  <Characters>14172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16763</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3</cp:revision>
  <cp:lastPrinted>2026-05-29T17:07:00Z</cp:lastPrinted>
  <dcterms:created xsi:type="dcterms:W3CDTF">2026-06-23T12:45:00Z</dcterms:created>
  <dcterms:modified xsi:type="dcterms:W3CDTF">2026-06-23T14:00:00Z</dcterms:modified>
</cp:coreProperties>
</file>