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9A04" w14:textId="77777777" w:rsidR="00EA27C1" w:rsidRPr="000665F8" w:rsidRDefault="00EA27C1" w:rsidP="00513F53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</w:p>
    <w:p w14:paraId="6ABB5900" w14:textId="04E982F3" w:rsidR="004E3A0D" w:rsidRPr="000665F8" w:rsidRDefault="00872BF0" w:rsidP="00513F53">
      <w:pPr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0665F8">
        <w:rPr>
          <w:b/>
          <w:sz w:val="24"/>
          <w:szCs w:val="24"/>
          <w:shd w:val="clear" w:color="auto" w:fill="FFFFFF"/>
        </w:rPr>
        <w:t>PREGÃO ELETRÔNICO Nº 00</w:t>
      </w:r>
      <w:r w:rsidR="007E5768">
        <w:rPr>
          <w:b/>
          <w:sz w:val="24"/>
          <w:szCs w:val="24"/>
          <w:shd w:val="clear" w:color="auto" w:fill="FFFFFF"/>
        </w:rPr>
        <w:t>1</w:t>
      </w:r>
      <w:r w:rsidR="00862BA1">
        <w:rPr>
          <w:b/>
          <w:sz w:val="24"/>
          <w:szCs w:val="24"/>
          <w:shd w:val="clear" w:color="auto" w:fill="FFFFFF"/>
        </w:rPr>
        <w:t>6</w:t>
      </w:r>
      <w:r w:rsidR="005B08E9" w:rsidRPr="000665F8">
        <w:rPr>
          <w:b/>
          <w:sz w:val="24"/>
          <w:szCs w:val="24"/>
          <w:shd w:val="clear" w:color="auto" w:fill="FFFFFF"/>
        </w:rPr>
        <w:t>/2025</w:t>
      </w:r>
    </w:p>
    <w:p w14:paraId="6C55FC92" w14:textId="6E3A54C3" w:rsidR="001C5BE1" w:rsidRPr="001C5BE1" w:rsidRDefault="005B08E9" w:rsidP="001C5BE1">
      <w:pPr>
        <w:spacing w:before="75" w:after="75" w:line="240" w:lineRule="auto"/>
        <w:jc w:val="center"/>
        <w:rPr>
          <w:rFonts w:ascii="Verdana" w:eastAsia="Times New Roman" w:hAnsi="Verdana" w:cs="Times New Roman"/>
          <w:color w:val="1E241A"/>
          <w:sz w:val="16"/>
          <w:szCs w:val="16"/>
        </w:rPr>
      </w:pPr>
      <w:r w:rsidRPr="000665F8">
        <w:rPr>
          <w:b/>
          <w:sz w:val="24"/>
          <w:szCs w:val="24"/>
          <w:shd w:val="clear" w:color="auto" w:fill="FFFFFF"/>
        </w:rPr>
        <w:t xml:space="preserve">PROCESSO </w:t>
      </w:r>
      <w:r w:rsidR="001C5BE1" w:rsidRPr="001C5BE1">
        <w:rPr>
          <w:rFonts w:eastAsia="Times New Roman"/>
          <w:b/>
          <w:bCs/>
          <w:color w:val="1E241A"/>
          <w:sz w:val="24"/>
          <w:szCs w:val="24"/>
        </w:rPr>
        <w:t>25/9301-0000415-1</w:t>
      </w:r>
    </w:p>
    <w:p w14:paraId="61989DB1" w14:textId="77777777" w:rsidR="00E40C8C" w:rsidRPr="000665F8" w:rsidRDefault="00E40C8C" w:rsidP="001C5BE1">
      <w:pPr>
        <w:spacing w:line="360" w:lineRule="auto"/>
        <w:rPr>
          <w:b/>
          <w:sz w:val="24"/>
          <w:szCs w:val="24"/>
          <w:shd w:val="clear" w:color="auto" w:fill="FFFFFF"/>
        </w:rPr>
      </w:pPr>
    </w:p>
    <w:p w14:paraId="23DFDAE7" w14:textId="675C37C9" w:rsidR="00D55DE7" w:rsidRPr="00954932" w:rsidRDefault="00045B3A" w:rsidP="00954932">
      <w:pPr>
        <w:spacing w:before="75" w:after="75" w:line="360" w:lineRule="auto"/>
        <w:jc w:val="center"/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</w:pPr>
      <w:r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ESCLARECIMENTO </w:t>
      </w:r>
      <w:r w:rsidR="004A149B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– PROTOCOLO</w:t>
      </w:r>
      <w:r w:rsidR="007E5768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 </w:t>
      </w:r>
      <w:r w:rsidR="00862BA1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26</w:t>
      </w:r>
      <w:r w:rsidR="00655A44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810</w:t>
      </w:r>
    </w:p>
    <w:p w14:paraId="69629883" w14:textId="4AD1FED7" w:rsidR="00655A44" w:rsidRPr="00655A44" w:rsidRDefault="00655A44" w:rsidP="00655A44">
      <w:pPr>
        <w:spacing w:before="75" w:after="75" w:line="360" w:lineRule="auto"/>
        <w:jc w:val="both"/>
      </w:pPr>
    </w:p>
    <w:p w14:paraId="0681C378" w14:textId="77777777" w:rsid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sz w:val="24"/>
          <w:szCs w:val="24"/>
        </w:rPr>
        <w:t>Referente ao pregão eletrônico supracitado, favor esclarecer:</w:t>
      </w:r>
    </w:p>
    <w:p w14:paraId="14DF45A0" w14:textId="77777777" w:rsidR="002B1499" w:rsidRPr="00655A44" w:rsidRDefault="002B1499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3B3478F5" w14:textId="77777777" w:rsidR="00655A44" w:rsidRPr="00655A44" w:rsidRDefault="00655A44" w:rsidP="00655A44">
      <w:pPr>
        <w:spacing w:before="75" w:after="75" w:line="360" w:lineRule="auto"/>
        <w:jc w:val="both"/>
        <w:rPr>
          <w:b/>
          <w:bCs/>
          <w:sz w:val="24"/>
          <w:szCs w:val="24"/>
        </w:rPr>
      </w:pPr>
      <w:r w:rsidRPr="00655A44">
        <w:rPr>
          <w:b/>
          <w:bCs/>
          <w:sz w:val="24"/>
          <w:szCs w:val="24"/>
        </w:rPr>
        <w:t>Questionamento 01:</w:t>
      </w:r>
    </w:p>
    <w:p w14:paraId="671128D7" w14:textId="77777777" w:rsid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b/>
          <w:bCs/>
          <w:sz w:val="24"/>
          <w:szCs w:val="24"/>
        </w:rPr>
        <w:t>1)</w:t>
      </w:r>
      <w:r w:rsidRPr="00655A44">
        <w:rPr>
          <w:sz w:val="24"/>
          <w:szCs w:val="24"/>
        </w:rPr>
        <w:t xml:space="preserve"> De acordo com o Anexo I – Termo de Referência, também é de responsabilidade da CONTRATADA executar os serviços de remoção dos sistemas de defensas marítimas existentes e posterior instalação dos novos sistemas. Considerando que a parcela de maior relevância é a prestação de serviços de instalação e o preço </w:t>
      </w:r>
      <w:proofErr w:type="gramStart"/>
      <w:r w:rsidRPr="00655A44">
        <w:rPr>
          <w:sz w:val="24"/>
          <w:szCs w:val="24"/>
        </w:rPr>
        <w:t>à</w:t>
      </w:r>
      <w:proofErr w:type="gramEnd"/>
      <w:r w:rsidRPr="00655A44">
        <w:rPr>
          <w:sz w:val="24"/>
          <w:szCs w:val="24"/>
        </w:rPr>
        <w:t xml:space="preserve"> ser apresentado é total, contemplando os equipamentos já instalados, além do contrato mencionar que o critério para medição será após a instalação dos conjuntos, entendemos que o faturamento integral deste contrato será através de nota fiscal de prestação de serviços. Nosso entendimento está correto?</w:t>
      </w:r>
    </w:p>
    <w:p w14:paraId="31B8C14B" w14:textId="19562548" w:rsidR="002B1499" w:rsidRDefault="002B1499" w:rsidP="00655A44">
      <w:pPr>
        <w:spacing w:before="75" w:after="75" w:line="360" w:lineRule="auto"/>
        <w:jc w:val="both"/>
        <w:rPr>
          <w:b/>
          <w:bCs/>
          <w:color w:val="EE0000"/>
          <w:sz w:val="24"/>
          <w:szCs w:val="24"/>
          <w:u w:val="single"/>
        </w:rPr>
      </w:pPr>
      <w:r w:rsidRPr="00655A44">
        <w:rPr>
          <w:b/>
          <w:bCs/>
          <w:color w:val="EE0000"/>
          <w:sz w:val="24"/>
          <w:szCs w:val="24"/>
          <w:u w:val="single"/>
        </w:rPr>
        <w:t>RESPOSTA</w:t>
      </w:r>
      <w:r>
        <w:rPr>
          <w:b/>
          <w:bCs/>
          <w:color w:val="EE0000"/>
          <w:sz w:val="24"/>
          <w:szCs w:val="24"/>
          <w:u w:val="single"/>
        </w:rPr>
        <w:t xml:space="preserve"> TÉCNICA: </w:t>
      </w:r>
    </w:p>
    <w:p w14:paraId="2F58E4E9" w14:textId="77777777" w:rsidR="00D60361" w:rsidRPr="00D60361" w:rsidRDefault="00D60361" w:rsidP="00D60361">
      <w:pPr>
        <w:shd w:val="clear" w:color="auto" w:fill="FFFFFF"/>
        <w:spacing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D60361">
        <w:rPr>
          <w:rFonts w:eastAsia="Times New Roman"/>
          <w:color w:val="000000"/>
          <w:sz w:val="24"/>
          <w:szCs w:val="24"/>
        </w:rPr>
        <w:t>Em atenção ao questionamento apresentado pela empresa, esclarecemos que, conforme previsto no Anexo I – Termo de Referência, é de responsabilidade da CONTRATADA executar tanto a remoção das defensas marítimas portuárias existentes quanto a instalação dos novos sistemas.</w:t>
      </w:r>
    </w:p>
    <w:p w14:paraId="0052871B" w14:textId="248CFEAB" w:rsidR="00D60361" w:rsidRPr="00D60361" w:rsidRDefault="00D60361" w:rsidP="00D60361">
      <w:pPr>
        <w:shd w:val="clear" w:color="auto" w:fill="FFFFFF"/>
        <w:spacing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D60361">
        <w:rPr>
          <w:rFonts w:eastAsia="Times New Roman"/>
          <w:color w:val="000000"/>
          <w:sz w:val="24"/>
          <w:szCs w:val="24"/>
        </w:rPr>
        <w:t xml:space="preserve">O objeto da contratação está claramente definido como a aquisição de Defensas Marítimas Portuárias para o cais do Porto do Rio Grande, com a substituição das antigas defensas, incluindo a devida instalação dos equipamentos adquiridos, conforme descrito no Termo de </w:t>
      </w:r>
      <w:r w:rsidRPr="00D60361">
        <w:rPr>
          <w:rFonts w:eastAsia="Times New Roman"/>
          <w:color w:val="000000"/>
          <w:sz w:val="24"/>
          <w:szCs w:val="24"/>
        </w:rPr>
        <w:t>Referência</w:t>
      </w:r>
      <w:r w:rsidRPr="00D60361">
        <w:rPr>
          <w:rFonts w:eastAsia="Times New Roman"/>
          <w:color w:val="000000"/>
          <w:sz w:val="24"/>
          <w:szCs w:val="24"/>
        </w:rPr>
        <w:t>.</w:t>
      </w:r>
    </w:p>
    <w:p w14:paraId="7915BCB8" w14:textId="77777777" w:rsidR="00D60361" w:rsidRPr="00D60361" w:rsidRDefault="00D60361" w:rsidP="00D60361">
      <w:pPr>
        <w:shd w:val="clear" w:color="auto" w:fill="FFFFFF"/>
        <w:spacing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D60361">
        <w:rPr>
          <w:rFonts w:eastAsia="Times New Roman"/>
          <w:color w:val="000000"/>
          <w:sz w:val="24"/>
          <w:szCs w:val="24"/>
        </w:rPr>
        <w:t xml:space="preserve">Destacamos, ainda, que o critério de medição estabelecido será mensal, conforme entrega dos equipamentos atestados pela fiscalização e instalação dos </w:t>
      </w:r>
      <w:r w:rsidRPr="00D60361">
        <w:rPr>
          <w:rFonts w:eastAsia="Times New Roman"/>
          <w:color w:val="000000"/>
          <w:sz w:val="24"/>
          <w:szCs w:val="24"/>
        </w:rPr>
        <w:lastRenderedPageBreak/>
        <w:t>conjuntos, ou seja, o fornecimento será considerado concluído separadamente da instalação das defensas no local.</w:t>
      </w:r>
    </w:p>
    <w:p w14:paraId="2BC834E2" w14:textId="34B7F0F2" w:rsidR="000C7F98" w:rsidRPr="000C7F98" w:rsidRDefault="000C7F98" w:rsidP="000C7F98">
      <w:pPr>
        <w:shd w:val="clear" w:color="auto" w:fill="FFFFFF"/>
        <w:spacing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A</w:t>
      </w:r>
      <w:r w:rsidRPr="000C7F98">
        <w:rPr>
          <w:rFonts w:eastAsia="Times New Roman"/>
          <w:color w:val="000000"/>
          <w:sz w:val="24"/>
          <w:szCs w:val="24"/>
        </w:rPr>
        <w:t>inda que a emissão de Notas Fiscais</w:t>
      </w:r>
      <w:r w:rsidR="002A772E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2A772E">
        <w:rPr>
          <w:rFonts w:eastAsia="Times New Roman"/>
          <w:color w:val="000000"/>
          <w:sz w:val="24"/>
          <w:szCs w:val="24"/>
        </w:rPr>
        <w:t xml:space="preserve">separadas </w:t>
      </w:r>
      <w:r w:rsidR="002A772E" w:rsidRPr="002A772E">
        <w:rPr>
          <w:rFonts w:eastAsia="Times New Roman"/>
          <w:color w:val="000000"/>
          <w:sz w:val="24"/>
          <w:szCs w:val="24"/>
        </w:rPr>
        <w:t xml:space="preserve"> (</w:t>
      </w:r>
      <w:proofErr w:type="gramEnd"/>
      <w:r w:rsidR="002A772E" w:rsidRPr="002A772E">
        <w:rPr>
          <w:rFonts w:eastAsia="Times New Roman"/>
          <w:color w:val="000000"/>
          <w:sz w:val="24"/>
          <w:szCs w:val="24"/>
        </w:rPr>
        <w:t>materiais</w:t>
      </w:r>
      <w:r w:rsidR="002A772E">
        <w:rPr>
          <w:rFonts w:eastAsia="Times New Roman"/>
          <w:color w:val="000000"/>
          <w:sz w:val="24"/>
          <w:szCs w:val="24"/>
        </w:rPr>
        <w:t>/serviços</w:t>
      </w:r>
      <w:r w:rsidR="002A772E" w:rsidRPr="002A772E">
        <w:rPr>
          <w:rFonts w:eastAsia="Times New Roman"/>
          <w:color w:val="000000"/>
          <w:sz w:val="24"/>
          <w:szCs w:val="24"/>
        </w:rPr>
        <w:t xml:space="preserve">), </w:t>
      </w:r>
      <w:r w:rsidRPr="000C7F98">
        <w:rPr>
          <w:rFonts w:eastAsia="Times New Roman"/>
          <w:color w:val="000000"/>
          <w:sz w:val="24"/>
          <w:szCs w:val="24"/>
        </w:rPr>
        <w:t>possa ser aceita para fins operacionais e contábeis, o pagamento deverá observar a proporcionalidade e os valores previamente definidos no orçamento estimativo, considerando que, conforme pesquisa de mercado realizada na fase preparatória, o custo das defensas representa a parcela predominante do valor contratado, em comparação aos custos de mão de obra para remoção e instalação.</w:t>
      </w:r>
    </w:p>
    <w:p w14:paraId="34CBC28E" w14:textId="77777777" w:rsidR="002B1499" w:rsidRPr="00655A44" w:rsidRDefault="002B1499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1858B825" w14:textId="77777777" w:rsidR="00655A44" w:rsidRPr="00655A44" w:rsidRDefault="00655A44" w:rsidP="00655A44">
      <w:pPr>
        <w:spacing w:before="75" w:after="75" w:line="360" w:lineRule="auto"/>
        <w:jc w:val="both"/>
        <w:rPr>
          <w:b/>
          <w:bCs/>
          <w:sz w:val="24"/>
          <w:szCs w:val="24"/>
        </w:rPr>
      </w:pPr>
      <w:r w:rsidRPr="00655A44">
        <w:rPr>
          <w:b/>
          <w:bCs/>
          <w:sz w:val="24"/>
          <w:szCs w:val="24"/>
        </w:rPr>
        <w:t>Questionamento 02:</w:t>
      </w:r>
    </w:p>
    <w:p w14:paraId="1E9D1678" w14:textId="77777777" w:rsid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b/>
          <w:bCs/>
          <w:sz w:val="24"/>
          <w:szCs w:val="24"/>
        </w:rPr>
        <w:t>2)</w:t>
      </w:r>
      <w:r w:rsidRPr="00655A44">
        <w:rPr>
          <w:sz w:val="24"/>
          <w:szCs w:val="24"/>
        </w:rPr>
        <w:t xml:space="preserve"> De acordo com o Anexo II – Minuta de Contrato, cláusula quinta: Da Garantia, caberá a CONTRATADA em até 5 (cinco) dias, contados da data de Ordem de Início de Serviços, prestar garantia correspondente a 5% (cinco por cento) do valor do contrato e terá seu valor atualizado nas mesmas condições nele estabelecidas, na hipótese de modificação do contrato originalmente pactuado. Dentre as modalidades de garantia aceitas está mencionado o seguro garantia, no entanto o ANEXO VI do Edital define o modelo de carta de fiança bancária </w:t>
      </w:r>
      <w:proofErr w:type="gramStart"/>
      <w:r w:rsidRPr="00655A44">
        <w:rPr>
          <w:sz w:val="24"/>
          <w:szCs w:val="24"/>
        </w:rPr>
        <w:t>à</w:t>
      </w:r>
      <w:proofErr w:type="gramEnd"/>
      <w:r w:rsidRPr="00655A44">
        <w:rPr>
          <w:sz w:val="24"/>
          <w:szCs w:val="24"/>
        </w:rPr>
        <w:t xml:space="preserve"> ser apresentada pela CONTRATADA. Pelo exposto, entendemos que na fase de contratação o seguro garantia será aceito pela Autoridade Portuária dos Portos do Rio Grande do Sul e nesta condição o Anexo VI pode ser desconsiderado. Nosso entendimento está correto?</w:t>
      </w:r>
    </w:p>
    <w:p w14:paraId="2B4ADB01" w14:textId="4DCAA11C" w:rsidR="00655A44" w:rsidRDefault="00655A44" w:rsidP="00655A4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u w:val="single"/>
          <w:shd w:val="clear" w:color="auto" w:fill="FFFFFF"/>
        </w:rPr>
      </w:pPr>
      <w:r w:rsidRPr="00655A44">
        <w:rPr>
          <w:b/>
          <w:bCs/>
          <w:color w:val="EE0000"/>
          <w:sz w:val="24"/>
          <w:szCs w:val="24"/>
          <w:u w:val="single"/>
        </w:rPr>
        <w:t>RESPOSTA:</w:t>
      </w:r>
      <w:r>
        <w:rPr>
          <w:color w:val="EE0000"/>
          <w:sz w:val="24"/>
          <w:szCs w:val="24"/>
        </w:rPr>
        <w:t xml:space="preserve"> </w:t>
      </w:r>
      <w:r w:rsidRPr="00A04564">
        <w:rPr>
          <w:sz w:val="24"/>
          <w:szCs w:val="24"/>
        </w:rPr>
        <w:t>C</w:t>
      </w:r>
      <w:r w:rsidRPr="00862BA1">
        <w:rPr>
          <w:sz w:val="24"/>
          <w:szCs w:val="24"/>
          <w:shd w:val="clear" w:color="auto" w:fill="FFFFFF"/>
        </w:rPr>
        <w:t>onforme disposto no </w:t>
      </w:r>
      <w:r w:rsidRPr="0053622F">
        <w:rPr>
          <w:sz w:val="24"/>
          <w:szCs w:val="24"/>
          <w:shd w:val="clear" w:color="auto" w:fill="FFFFFF"/>
        </w:rPr>
        <w:t>item XVI – Garantia de Execução Contratual do Termo de Referência e Cláusula Quinta – Da Garantia</w:t>
      </w:r>
      <w:r>
        <w:rPr>
          <w:sz w:val="24"/>
          <w:szCs w:val="24"/>
          <w:shd w:val="clear" w:color="auto" w:fill="FFFFFF"/>
        </w:rPr>
        <w:t>, constante na Minuta de Contrato (Anexo II),</w:t>
      </w:r>
      <w:r w:rsidRPr="000043E9">
        <w:rPr>
          <w:rFonts w:ascii="Calibri" w:hAnsi="Calibri" w:cs="Calibri"/>
          <w:sz w:val="24"/>
          <w:szCs w:val="24"/>
        </w:rPr>
        <w:t xml:space="preserve"> </w:t>
      </w:r>
      <w:r w:rsidRPr="00862BA1">
        <w:rPr>
          <w:sz w:val="24"/>
          <w:szCs w:val="24"/>
          <w:shd w:val="clear" w:color="auto" w:fill="FFFFFF"/>
        </w:rPr>
        <w:t>a prestação da garantia contratual será exigida somente da empresa</w:t>
      </w:r>
      <w:r w:rsidRPr="00C63D64">
        <w:rPr>
          <w:sz w:val="24"/>
          <w:szCs w:val="24"/>
          <w:shd w:val="clear" w:color="auto" w:fill="FFFFFF"/>
        </w:rPr>
        <w:t xml:space="preserve"> </w:t>
      </w:r>
      <w:r w:rsidRPr="00862BA1">
        <w:rPr>
          <w:sz w:val="24"/>
          <w:szCs w:val="24"/>
          <w:shd w:val="clear" w:color="auto" w:fill="FFFFFF"/>
        </w:rPr>
        <w:t>contratada, no prazo de até 5 (cinco) dias contados a partir da emissão da Ordem de Início dos Serviços.</w:t>
      </w:r>
      <w:r>
        <w:rPr>
          <w:sz w:val="24"/>
          <w:szCs w:val="24"/>
          <w:shd w:val="clear" w:color="auto" w:fill="FFFFFF"/>
        </w:rPr>
        <w:t xml:space="preserve"> </w:t>
      </w:r>
      <w:r w:rsidRPr="00862BA1">
        <w:rPr>
          <w:sz w:val="24"/>
          <w:szCs w:val="24"/>
          <w:shd w:val="clear" w:color="auto" w:fill="FFFFFF"/>
        </w:rPr>
        <w:t xml:space="preserve">A garantia deverá corresponder a 5% (cinco por cento) do valor total do contrato, podendo ser prestada por meio de uma das seguintes modalidades, </w:t>
      </w:r>
      <w:r w:rsidRPr="00655A44">
        <w:rPr>
          <w:sz w:val="24"/>
          <w:szCs w:val="24"/>
          <w:u w:val="single"/>
          <w:shd w:val="clear" w:color="auto" w:fill="FFFFFF"/>
        </w:rPr>
        <w:t>à escolha da contratada:</w:t>
      </w:r>
    </w:p>
    <w:p w14:paraId="34073BA1" w14:textId="77777777" w:rsidR="00A04564" w:rsidRPr="00862BA1" w:rsidRDefault="00A04564" w:rsidP="00655A4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shd w:val="clear" w:color="auto" w:fill="FFFFFF"/>
        </w:rPr>
      </w:pPr>
    </w:p>
    <w:p w14:paraId="71C070DB" w14:textId="77777777" w:rsidR="00655A44" w:rsidRPr="00862BA1" w:rsidRDefault="00655A44" w:rsidP="00655A44">
      <w:pPr>
        <w:numPr>
          <w:ilvl w:val="0"/>
          <w:numId w:val="13"/>
        </w:num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/>
        </w:rPr>
      </w:pPr>
      <w:r w:rsidRPr="00862BA1">
        <w:rPr>
          <w:sz w:val="24"/>
          <w:szCs w:val="24"/>
          <w:shd w:val="clear" w:color="auto" w:fill="FFFFFF"/>
        </w:rPr>
        <w:t>I – Caução em dinheiro;</w:t>
      </w:r>
    </w:p>
    <w:p w14:paraId="7EB663F0" w14:textId="77777777" w:rsidR="00655A44" w:rsidRPr="00862BA1" w:rsidRDefault="00655A44" w:rsidP="00655A44">
      <w:pPr>
        <w:numPr>
          <w:ilvl w:val="0"/>
          <w:numId w:val="13"/>
        </w:num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/>
        </w:rPr>
      </w:pPr>
      <w:r w:rsidRPr="00862BA1">
        <w:rPr>
          <w:sz w:val="24"/>
          <w:szCs w:val="24"/>
          <w:shd w:val="clear" w:color="auto" w:fill="FFFFFF"/>
        </w:rPr>
        <w:lastRenderedPageBreak/>
        <w:t>II – Seguro-garantia;</w:t>
      </w:r>
    </w:p>
    <w:p w14:paraId="23B54164" w14:textId="55DAF558" w:rsidR="00655A44" w:rsidRDefault="00655A44" w:rsidP="00655A44">
      <w:pPr>
        <w:numPr>
          <w:ilvl w:val="0"/>
          <w:numId w:val="13"/>
        </w:num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/>
        </w:rPr>
      </w:pPr>
      <w:r w:rsidRPr="00862BA1">
        <w:rPr>
          <w:sz w:val="24"/>
          <w:szCs w:val="24"/>
          <w:shd w:val="clear" w:color="auto" w:fill="FFFFFF"/>
        </w:rPr>
        <w:t>III – Fiança bancária</w:t>
      </w:r>
      <w:r>
        <w:rPr>
          <w:sz w:val="24"/>
          <w:szCs w:val="24"/>
          <w:shd w:val="clear" w:color="auto" w:fill="FFFFFF"/>
        </w:rPr>
        <w:t xml:space="preserve"> (modelo constante no edital)</w:t>
      </w:r>
      <w:r w:rsidRPr="00862BA1">
        <w:rPr>
          <w:sz w:val="24"/>
          <w:szCs w:val="24"/>
          <w:shd w:val="clear" w:color="auto" w:fill="FFFFFF"/>
        </w:rPr>
        <w:t>.</w:t>
      </w:r>
    </w:p>
    <w:p w14:paraId="7B389776" w14:textId="77777777" w:rsidR="00A04564" w:rsidRDefault="00A04564" w:rsidP="00A04564">
      <w:p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 w:themeFill="background1"/>
        </w:rPr>
      </w:pPr>
    </w:p>
    <w:p w14:paraId="25F5FB13" w14:textId="35A44D5C" w:rsidR="00A04564" w:rsidRPr="00A04564" w:rsidRDefault="00A04564" w:rsidP="00A04564">
      <w:p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/>
        </w:rPr>
      </w:pPr>
      <w:r w:rsidRPr="00A04564">
        <w:rPr>
          <w:sz w:val="24"/>
          <w:szCs w:val="24"/>
          <w:shd w:val="clear" w:color="auto" w:fill="FFFFFF" w:themeFill="background1"/>
        </w:rPr>
        <w:t>Embora o </w:t>
      </w:r>
      <w:r w:rsidRPr="00A04564">
        <w:rPr>
          <w:rStyle w:val="Forte"/>
          <w:b w:val="0"/>
          <w:bCs w:val="0"/>
          <w:sz w:val="24"/>
          <w:szCs w:val="24"/>
          <w:shd w:val="clear" w:color="auto" w:fill="FFFFFF" w:themeFill="background1"/>
        </w:rPr>
        <w:t>modelo de Carta Fiança Bancária</w:t>
      </w:r>
      <w:r w:rsidRPr="00A04564">
        <w:rPr>
          <w:sz w:val="24"/>
          <w:szCs w:val="24"/>
          <w:shd w:val="clear" w:color="auto" w:fill="FFFFFF" w:themeFill="background1"/>
        </w:rPr>
        <w:t> conste entre os </w:t>
      </w:r>
      <w:r w:rsidRPr="00A04564">
        <w:rPr>
          <w:rStyle w:val="Forte"/>
          <w:b w:val="0"/>
          <w:bCs w:val="0"/>
          <w:sz w:val="24"/>
          <w:szCs w:val="24"/>
          <w:shd w:val="clear" w:color="auto" w:fill="FFFFFF" w:themeFill="background1"/>
        </w:rPr>
        <w:t>anexos complementares de habilitação</w:t>
      </w:r>
      <w:r w:rsidRPr="00A04564">
        <w:rPr>
          <w:sz w:val="24"/>
          <w:szCs w:val="24"/>
          <w:shd w:val="clear" w:color="auto" w:fill="FFFFFF" w:themeFill="background1"/>
        </w:rPr>
        <w:t> (Anexo VII, item 13.6.5), sua apresentação </w:t>
      </w:r>
      <w:r w:rsidRPr="00A04564">
        <w:rPr>
          <w:rStyle w:val="Forte"/>
          <w:b w:val="0"/>
          <w:bCs w:val="0"/>
          <w:sz w:val="24"/>
          <w:szCs w:val="24"/>
          <w:shd w:val="clear" w:color="auto" w:fill="FFFFFF" w:themeFill="background1"/>
        </w:rPr>
        <w:t>não</w:t>
      </w:r>
      <w:r w:rsidRPr="00A04564">
        <w:rPr>
          <w:rStyle w:val="Forte"/>
          <w:sz w:val="24"/>
          <w:szCs w:val="24"/>
          <w:shd w:val="clear" w:color="auto" w:fill="FFFFFF" w:themeFill="background1"/>
        </w:rPr>
        <w:t xml:space="preserve"> </w:t>
      </w:r>
      <w:r w:rsidRPr="00A04564">
        <w:rPr>
          <w:rStyle w:val="Forte"/>
          <w:b w:val="0"/>
          <w:bCs w:val="0"/>
          <w:sz w:val="24"/>
          <w:szCs w:val="24"/>
          <w:shd w:val="clear" w:color="auto" w:fill="FFFFFF" w:themeFill="background1"/>
        </w:rPr>
        <w:t>será exigida no momento da habilitação</w:t>
      </w:r>
      <w:r w:rsidRPr="00A04564">
        <w:rPr>
          <w:sz w:val="24"/>
          <w:szCs w:val="24"/>
          <w:shd w:val="clear" w:color="auto" w:fill="FFFFFF" w:themeFill="background1"/>
        </w:rPr>
        <w:t>. A exigência ocorrerá apenas </w:t>
      </w:r>
      <w:r w:rsidRPr="00A04564">
        <w:rPr>
          <w:rStyle w:val="Forte"/>
          <w:b w:val="0"/>
          <w:bCs w:val="0"/>
          <w:sz w:val="24"/>
          <w:szCs w:val="24"/>
          <w:shd w:val="clear" w:color="auto" w:fill="FFFFFF" w:themeFill="background1"/>
        </w:rPr>
        <w:t>após a adjudicação</w:t>
      </w:r>
      <w:r w:rsidRPr="00A04564">
        <w:rPr>
          <w:sz w:val="24"/>
          <w:szCs w:val="24"/>
          <w:shd w:val="clear" w:color="auto" w:fill="FFFFFF" w:themeFill="background1"/>
        </w:rPr>
        <w:t>, caso a empresa vencedora</w:t>
      </w:r>
      <w:r w:rsidRPr="00A04564">
        <w:rPr>
          <w:sz w:val="24"/>
          <w:szCs w:val="24"/>
          <w:shd w:val="clear" w:color="auto" w:fill="FAFAFA"/>
        </w:rPr>
        <w:t xml:space="preserve"> </w:t>
      </w:r>
      <w:r w:rsidRPr="00A04564">
        <w:rPr>
          <w:sz w:val="24"/>
          <w:szCs w:val="24"/>
          <w:shd w:val="clear" w:color="auto" w:fill="FFFFFF" w:themeFill="background1"/>
        </w:rPr>
        <w:t>opte por essa modalidade de garantia.</w:t>
      </w:r>
    </w:p>
    <w:p w14:paraId="1812AD6D" w14:textId="77777777" w:rsidR="00655A44" w:rsidRDefault="00655A44" w:rsidP="002B1499">
      <w:pPr>
        <w:shd w:val="clear" w:color="auto" w:fill="FFFFFF"/>
        <w:spacing w:line="360" w:lineRule="auto"/>
        <w:jc w:val="both"/>
        <w:rPr>
          <w:sz w:val="24"/>
          <w:szCs w:val="24"/>
          <w:shd w:val="clear" w:color="auto" w:fill="FFFFFF"/>
        </w:rPr>
      </w:pPr>
    </w:p>
    <w:p w14:paraId="15CAAD9F" w14:textId="1F708A8C" w:rsidR="002B1499" w:rsidRPr="00655A44" w:rsidRDefault="002B1499" w:rsidP="002B1499">
      <w:pPr>
        <w:spacing w:before="75" w:after="75" w:line="360" w:lineRule="auto"/>
        <w:jc w:val="both"/>
        <w:rPr>
          <w:b/>
          <w:bCs/>
          <w:sz w:val="24"/>
          <w:szCs w:val="24"/>
        </w:rPr>
      </w:pPr>
      <w:r w:rsidRPr="00655A44">
        <w:rPr>
          <w:b/>
          <w:bCs/>
          <w:sz w:val="24"/>
          <w:szCs w:val="24"/>
        </w:rPr>
        <w:t>Questionamento 0</w:t>
      </w:r>
      <w:r>
        <w:rPr>
          <w:b/>
          <w:bCs/>
          <w:sz w:val="24"/>
          <w:szCs w:val="24"/>
        </w:rPr>
        <w:t>3</w:t>
      </w:r>
      <w:r w:rsidRPr="00655A44">
        <w:rPr>
          <w:b/>
          <w:bCs/>
          <w:sz w:val="24"/>
          <w:szCs w:val="24"/>
        </w:rPr>
        <w:t>:</w:t>
      </w:r>
    </w:p>
    <w:p w14:paraId="7D0D64F8" w14:textId="26A1D291" w:rsidR="00655A44" w:rsidRP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b/>
          <w:bCs/>
          <w:sz w:val="24"/>
          <w:szCs w:val="24"/>
        </w:rPr>
        <w:t>3)</w:t>
      </w:r>
      <w:r w:rsidRPr="00655A44">
        <w:rPr>
          <w:sz w:val="24"/>
          <w:szCs w:val="24"/>
        </w:rPr>
        <w:t xml:space="preserve"> Considerando que os principais fabricantes de Sistemas de Defensas são empresas internacionais, e que a Metodologia PIANC (PIANC FENDER GUIDELINES 2024) é</w:t>
      </w:r>
      <w:r w:rsidR="00A04564">
        <w:rPr>
          <w:sz w:val="24"/>
          <w:szCs w:val="24"/>
        </w:rPr>
        <w:t xml:space="preserve"> </w:t>
      </w:r>
      <w:r w:rsidRPr="00655A44">
        <w:rPr>
          <w:sz w:val="24"/>
          <w:szCs w:val="24"/>
        </w:rPr>
        <w:t>reconhecida mundialmente como referência para o projeto, fabricação e testes desses sistemas — conforme estabelecido no documento "</w:t>
      </w:r>
      <w:proofErr w:type="spellStart"/>
      <w:r w:rsidRPr="00655A44">
        <w:rPr>
          <w:sz w:val="24"/>
          <w:szCs w:val="24"/>
        </w:rPr>
        <w:t>Guidelines</w:t>
      </w:r>
      <w:proofErr w:type="spellEnd"/>
      <w:r w:rsidRPr="00655A44">
        <w:rPr>
          <w:sz w:val="24"/>
          <w:szCs w:val="24"/>
        </w:rPr>
        <w:t xml:space="preserve"> for </w:t>
      </w:r>
      <w:proofErr w:type="spellStart"/>
      <w:r w:rsidRPr="00655A44">
        <w:rPr>
          <w:sz w:val="24"/>
          <w:szCs w:val="24"/>
        </w:rPr>
        <w:t>the</w:t>
      </w:r>
      <w:proofErr w:type="spellEnd"/>
      <w:r w:rsidRPr="00655A44">
        <w:rPr>
          <w:sz w:val="24"/>
          <w:szCs w:val="24"/>
        </w:rPr>
        <w:t xml:space="preserve"> Design, Manufacturing </w:t>
      </w:r>
      <w:proofErr w:type="spellStart"/>
      <w:r w:rsidRPr="00655A44">
        <w:rPr>
          <w:sz w:val="24"/>
          <w:szCs w:val="24"/>
        </w:rPr>
        <w:t>and</w:t>
      </w:r>
      <w:proofErr w:type="spellEnd"/>
      <w:r w:rsidRPr="00655A44">
        <w:rPr>
          <w:sz w:val="24"/>
          <w:szCs w:val="24"/>
        </w:rPr>
        <w:t xml:space="preserve"> </w:t>
      </w:r>
      <w:proofErr w:type="spellStart"/>
      <w:r w:rsidRPr="00655A44">
        <w:rPr>
          <w:sz w:val="24"/>
          <w:szCs w:val="24"/>
        </w:rPr>
        <w:t>Testing</w:t>
      </w:r>
      <w:proofErr w:type="spellEnd"/>
      <w:r w:rsidRPr="00655A44">
        <w:rPr>
          <w:sz w:val="24"/>
          <w:szCs w:val="24"/>
        </w:rPr>
        <w:t xml:space="preserve"> </w:t>
      </w:r>
      <w:proofErr w:type="spellStart"/>
      <w:r w:rsidRPr="00655A44">
        <w:rPr>
          <w:sz w:val="24"/>
          <w:szCs w:val="24"/>
        </w:rPr>
        <w:t>of</w:t>
      </w:r>
      <w:proofErr w:type="spellEnd"/>
      <w:r w:rsidRPr="00655A44">
        <w:rPr>
          <w:sz w:val="24"/>
          <w:szCs w:val="24"/>
        </w:rPr>
        <w:t xml:space="preserve"> Fender Systems 2024", que define os ensaios mínimos necessários para assegurar a qualidade desses equipamentos — solicitamos os seguintes esclarecimentos:</w:t>
      </w:r>
    </w:p>
    <w:p w14:paraId="05E7857E" w14:textId="77777777" w:rsidR="00655A44" w:rsidRP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sz w:val="24"/>
          <w:szCs w:val="24"/>
        </w:rPr>
        <w:t>a) Os ensaios especificados pela PIANC poderão ser aceitos como substitutivos aos exigidos no Edital?</w:t>
      </w:r>
    </w:p>
    <w:p w14:paraId="1DF8EEF1" w14:textId="77777777" w:rsid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sz w:val="24"/>
          <w:szCs w:val="24"/>
        </w:rPr>
        <w:t>b) Será exigido que os fabricantes apresentem, no mínimo, um certificado emitido por sociedade classificadora que comprove a fabricação anterior de elementos de borracha de mesmo porte ou superior, em conformidade com os ensaios/testes definidos pela PIANC?</w:t>
      </w:r>
    </w:p>
    <w:p w14:paraId="241D9E9F" w14:textId="2BFDE15B" w:rsidR="002B1499" w:rsidRDefault="002B1499" w:rsidP="00655A44">
      <w:pPr>
        <w:spacing w:before="75" w:after="75" w:line="360" w:lineRule="auto"/>
        <w:jc w:val="both"/>
        <w:rPr>
          <w:b/>
          <w:bCs/>
          <w:color w:val="EE0000"/>
          <w:sz w:val="24"/>
          <w:szCs w:val="24"/>
          <w:u w:val="single"/>
        </w:rPr>
      </w:pPr>
      <w:r w:rsidRPr="00655A44">
        <w:rPr>
          <w:b/>
          <w:bCs/>
          <w:color w:val="EE0000"/>
          <w:sz w:val="24"/>
          <w:szCs w:val="24"/>
          <w:u w:val="single"/>
        </w:rPr>
        <w:t>RESPOSTA</w:t>
      </w:r>
      <w:r>
        <w:rPr>
          <w:b/>
          <w:bCs/>
          <w:color w:val="EE0000"/>
          <w:sz w:val="24"/>
          <w:szCs w:val="24"/>
          <w:u w:val="single"/>
        </w:rPr>
        <w:t xml:space="preserve"> TÉCNICA:</w:t>
      </w:r>
    </w:p>
    <w:p w14:paraId="044D720A" w14:textId="77777777" w:rsidR="00D60361" w:rsidRPr="00D60361" w:rsidRDefault="00D60361" w:rsidP="00D60361">
      <w:pPr>
        <w:spacing w:before="75" w:after="75" w:line="360" w:lineRule="auto"/>
        <w:jc w:val="both"/>
        <w:rPr>
          <w:sz w:val="24"/>
          <w:szCs w:val="24"/>
        </w:rPr>
      </w:pPr>
      <w:r w:rsidRPr="00D60361">
        <w:rPr>
          <w:sz w:val="24"/>
          <w:szCs w:val="24"/>
        </w:rPr>
        <w:t>a) Os ensaios especificados nas </w:t>
      </w:r>
      <w:r w:rsidRPr="00D60361">
        <w:rPr>
          <w:i/>
          <w:iCs/>
          <w:sz w:val="24"/>
          <w:szCs w:val="24"/>
        </w:rPr>
        <w:t xml:space="preserve">PIANC Fender </w:t>
      </w:r>
      <w:proofErr w:type="spellStart"/>
      <w:r w:rsidRPr="00D60361">
        <w:rPr>
          <w:i/>
          <w:iCs/>
          <w:sz w:val="24"/>
          <w:szCs w:val="24"/>
        </w:rPr>
        <w:t>Guidelines</w:t>
      </w:r>
      <w:proofErr w:type="spellEnd"/>
      <w:r w:rsidRPr="00D60361">
        <w:rPr>
          <w:i/>
          <w:iCs/>
          <w:sz w:val="24"/>
          <w:szCs w:val="24"/>
        </w:rPr>
        <w:t xml:space="preserve"> 2024</w:t>
      </w:r>
      <w:r w:rsidRPr="00D60361">
        <w:rPr>
          <w:sz w:val="24"/>
          <w:szCs w:val="24"/>
        </w:rPr>
        <w:t> poderão ser aceitos, desde que atendam ou superem os requisitos técnicos definidos no Termo de Referência do edital. Por se tratar de diretrizes internacionalmente reconhecidas, sua adoção é compatível com os critérios técnicos exigidos, desde que comprovada a equivalência ou superioridade em relação aos parâmetros previstos no edital.</w:t>
      </w:r>
    </w:p>
    <w:p w14:paraId="2A1C8CED" w14:textId="77777777" w:rsidR="00D60361" w:rsidRPr="00D60361" w:rsidRDefault="00D60361" w:rsidP="00D60361">
      <w:pPr>
        <w:spacing w:before="75" w:after="75" w:line="360" w:lineRule="auto"/>
        <w:jc w:val="both"/>
        <w:rPr>
          <w:sz w:val="24"/>
          <w:szCs w:val="24"/>
        </w:rPr>
      </w:pPr>
      <w:r w:rsidRPr="00D60361">
        <w:rPr>
          <w:sz w:val="24"/>
          <w:szCs w:val="24"/>
        </w:rPr>
        <w:lastRenderedPageBreak/>
        <w:t>b) A exigência de apresentação, por parte dos fabricantes, de certificado emitido por sociedade classificadora, atestando a fabricação anterior de elementos de borracha de mesmo porte ou superior, conforme ensaios definidos pela PIANC, é considerada válida. Essa exigência visa assegurar a qualidade, segurança e desempenho dos equipamentos ofertados, em consonância com os princípios previstos na Lei nº 13.303/2016 e no RILCC da Portos RS.</w:t>
      </w:r>
    </w:p>
    <w:p w14:paraId="44094283" w14:textId="117D3152" w:rsidR="002B1499" w:rsidRPr="00655A44" w:rsidRDefault="00D60361" w:rsidP="00655A44">
      <w:pPr>
        <w:spacing w:before="75" w:after="75" w:line="360" w:lineRule="auto"/>
        <w:jc w:val="both"/>
        <w:rPr>
          <w:sz w:val="24"/>
          <w:szCs w:val="24"/>
        </w:rPr>
      </w:pPr>
      <w:r w:rsidRPr="00D60361">
        <w:rPr>
          <w:sz w:val="24"/>
          <w:szCs w:val="24"/>
        </w:rPr>
        <w:t> </w:t>
      </w:r>
    </w:p>
    <w:p w14:paraId="71F367EB" w14:textId="77777777" w:rsidR="00655A44" w:rsidRPr="00655A44" w:rsidRDefault="00655A44" w:rsidP="00655A44">
      <w:pPr>
        <w:spacing w:before="75" w:after="75" w:line="360" w:lineRule="auto"/>
        <w:jc w:val="both"/>
        <w:rPr>
          <w:b/>
          <w:bCs/>
          <w:sz w:val="24"/>
          <w:szCs w:val="24"/>
        </w:rPr>
      </w:pPr>
      <w:r w:rsidRPr="00655A44">
        <w:rPr>
          <w:b/>
          <w:bCs/>
          <w:sz w:val="24"/>
          <w:szCs w:val="24"/>
        </w:rPr>
        <w:t>Questionamento 04:</w:t>
      </w:r>
    </w:p>
    <w:p w14:paraId="21E69071" w14:textId="77777777" w:rsidR="00655A44" w:rsidRP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b/>
          <w:bCs/>
          <w:sz w:val="24"/>
          <w:szCs w:val="24"/>
        </w:rPr>
        <w:t>4)</w:t>
      </w:r>
      <w:r w:rsidRPr="00655A44">
        <w:rPr>
          <w:sz w:val="24"/>
          <w:szCs w:val="24"/>
        </w:rPr>
        <w:t xml:space="preserve"> Conforme informações constantes no Edital, o prazo contratual será de 12 (doze) meses. Considerando que o tempo estimado para fabricação dos Sistemas de Defensas varia entre 120 e 150 dias, entendemos que o período remanescente (aproximadamente 215 dias) será destinado à substituição dos sistemas atualmente em operação.</w:t>
      </w:r>
    </w:p>
    <w:p w14:paraId="25401273" w14:textId="77777777" w:rsidR="00655A44" w:rsidRDefault="00655A44" w:rsidP="00655A44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sz w:val="24"/>
          <w:szCs w:val="24"/>
        </w:rPr>
        <w:t>A equipe técnica deverá permanecer à disposição no Porto de Rio Grande durante todo esse período, ou serão definidas janelas específicas com paradas programadas para a execução da substituição dos Sistemas de Defensas?</w:t>
      </w:r>
    </w:p>
    <w:p w14:paraId="65AE00AF" w14:textId="77777777" w:rsidR="00D60361" w:rsidRDefault="00D60361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0E315FA5" w14:textId="7D7B60FA" w:rsidR="00A04564" w:rsidRDefault="002B1499" w:rsidP="00655A44">
      <w:pPr>
        <w:spacing w:before="75" w:after="75" w:line="360" w:lineRule="auto"/>
        <w:jc w:val="both"/>
        <w:rPr>
          <w:b/>
          <w:bCs/>
          <w:color w:val="EE0000"/>
          <w:sz w:val="24"/>
          <w:szCs w:val="24"/>
          <w:u w:val="single"/>
        </w:rPr>
      </w:pPr>
      <w:r w:rsidRPr="00655A44">
        <w:rPr>
          <w:b/>
          <w:bCs/>
          <w:color w:val="EE0000"/>
          <w:sz w:val="24"/>
          <w:szCs w:val="24"/>
          <w:u w:val="single"/>
        </w:rPr>
        <w:t>RESPOSTA</w:t>
      </w:r>
      <w:r>
        <w:rPr>
          <w:b/>
          <w:bCs/>
          <w:color w:val="EE0000"/>
          <w:sz w:val="24"/>
          <w:szCs w:val="24"/>
          <w:u w:val="single"/>
        </w:rPr>
        <w:t xml:space="preserve"> TÉCNICA:</w:t>
      </w:r>
    </w:p>
    <w:p w14:paraId="45C4A5FC" w14:textId="77777777" w:rsidR="00D60361" w:rsidRPr="00D60361" w:rsidRDefault="00D60361" w:rsidP="00D60361">
      <w:pPr>
        <w:spacing w:before="75" w:after="75" w:line="360" w:lineRule="auto"/>
        <w:jc w:val="both"/>
        <w:rPr>
          <w:sz w:val="24"/>
          <w:szCs w:val="24"/>
        </w:rPr>
      </w:pPr>
      <w:r w:rsidRPr="00D60361">
        <w:rPr>
          <w:sz w:val="24"/>
          <w:szCs w:val="24"/>
        </w:rPr>
        <w:t>Não será necessária a permanência da equipe técnica no porto durante todo o período contratual, uma vez que serão previstas janelas específicas para a substituição dos conjuntos de defensas, organizadas separadamente por berço de atracação. Conforme a entrega das unidades suficientes para a substituição completa de um berço (11 unidades para o Berço nº 2, 11 unidades para o Berço nº 3 e 12 unidades para o Berço nº 7), será programado, em conjunto com o setor de operações portuárias, o período adequado para a execução dos serviços.</w:t>
      </w:r>
    </w:p>
    <w:p w14:paraId="3A0F232D" w14:textId="77777777" w:rsidR="002B1499" w:rsidRDefault="002B1499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2A69E63D" w14:textId="77777777" w:rsidR="00FD5B31" w:rsidRDefault="00FD5B31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47C0BB11" w14:textId="77777777" w:rsidR="00FD5B31" w:rsidRDefault="00FD5B31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5C68006D" w14:textId="77777777" w:rsidR="00FD5B31" w:rsidRPr="00655A44" w:rsidRDefault="00FD5B31" w:rsidP="00655A44">
      <w:pPr>
        <w:spacing w:before="75" w:after="75" w:line="360" w:lineRule="auto"/>
        <w:jc w:val="both"/>
        <w:rPr>
          <w:sz w:val="24"/>
          <w:szCs w:val="24"/>
        </w:rPr>
      </w:pPr>
    </w:p>
    <w:p w14:paraId="26107FA0" w14:textId="77777777" w:rsidR="00655A44" w:rsidRPr="00655A44" w:rsidRDefault="00655A44" w:rsidP="00655A44">
      <w:pPr>
        <w:spacing w:before="75" w:after="75" w:line="360" w:lineRule="auto"/>
        <w:jc w:val="both"/>
        <w:rPr>
          <w:b/>
          <w:bCs/>
          <w:sz w:val="24"/>
          <w:szCs w:val="24"/>
        </w:rPr>
      </w:pPr>
      <w:r w:rsidRPr="00655A44">
        <w:rPr>
          <w:b/>
          <w:bCs/>
          <w:sz w:val="24"/>
          <w:szCs w:val="24"/>
        </w:rPr>
        <w:lastRenderedPageBreak/>
        <w:t>Questionamento 05:</w:t>
      </w:r>
    </w:p>
    <w:p w14:paraId="410B9ABA" w14:textId="32039615" w:rsidR="003B0E92" w:rsidRDefault="00655A44" w:rsidP="003B0E92">
      <w:pPr>
        <w:spacing w:before="75" w:after="75" w:line="360" w:lineRule="auto"/>
        <w:jc w:val="both"/>
        <w:rPr>
          <w:sz w:val="24"/>
          <w:szCs w:val="24"/>
        </w:rPr>
      </w:pPr>
      <w:r w:rsidRPr="00655A44">
        <w:rPr>
          <w:sz w:val="24"/>
          <w:szCs w:val="24"/>
        </w:rPr>
        <w:t>5) Conforme subitem 7.1 do Edital, é obrigatória o envio do anexo da proposta na fase inicial, solicitamos esclarecer se o anexo poderá conter os dados de identificação da empresa nesta fase.</w:t>
      </w:r>
    </w:p>
    <w:p w14:paraId="4559EEEF" w14:textId="7B924804" w:rsidR="00F640EB" w:rsidRPr="00D60361" w:rsidRDefault="00BA1D9C" w:rsidP="00D60361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954932">
        <w:rPr>
          <w:b/>
          <w:bCs/>
          <w:color w:val="EE0000"/>
          <w:sz w:val="24"/>
          <w:szCs w:val="24"/>
          <w:u w:val="single"/>
          <w:shd w:val="clear" w:color="auto" w:fill="FFFFFF"/>
        </w:rPr>
        <w:t>RESPOSTA</w:t>
      </w:r>
      <w:r w:rsidR="003B0E92">
        <w:rPr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: </w:t>
      </w:r>
      <w:r w:rsidR="00264AF6" w:rsidRPr="00264AF6">
        <w:rPr>
          <w:rFonts w:eastAsia="Times New Roman"/>
          <w:sz w:val="24"/>
          <w:szCs w:val="24"/>
        </w:rPr>
        <w:t xml:space="preserve">Sim, é permitido. Inclusive, o modelo de proposta consta no Anexo V do Edital. Ressaltamos que a proposta inicial será disponibilizada ao pregoeiro </w:t>
      </w:r>
      <w:r w:rsidR="00264AF6">
        <w:rPr>
          <w:rFonts w:eastAsia="Times New Roman"/>
          <w:sz w:val="24"/>
          <w:szCs w:val="24"/>
        </w:rPr>
        <w:t xml:space="preserve">somente </w:t>
      </w:r>
      <w:r w:rsidR="00264AF6" w:rsidRPr="00264AF6">
        <w:rPr>
          <w:rFonts w:eastAsia="Times New Roman"/>
          <w:sz w:val="24"/>
          <w:szCs w:val="24"/>
        </w:rPr>
        <w:t>após o horário previsto para sua abertura.</w:t>
      </w:r>
    </w:p>
    <w:p w14:paraId="4784B364" w14:textId="19955CBE" w:rsidR="008B790E" w:rsidRPr="00954932" w:rsidRDefault="008B790E" w:rsidP="00954932">
      <w:pPr>
        <w:spacing w:line="360" w:lineRule="auto"/>
        <w:ind w:left="3540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 xml:space="preserve">Rio Grande, </w:t>
      </w:r>
      <w:r w:rsidR="00862BA1" w:rsidRPr="00954932">
        <w:rPr>
          <w:sz w:val="24"/>
          <w:szCs w:val="24"/>
        </w:rPr>
        <w:t>1</w:t>
      </w:r>
      <w:r w:rsidR="00D60361">
        <w:rPr>
          <w:sz w:val="24"/>
          <w:szCs w:val="24"/>
        </w:rPr>
        <w:t xml:space="preserve">8 </w:t>
      </w:r>
      <w:r w:rsidR="00B152F1" w:rsidRPr="00954932">
        <w:rPr>
          <w:sz w:val="24"/>
          <w:szCs w:val="24"/>
        </w:rPr>
        <w:t xml:space="preserve">de </w:t>
      </w:r>
      <w:r w:rsidR="00CD1D2D" w:rsidRPr="00954932">
        <w:rPr>
          <w:sz w:val="24"/>
          <w:szCs w:val="24"/>
        </w:rPr>
        <w:t>ju</w:t>
      </w:r>
      <w:r w:rsidR="00862BA1" w:rsidRPr="00954932">
        <w:rPr>
          <w:sz w:val="24"/>
          <w:szCs w:val="24"/>
        </w:rPr>
        <w:t>lho</w:t>
      </w:r>
      <w:r w:rsidR="005B08E9" w:rsidRPr="00954932">
        <w:rPr>
          <w:sz w:val="24"/>
          <w:szCs w:val="24"/>
        </w:rPr>
        <w:t xml:space="preserve"> de 2025</w:t>
      </w:r>
      <w:r w:rsidRPr="00954932">
        <w:rPr>
          <w:sz w:val="24"/>
          <w:szCs w:val="24"/>
        </w:rPr>
        <w:t>.</w:t>
      </w:r>
    </w:p>
    <w:p w14:paraId="42E10591" w14:textId="77777777" w:rsidR="004E3A0D" w:rsidRPr="00954932" w:rsidRDefault="004E3A0D" w:rsidP="00954932">
      <w:pPr>
        <w:spacing w:line="360" w:lineRule="auto"/>
        <w:ind w:left="3540" w:firstLine="708"/>
        <w:jc w:val="center"/>
        <w:rPr>
          <w:sz w:val="24"/>
          <w:szCs w:val="24"/>
        </w:rPr>
      </w:pPr>
    </w:p>
    <w:p w14:paraId="4D9F74F3" w14:textId="77777777" w:rsidR="008B790E" w:rsidRPr="00954932" w:rsidRDefault="008B790E" w:rsidP="00954932">
      <w:pPr>
        <w:tabs>
          <w:tab w:val="left" w:pos="4400"/>
        </w:tabs>
        <w:spacing w:line="360" w:lineRule="auto"/>
        <w:ind w:left="-851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 xml:space="preserve">Erica Milena </w:t>
      </w:r>
      <w:proofErr w:type="spellStart"/>
      <w:r w:rsidRPr="00954932">
        <w:rPr>
          <w:sz w:val="24"/>
          <w:szCs w:val="24"/>
        </w:rPr>
        <w:t>Pokorski</w:t>
      </w:r>
      <w:proofErr w:type="spellEnd"/>
      <w:r w:rsidRPr="00954932">
        <w:rPr>
          <w:sz w:val="24"/>
          <w:szCs w:val="24"/>
        </w:rPr>
        <w:t xml:space="preserve"> de Andrade</w:t>
      </w:r>
    </w:p>
    <w:p w14:paraId="79566FFB" w14:textId="77777777" w:rsidR="003E1574" w:rsidRPr="00954932" w:rsidRDefault="008B790E" w:rsidP="00954932">
      <w:pPr>
        <w:spacing w:line="360" w:lineRule="auto"/>
        <w:ind w:left="-851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>Pregoeira</w:t>
      </w:r>
    </w:p>
    <w:sectPr w:rsidR="003E1574" w:rsidRPr="00954932" w:rsidSect="00AC7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4B846" w14:textId="77777777" w:rsidR="002840CA" w:rsidRDefault="002840CA" w:rsidP="00D05995">
      <w:pPr>
        <w:spacing w:line="240" w:lineRule="auto"/>
      </w:pPr>
      <w:r>
        <w:separator/>
      </w:r>
    </w:p>
  </w:endnote>
  <w:endnote w:type="continuationSeparator" w:id="0">
    <w:p w14:paraId="5905682B" w14:textId="77777777" w:rsidR="002840CA" w:rsidRDefault="002840CA" w:rsidP="00D059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773CD" w14:textId="77777777" w:rsidR="00B7464B" w:rsidRDefault="00B7464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9E3C" w14:textId="77777777" w:rsidR="00D05995" w:rsidRPr="007D1842" w:rsidRDefault="005216AC" w:rsidP="007D1842">
    <w:pPr>
      <w:pStyle w:val="Rodap"/>
      <w:tabs>
        <w:tab w:val="clear" w:pos="8504"/>
      </w:tabs>
      <w:ind w:left="-1134"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r w:rsidRPr="007D1842">
      <w:rPr>
        <w:rFonts w:ascii="Roboto" w:hAnsi="Roboto"/>
        <w:color w:val="AEAAAA" w:themeColor="background2" w:themeShade="BF"/>
        <w:sz w:val="18"/>
        <w:szCs w:val="18"/>
      </w:rPr>
      <w:t>portosrs.com.br</w:t>
    </w:r>
  </w:p>
  <w:p w14:paraId="494A25BC" w14:textId="77777777" w:rsidR="005216AC" w:rsidRPr="00997C21" w:rsidRDefault="00997C21" w:rsidP="007D1842">
    <w:pPr>
      <w:pStyle w:val="Rodap"/>
      <w:tabs>
        <w:tab w:val="clear" w:pos="8504"/>
      </w:tabs>
      <w:ind w:left="-1134"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hyperlink r:id="rId1" w:history="1">
      <w:r w:rsidRPr="00997C21">
        <w:rPr>
          <w:rStyle w:val="Hyperlink"/>
          <w:rFonts w:ascii="Roboto" w:hAnsi="Roboto"/>
          <w:color w:val="AEAAAA" w:themeColor="background2" w:themeShade="BF"/>
          <w:sz w:val="18"/>
          <w:szCs w:val="18"/>
          <w:u w:val="none"/>
        </w:rPr>
        <w:t>protocolo@portosrs.com.br</w:t>
      </w:r>
    </w:hyperlink>
  </w:p>
  <w:p w14:paraId="3C967124" w14:textId="77777777" w:rsidR="005216AC" w:rsidRPr="007D1842" w:rsidRDefault="00140D45" w:rsidP="0051312E">
    <w:pPr>
      <w:pStyle w:val="Rodap"/>
      <w:tabs>
        <w:tab w:val="clear" w:pos="8504"/>
      </w:tabs>
      <w:ind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E67B65B" wp14:editId="0BCB8386">
              <wp:simplePos x="0" y="0"/>
              <wp:positionH relativeFrom="column">
                <wp:posOffset>-792480</wp:posOffset>
              </wp:positionH>
              <wp:positionV relativeFrom="paragraph">
                <wp:posOffset>60960</wp:posOffset>
              </wp:positionV>
              <wp:extent cx="2617470" cy="7620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747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60A877A" w14:textId="77777777" w:rsidR="005A3BF8" w:rsidRPr="007D1842" w:rsidRDefault="005A3BF8" w:rsidP="005A3BF8">
                          <w:pPr>
                            <w:jc w:val="both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 xml:space="preserve">Matriz – Rio Grande </w:t>
                          </w:r>
                          <w:r w:rsidRPr="00955097"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Correspondências</w:t>
                          </w:r>
                          <w:r w:rsidRPr="00955097"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2CFC11E3" w14:textId="77777777" w:rsidR="005A3BF8" w:rsidRPr="007D1842" w:rsidRDefault="005A3BF8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Avenida Honório Bicalho, S/N — Getúlio Vargas</w:t>
                          </w:r>
                        </w:p>
                        <w:p w14:paraId="5D46FEA4" w14:textId="77777777" w:rsidR="005A3BF8" w:rsidRDefault="005A3BF8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Rio Grande</w:t>
                          </w: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/RS – Brasil, CEP 96</w:t>
                          </w: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201</w:t>
                          </w: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-020</w:t>
                          </w:r>
                        </w:p>
                        <w:p w14:paraId="07A3B6DE" w14:textId="77777777" w:rsidR="005A3BF8" w:rsidRPr="007D1842" w:rsidRDefault="002E3427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Fones: +55 53 99944-1923 e +55 53 99936-3748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67B65B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-62.4pt;margin-top:4.8pt;width:206.1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" fillcolor="white [3201]" stroked="f" strokeweight=".5pt">
              <v:textbox>
                <w:txbxContent>
                  <w:p w14:paraId="160A877A" w14:textId="77777777" w:rsidR="005A3BF8" w:rsidRPr="007D1842" w:rsidRDefault="005A3BF8" w:rsidP="005A3BF8">
                    <w:pPr>
                      <w:jc w:val="both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 xml:space="preserve">Matriz – Rio Grande </w:t>
                    </w:r>
                    <w:r w:rsidRPr="00955097"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Correspondências</w:t>
                    </w:r>
                    <w:r w:rsidRPr="00955097"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)</w:t>
                    </w:r>
                  </w:p>
                  <w:p w14:paraId="2CFC11E3" w14:textId="77777777" w:rsidR="005A3BF8" w:rsidRPr="007D1842" w:rsidRDefault="005A3BF8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Avenida Honório Bicalho, S/N — Getúlio Vargas</w:t>
                    </w:r>
                  </w:p>
                  <w:p w14:paraId="5D46FEA4" w14:textId="77777777" w:rsidR="005A3BF8" w:rsidRDefault="005A3BF8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Rio Grande</w:t>
                    </w: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/RS – Brasil, CEP 96</w:t>
                    </w: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201</w:t>
                    </w: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-020</w:t>
                    </w:r>
                  </w:p>
                  <w:p w14:paraId="07A3B6DE" w14:textId="77777777" w:rsidR="005A3BF8" w:rsidRPr="007D1842" w:rsidRDefault="002E3427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Fones: +55 53 99944-1923 e +55 53 99936-3748</w:t>
                    </w:r>
                  </w:p>
                </w:txbxContent>
              </v:textbox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19816394" wp14:editId="13D5EB93">
              <wp:simplePos x="0" y="0"/>
              <wp:positionH relativeFrom="column">
                <wp:posOffset>2158365</wp:posOffset>
              </wp:positionH>
              <wp:positionV relativeFrom="paragraph">
                <wp:posOffset>52069</wp:posOffset>
              </wp:positionV>
              <wp:extent cx="1816100" cy="0"/>
              <wp:effectExtent l="0" t="0" r="31750" b="1905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8161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ED3701" id="Conector reto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95pt,4.1pt" to="312.9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" strokecolor="#4472c4 [3204]" strokeweight=".5pt">
              <v:stroke joinstyle="miter"/>
              <o:lock v:ext="edit" shapetype="f"/>
            </v:lin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10BB32D5" wp14:editId="7899D357">
              <wp:simplePos x="0" y="0"/>
              <wp:positionH relativeFrom="column">
                <wp:posOffset>-718185</wp:posOffset>
              </wp:positionH>
              <wp:positionV relativeFrom="paragraph">
                <wp:posOffset>55879</wp:posOffset>
              </wp:positionV>
              <wp:extent cx="2279015" cy="0"/>
              <wp:effectExtent l="0" t="0" r="26035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279015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C0F6B3" id="Conector reto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6.55pt,4.4pt" to="122.9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" strokecolor="#0070c0" strokeweight=".5pt">
              <v:stroke joinstyle="miter"/>
              <o:lock v:ext="edit" shapetype="f"/>
            </v:lin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04DB920" wp14:editId="00C3D8AC">
              <wp:simplePos x="0" y="0"/>
              <wp:positionH relativeFrom="margin">
                <wp:posOffset>4025265</wp:posOffset>
              </wp:positionH>
              <wp:positionV relativeFrom="paragraph">
                <wp:posOffset>44450</wp:posOffset>
              </wp:positionV>
              <wp:extent cx="2076450" cy="76200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645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54E71DA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 w:rsidRPr="007D1842"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Unidade – Porto Alegre</w:t>
                          </w:r>
                        </w:p>
                        <w:p w14:paraId="5D72BE04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Avenida Mauá, 1.050 – Centro Histórico </w:t>
                          </w:r>
                        </w:p>
                        <w:p w14:paraId="15F0892E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Porto Alegre/RS – Brasil, CEP 90010-110</w:t>
                          </w:r>
                        </w:p>
                        <w:p w14:paraId="47CB6880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Fone: +55 51 3288-</w:t>
                          </w:r>
                          <w:r w:rsidR="00F13BA0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9207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4DB920" id="Caixa de Texto 3" o:spid="_x0000_s1027" type="#_x0000_t202" style="position:absolute;left:0;text-align:left;margin-left:316.95pt;margin-top:3.5pt;width:163.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" fillcolor="white [3201]" stroked="f" strokeweight=".5pt">
              <v:textbox>
                <w:txbxContent>
                  <w:p w14:paraId="754E71DA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 w:rsidRPr="007D1842"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>Unidade – Porto Alegre</w:t>
                    </w:r>
                  </w:p>
                  <w:p w14:paraId="5D72BE04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Avenida Mauá, 1.050 – Centro Histórico </w:t>
                    </w:r>
                  </w:p>
                  <w:p w14:paraId="15F0892E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Porto Alegre/RS – Brasil, CEP 90010-110</w:t>
                    </w:r>
                  </w:p>
                  <w:p w14:paraId="47CB6880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Fone: +55 51 3288-</w:t>
                    </w:r>
                    <w:r w:rsidR="00F13BA0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9207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5BDC01" wp14:editId="031401F0">
              <wp:simplePos x="0" y="0"/>
              <wp:positionH relativeFrom="column">
                <wp:posOffset>2120265</wp:posOffset>
              </wp:positionH>
              <wp:positionV relativeFrom="paragraph">
                <wp:posOffset>48895</wp:posOffset>
              </wp:positionV>
              <wp:extent cx="1905000" cy="7620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00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A59D0D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 w:rsidRPr="007D1842"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Unidade – Pelotas</w:t>
                          </w:r>
                        </w:p>
                        <w:p w14:paraId="1E86DC28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Rua</w:t>
                          </w:r>
                          <w:r w:rsidR="00195FF0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 Benjamin Constant, 701 – Centro</w:t>
                          </w:r>
                        </w:p>
                        <w:p w14:paraId="36B8BB9B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Pelotas/RS</w:t>
                          </w:r>
                          <w:r w:rsidR="007D1842"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 – Brasil, CEP 96010-020</w:t>
                          </w:r>
                        </w:p>
                        <w:p w14:paraId="6801F150" w14:textId="77777777" w:rsidR="007D1842" w:rsidRPr="007D1842" w:rsidRDefault="007D1842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Fone: +55 53 3278-7272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5BDC01" id="Caixa de Texto 2" o:spid="_x0000_s1028" type="#_x0000_t202" style="position:absolute;left:0;text-align:left;margin-left:166.95pt;margin-top:3.85pt;width:150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" fillcolor="white [3201]" stroked="f" strokeweight=".5pt">
              <v:textbox>
                <w:txbxContent>
                  <w:p w14:paraId="5AA59D0D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 w:rsidRPr="007D1842"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>Unidade – Pelotas</w:t>
                    </w:r>
                  </w:p>
                  <w:p w14:paraId="1E86DC28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Rua</w:t>
                    </w:r>
                    <w:r w:rsidR="00195FF0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 Benjamin Constant, 701 – Centro</w:t>
                    </w:r>
                  </w:p>
                  <w:p w14:paraId="36B8BB9B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Pelotas/RS</w:t>
                    </w:r>
                    <w:r w:rsidR="007D1842"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 – Brasil, CEP 96010-020</w:t>
                    </w:r>
                  </w:p>
                  <w:p w14:paraId="6801F150" w14:textId="77777777" w:rsidR="007D1842" w:rsidRPr="007D1842" w:rsidRDefault="007D1842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Fone: +55 53 3278-7272 </w:t>
                    </w:r>
                  </w:p>
                </w:txbxContent>
              </v:textbox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319AFEAC" wp14:editId="2228E5F4">
              <wp:simplePos x="0" y="0"/>
              <wp:positionH relativeFrom="column">
                <wp:posOffset>4120515</wp:posOffset>
              </wp:positionH>
              <wp:positionV relativeFrom="paragraph">
                <wp:posOffset>41274</wp:posOffset>
              </wp:positionV>
              <wp:extent cx="1800225" cy="0"/>
              <wp:effectExtent l="0" t="0" r="28575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8002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800A00" id="Conector reto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24.45pt,3.25pt" to="466.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" strokecolor="#4472c4 [3204]" strokeweight=".5pt">
              <v:stroke joinstyle="miter"/>
              <o:lock v:ext="edit" shapetype="f"/>
            </v:line>
          </w:pict>
        </mc:Fallback>
      </mc:AlternateContent>
    </w:r>
  </w:p>
  <w:p w14:paraId="727F55BB" w14:textId="77777777" w:rsidR="0051312E" w:rsidRDefault="0051312E"/>
  <w:p w14:paraId="1A08D71B" w14:textId="77777777" w:rsidR="005A3BF8" w:rsidRDefault="005A3BF8"/>
  <w:p w14:paraId="6030D723" w14:textId="77777777" w:rsidR="005A3BF8" w:rsidRPr="00F13BA0" w:rsidRDefault="005A3BF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8DCB" w14:textId="77777777" w:rsidR="00B7464B" w:rsidRDefault="00B746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8F5DE" w14:textId="77777777" w:rsidR="002840CA" w:rsidRDefault="002840CA" w:rsidP="00D05995">
      <w:pPr>
        <w:spacing w:line="240" w:lineRule="auto"/>
      </w:pPr>
      <w:r>
        <w:separator/>
      </w:r>
    </w:p>
  </w:footnote>
  <w:footnote w:type="continuationSeparator" w:id="0">
    <w:p w14:paraId="6B0BACE7" w14:textId="77777777" w:rsidR="002840CA" w:rsidRDefault="002840CA" w:rsidP="00D059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E096" w14:textId="77777777" w:rsidR="00B7464B" w:rsidRDefault="00B7464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14B1" w14:textId="77777777" w:rsidR="00D05995" w:rsidRDefault="00D05995">
    <w:pPr>
      <w:pStyle w:val="Cabealho"/>
    </w:pPr>
    <w:r>
      <w:rPr>
        <w:rFonts w:ascii="Times New Roman"/>
        <w:noProof/>
        <w:lang w:eastAsia="pt-BR"/>
      </w:rPr>
      <w:drawing>
        <wp:inline distT="0" distB="0" distL="0" distR="0" wp14:anchorId="563C3D9F" wp14:editId="6014F0D3">
          <wp:extent cx="1589480" cy="376237"/>
          <wp:effectExtent l="0" t="0" r="0" b="0"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75C9" w14:textId="77777777" w:rsidR="00B7464B" w:rsidRDefault="00B7464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795A"/>
    <w:multiLevelType w:val="hybridMultilevel"/>
    <w:tmpl w:val="1B0638A2"/>
    <w:lvl w:ilvl="0" w:tplc="EA2E776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EE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E3216"/>
    <w:multiLevelType w:val="hybridMultilevel"/>
    <w:tmpl w:val="941EC072"/>
    <w:lvl w:ilvl="0" w:tplc="0416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B7686"/>
    <w:multiLevelType w:val="multilevel"/>
    <w:tmpl w:val="85A2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4366F1"/>
    <w:multiLevelType w:val="multilevel"/>
    <w:tmpl w:val="A77E0286"/>
    <w:lvl w:ilvl="0">
      <w:start w:val="7"/>
      <w:numFmt w:val="decimal"/>
      <w:lvlText w:val="%1."/>
      <w:lvlJc w:val="left"/>
      <w:pPr>
        <w:ind w:left="783" w:hanging="357"/>
      </w:pPr>
      <w:rPr>
        <w:rFonts w:hint="default"/>
        <w:b/>
        <w:sz w:val="24"/>
        <w:szCs w:val="28"/>
      </w:rPr>
    </w:lvl>
    <w:lvl w:ilvl="1">
      <w:start w:val="1"/>
      <w:numFmt w:val="decimal"/>
      <w:lvlText w:val="%1.%2."/>
      <w:lvlJc w:val="left"/>
      <w:pPr>
        <w:ind w:left="925" w:hanging="357"/>
      </w:pPr>
      <w:rPr>
        <w:rFonts w:ascii="Calibri" w:hAnsi="Calibri" w:hint="default"/>
        <w:b w:val="0"/>
        <w:color w:val="auto"/>
        <w:sz w:val="24"/>
      </w:rPr>
    </w:lvl>
    <w:lvl w:ilvl="2">
      <w:start w:val="1"/>
      <w:numFmt w:val="decimal"/>
      <w:suff w:val="nothing"/>
      <w:lvlText w:val="%1.%2.%3."/>
      <w:lvlJc w:val="left"/>
      <w:pPr>
        <w:ind w:left="641" w:hanging="357"/>
      </w:pPr>
      <w:rPr>
        <w:rFonts w:hint="default"/>
        <w:b w:val="0"/>
        <w:color w:val="auto"/>
        <w:sz w:val="24"/>
      </w:rPr>
    </w:lvl>
    <w:lvl w:ilvl="3">
      <w:start w:val="1"/>
      <w:numFmt w:val="decimal"/>
      <w:suff w:val="nothing"/>
      <w:lvlText w:val="%1.%2.%3.%4."/>
      <w:lvlJc w:val="left"/>
      <w:pPr>
        <w:ind w:left="357" w:hanging="357"/>
      </w:pPr>
      <w:rPr>
        <w:rFonts w:hint="default"/>
        <w:b w:val="0"/>
        <w:sz w:val="24"/>
      </w:rPr>
    </w:lvl>
    <w:lvl w:ilvl="4">
      <w:start w:val="1"/>
      <w:numFmt w:val="decimal"/>
      <w:suff w:val="nothing"/>
      <w:lvlText w:val="%1.%2.%3.%4.%5."/>
      <w:lvlJc w:val="left"/>
      <w:pPr>
        <w:ind w:left="2069" w:hanging="357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426" w:hanging="357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783" w:hanging="357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140" w:hanging="357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497" w:hanging="357"/>
      </w:pPr>
      <w:rPr>
        <w:rFonts w:hint="default"/>
        <w:sz w:val="24"/>
      </w:rPr>
    </w:lvl>
  </w:abstractNum>
  <w:abstractNum w:abstractNumId="4" w15:restartNumberingAfterBreak="0">
    <w:nsid w:val="21044F78"/>
    <w:multiLevelType w:val="hybridMultilevel"/>
    <w:tmpl w:val="6C686BD2"/>
    <w:lvl w:ilvl="0" w:tplc="1DBE67C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50F50"/>
    <w:multiLevelType w:val="hybridMultilevel"/>
    <w:tmpl w:val="C92043B0"/>
    <w:lvl w:ilvl="0" w:tplc="A3C8A732">
      <w:start w:val="1"/>
      <w:numFmt w:val="decimalZero"/>
      <w:lvlText w:val="%1-"/>
      <w:lvlJc w:val="left"/>
      <w:pPr>
        <w:ind w:left="730" w:hanging="3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D75E7"/>
    <w:multiLevelType w:val="hybridMultilevel"/>
    <w:tmpl w:val="8836E81C"/>
    <w:lvl w:ilvl="0" w:tplc="18F602A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0D7C"/>
    <w:multiLevelType w:val="multilevel"/>
    <w:tmpl w:val="0F1AB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456495"/>
    <w:multiLevelType w:val="hybridMultilevel"/>
    <w:tmpl w:val="8B7C7B52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8A1528"/>
    <w:multiLevelType w:val="multilevel"/>
    <w:tmpl w:val="B8541A42"/>
    <w:lvl w:ilvl="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auto"/>
        <w:sz w:val="22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5A9A0BC4"/>
    <w:multiLevelType w:val="hybridMultilevel"/>
    <w:tmpl w:val="59E623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36150"/>
    <w:multiLevelType w:val="multilevel"/>
    <w:tmpl w:val="B4942A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0" w:hanging="5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DEC36DD"/>
    <w:multiLevelType w:val="hybridMultilevel"/>
    <w:tmpl w:val="C7A48BDE"/>
    <w:lvl w:ilvl="0" w:tplc="0416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0A737F"/>
    <w:multiLevelType w:val="hybridMultilevel"/>
    <w:tmpl w:val="FB408A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0C34DE"/>
    <w:multiLevelType w:val="hybridMultilevel"/>
    <w:tmpl w:val="67EA09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A47B1"/>
    <w:multiLevelType w:val="hybridMultilevel"/>
    <w:tmpl w:val="4E6E32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907509">
    <w:abstractNumId w:val="15"/>
  </w:num>
  <w:num w:numId="2" w16cid:durableId="1929803365">
    <w:abstractNumId w:val="14"/>
  </w:num>
  <w:num w:numId="3" w16cid:durableId="1141312117">
    <w:abstractNumId w:val="1"/>
  </w:num>
  <w:num w:numId="4" w16cid:durableId="939139814">
    <w:abstractNumId w:val="12"/>
  </w:num>
  <w:num w:numId="5" w16cid:durableId="1622882227">
    <w:abstractNumId w:val="9"/>
  </w:num>
  <w:num w:numId="6" w16cid:durableId="1773672538">
    <w:abstractNumId w:val="11"/>
  </w:num>
  <w:num w:numId="7" w16cid:durableId="717513376">
    <w:abstractNumId w:val="6"/>
  </w:num>
  <w:num w:numId="8" w16cid:durableId="1643341564">
    <w:abstractNumId w:val="5"/>
  </w:num>
  <w:num w:numId="9" w16cid:durableId="1357389468">
    <w:abstractNumId w:val="4"/>
  </w:num>
  <w:num w:numId="10" w16cid:durableId="365760220">
    <w:abstractNumId w:val="8"/>
  </w:num>
  <w:num w:numId="11" w16cid:durableId="525140416">
    <w:abstractNumId w:val="10"/>
  </w:num>
  <w:num w:numId="12" w16cid:durableId="1990404977">
    <w:abstractNumId w:val="13"/>
  </w:num>
  <w:num w:numId="13" w16cid:durableId="1306083144">
    <w:abstractNumId w:val="2"/>
  </w:num>
  <w:num w:numId="14" w16cid:durableId="1908998514">
    <w:abstractNumId w:val="0"/>
  </w:num>
  <w:num w:numId="15" w16cid:durableId="1798601561">
    <w:abstractNumId w:val="7"/>
  </w:num>
  <w:num w:numId="16" w16cid:durableId="1927878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995"/>
    <w:rsid w:val="0001329A"/>
    <w:rsid w:val="00045B3A"/>
    <w:rsid w:val="000469CF"/>
    <w:rsid w:val="00052539"/>
    <w:rsid w:val="000665F8"/>
    <w:rsid w:val="00084F47"/>
    <w:rsid w:val="000920BE"/>
    <w:rsid w:val="000A0E93"/>
    <w:rsid w:val="000A1202"/>
    <w:rsid w:val="000B2AF2"/>
    <w:rsid w:val="000B5951"/>
    <w:rsid w:val="000C7F98"/>
    <w:rsid w:val="000F339A"/>
    <w:rsid w:val="000F758E"/>
    <w:rsid w:val="001101B3"/>
    <w:rsid w:val="001214C8"/>
    <w:rsid w:val="00125A93"/>
    <w:rsid w:val="001346E7"/>
    <w:rsid w:val="00140D45"/>
    <w:rsid w:val="001748E2"/>
    <w:rsid w:val="00174908"/>
    <w:rsid w:val="00195FF0"/>
    <w:rsid w:val="001C5BE1"/>
    <w:rsid w:val="001D74AF"/>
    <w:rsid w:val="001E1C14"/>
    <w:rsid w:val="001E63DD"/>
    <w:rsid w:val="00246D14"/>
    <w:rsid w:val="00253CBE"/>
    <w:rsid w:val="00262AC6"/>
    <w:rsid w:val="00264AF6"/>
    <w:rsid w:val="002662D7"/>
    <w:rsid w:val="00266CA3"/>
    <w:rsid w:val="00274EBE"/>
    <w:rsid w:val="00281138"/>
    <w:rsid w:val="0028153C"/>
    <w:rsid w:val="002840CA"/>
    <w:rsid w:val="002A2B3C"/>
    <w:rsid w:val="002A5BFE"/>
    <w:rsid w:val="002A772E"/>
    <w:rsid w:val="002B1499"/>
    <w:rsid w:val="002E0EC3"/>
    <w:rsid w:val="002E17F4"/>
    <w:rsid w:val="002E3427"/>
    <w:rsid w:val="003026A3"/>
    <w:rsid w:val="0030710F"/>
    <w:rsid w:val="00310311"/>
    <w:rsid w:val="00312F65"/>
    <w:rsid w:val="00327E80"/>
    <w:rsid w:val="00333D46"/>
    <w:rsid w:val="00351E90"/>
    <w:rsid w:val="003534DA"/>
    <w:rsid w:val="003676A2"/>
    <w:rsid w:val="00376EDF"/>
    <w:rsid w:val="003B0E92"/>
    <w:rsid w:val="003C4382"/>
    <w:rsid w:val="003C4DD0"/>
    <w:rsid w:val="003C7561"/>
    <w:rsid w:val="003E1574"/>
    <w:rsid w:val="003E5CB1"/>
    <w:rsid w:val="003F71FB"/>
    <w:rsid w:val="0040482B"/>
    <w:rsid w:val="004073C3"/>
    <w:rsid w:val="00426889"/>
    <w:rsid w:val="004304FA"/>
    <w:rsid w:val="00460CBA"/>
    <w:rsid w:val="0047609A"/>
    <w:rsid w:val="00484573"/>
    <w:rsid w:val="00486205"/>
    <w:rsid w:val="004A149B"/>
    <w:rsid w:val="004A445B"/>
    <w:rsid w:val="004A6BC2"/>
    <w:rsid w:val="004C654E"/>
    <w:rsid w:val="004E3A0D"/>
    <w:rsid w:val="004F7D34"/>
    <w:rsid w:val="00502EC7"/>
    <w:rsid w:val="00507C35"/>
    <w:rsid w:val="0051312E"/>
    <w:rsid w:val="00513F53"/>
    <w:rsid w:val="00515930"/>
    <w:rsid w:val="00516111"/>
    <w:rsid w:val="00517972"/>
    <w:rsid w:val="005216AC"/>
    <w:rsid w:val="00526837"/>
    <w:rsid w:val="0053622F"/>
    <w:rsid w:val="005362B6"/>
    <w:rsid w:val="00536EF7"/>
    <w:rsid w:val="00555A4A"/>
    <w:rsid w:val="0056118E"/>
    <w:rsid w:val="00572EA6"/>
    <w:rsid w:val="0058404E"/>
    <w:rsid w:val="005A3BF8"/>
    <w:rsid w:val="005A71FB"/>
    <w:rsid w:val="005B08E9"/>
    <w:rsid w:val="005D01D9"/>
    <w:rsid w:val="005E088F"/>
    <w:rsid w:val="005E1F22"/>
    <w:rsid w:val="005E72E7"/>
    <w:rsid w:val="00623EA7"/>
    <w:rsid w:val="0062490C"/>
    <w:rsid w:val="00635423"/>
    <w:rsid w:val="0063703C"/>
    <w:rsid w:val="00641D66"/>
    <w:rsid w:val="00650BA1"/>
    <w:rsid w:val="00651246"/>
    <w:rsid w:val="00651610"/>
    <w:rsid w:val="00655A44"/>
    <w:rsid w:val="006A7114"/>
    <w:rsid w:val="006B7E79"/>
    <w:rsid w:val="006C6686"/>
    <w:rsid w:val="006D1037"/>
    <w:rsid w:val="006E4F57"/>
    <w:rsid w:val="00703114"/>
    <w:rsid w:val="007052CF"/>
    <w:rsid w:val="0070559E"/>
    <w:rsid w:val="00712E8A"/>
    <w:rsid w:val="00717793"/>
    <w:rsid w:val="00722A99"/>
    <w:rsid w:val="00743B05"/>
    <w:rsid w:val="007567A1"/>
    <w:rsid w:val="00763069"/>
    <w:rsid w:val="00791F2A"/>
    <w:rsid w:val="007B05DD"/>
    <w:rsid w:val="007D1842"/>
    <w:rsid w:val="007D2D73"/>
    <w:rsid w:val="007D341C"/>
    <w:rsid w:val="007E5768"/>
    <w:rsid w:val="007F1239"/>
    <w:rsid w:val="007F744B"/>
    <w:rsid w:val="008121D4"/>
    <w:rsid w:val="008255A4"/>
    <w:rsid w:val="00852D1E"/>
    <w:rsid w:val="00862BA1"/>
    <w:rsid w:val="00872BF0"/>
    <w:rsid w:val="00892BA3"/>
    <w:rsid w:val="0089306B"/>
    <w:rsid w:val="008A07E5"/>
    <w:rsid w:val="008B4AF8"/>
    <w:rsid w:val="008B790E"/>
    <w:rsid w:val="008C5CD6"/>
    <w:rsid w:val="008D31AC"/>
    <w:rsid w:val="008D40A9"/>
    <w:rsid w:val="008D744A"/>
    <w:rsid w:val="008F688C"/>
    <w:rsid w:val="008F744C"/>
    <w:rsid w:val="00924367"/>
    <w:rsid w:val="00933D37"/>
    <w:rsid w:val="00954932"/>
    <w:rsid w:val="00955097"/>
    <w:rsid w:val="00974675"/>
    <w:rsid w:val="00997C21"/>
    <w:rsid w:val="009A0C27"/>
    <w:rsid w:val="009B32B3"/>
    <w:rsid w:val="009C1221"/>
    <w:rsid w:val="009C4CCA"/>
    <w:rsid w:val="009E6D72"/>
    <w:rsid w:val="009E6FA1"/>
    <w:rsid w:val="009E7934"/>
    <w:rsid w:val="009F0528"/>
    <w:rsid w:val="00A04564"/>
    <w:rsid w:val="00A1336B"/>
    <w:rsid w:val="00A42AFE"/>
    <w:rsid w:val="00A42F0B"/>
    <w:rsid w:val="00A62686"/>
    <w:rsid w:val="00A64349"/>
    <w:rsid w:val="00A905BE"/>
    <w:rsid w:val="00AC4D60"/>
    <w:rsid w:val="00AC7F37"/>
    <w:rsid w:val="00AD3A11"/>
    <w:rsid w:val="00AE31A4"/>
    <w:rsid w:val="00AE31AC"/>
    <w:rsid w:val="00AE619A"/>
    <w:rsid w:val="00B0624E"/>
    <w:rsid w:val="00B152F1"/>
    <w:rsid w:val="00B306AF"/>
    <w:rsid w:val="00B428E4"/>
    <w:rsid w:val="00B7464B"/>
    <w:rsid w:val="00B84EBC"/>
    <w:rsid w:val="00BA1D9C"/>
    <w:rsid w:val="00BB3BAD"/>
    <w:rsid w:val="00BC57F6"/>
    <w:rsid w:val="00BC7082"/>
    <w:rsid w:val="00BD10A5"/>
    <w:rsid w:val="00BE17C0"/>
    <w:rsid w:val="00C11EAE"/>
    <w:rsid w:val="00C36B17"/>
    <w:rsid w:val="00C63D64"/>
    <w:rsid w:val="00C76776"/>
    <w:rsid w:val="00C90AEF"/>
    <w:rsid w:val="00C9244F"/>
    <w:rsid w:val="00CA2C46"/>
    <w:rsid w:val="00CC044A"/>
    <w:rsid w:val="00CD1D2D"/>
    <w:rsid w:val="00CF0E76"/>
    <w:rsid w:val="00CF5CA9"/>
    <w:rsid w:val="00CF7D09"/>
    <w:rsid w:val="00D05995"/>
    <w:rsid w:val="00D53D4E"/>
    <w:rsid w:val="00D55DE7"/>
    <w:rsid w:val="00D60361"/>
    <w:rsid w:val="00D7744F"/>
    <w:rsid w:val="00DA77F6"/>
    <w:rsid w:val="00DB1F42"/>
    <w:rsid w:val="00DB555D"/>
    <w:rsid w:val="00DB6A09"/>
    <w:rsid w:val="00DC4AB4"/>
    <w:rsid w:val="00DD1A4D"/>
    <w:rsid w:val="00DD2084"/>
    <w:rsid w:val="00DD2B2A"/>
    <w:rsid w:val="00DD7FA9"/>
    <w:rsid w:val="00DE57B6"/>
    <w:rsid w:val="00E04D70"/>
    <w:rsid w:val="00E1086A"/>
    <w:rsid w:val="00E35221"/>
    <w:rsid w:val="00E40A19"/>
    <w:rsid w:val="00E40C8C"/>
    <w:rsid w:val="00E46C5C"/>
    <w:rsid w:val="00E63414"/>
    <w:rsid w:val="00E75527"/>
    <w:rsid w:val="00E962F0"/>
    <w:rsid w:val="00EA27C1"/>
    <w:rsid w:val="00EA629E"/>
    <w:rsid w:val="00EA7F96"/>
    <w:rsid w:val="00EB5DF3"/>
    <w:rsid w:val="00ED6ED0"/>
    <w:rsid w:val="00EE48C5"/>
    <w:rsid w:val="00F13BA0"/>
    <w:rsid w:val="00F23357"/>
    <w:rsid w:val="00F24639"/>
    <w:rsid w:val="00F35218"/>
    <w:rsid w:val="00F40624"/>
    <w:rsid w:val="00F50612"/>
    <w:rsid w:val="00F62695"/>
    <w:rsid w:val="00F640EB"/>
    <w:rsid w:val="00FB53B3"/>
    <w:rsid w:val="00FC1583"/>
    <w:rsid w:val="00FD0894"/>
    <w:rsid w:val="00FD113B"/>
    <w:rsid w:val="00FD1B2A"/>
    <w:rsid w:val="00FD42AF"/>
    <w:rsid w:val="00FD5B31"/>
    <w:rsid w:val="00FD6A6A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4F0E7"/>
  <w15:docId w15:val="{BE21F419-50D5-4AE2-9912-44400E723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D3A11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599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5995"/>
  </w:style>
  <w:style w:type="paragraph" w:styleId="Rodap">
    <w:name w:val="footer"/>
    <w:basedOn w:val="Normal"/>
    <w:link w:val="RodapChar"/>
    <w:uiPriority w:val="99"/>
    <w:unhideWhenUsed/>
    <w:rsid w:val="00D0599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5995"/>
  </w:style>
  <w:style w:type="character" w:styleId="Hyperlink">
    <w:name w:val="Hyperlink"/>
    <w:basedOn w:val="Fontepargpadro"/>
    <w:uiPriority w:val="99"/>
    <w:unhideWhenUsed/>
    <w:rsid w:val="005216A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216AC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5F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5FF0"/>
    <w:rPr>
      <w:rFonts w:ascii="Tahoma" w:eastAsia="Arial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266CA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6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Numerado"/>
    <w:basedOn w:val="Normal"/>
    <w:link w:val="PargrafodaListaChar"/>
    <w:uiPriority w:val="34"/>
    <w:qFormat/>
    <w:rsid w:val="00266CA3"/>
    <w:pPr>
      <w:ind w:left="720"/>
      <w:contextualSpacing/>
    </w:pPr>
  </w:style>
  <w:style w:type="table" w:styleId="Tabelacomgrade">
    <w:name w:val="Table Grid"/>
    <w:basedOn w:val="Tabelanormal"/>
    <w:uiPriority w:val="39"/>
    <w:rsid w:val="000F7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adeinm1hgl8">
    <w:name w:val="_fadein_m1hgl_8"/>
    <w:basedOn w:val="Fontepargpadro"/>
    <w:rsid w:val="00EA629E"/>
  </w:style>
  <w:style w:type="character" w:customStyle="1" w:styleId="PargrafodaListaChar">
    <w:name w:val="Parágrafo da Lista Char"/>
    <w:aliases w:val="Numerado Char"/>
    <w:link w:val="PargrafodaLista"/>
    <w:uiPriority w:val="34"/>
    <w:qFormat/>
    <w:locked/>
    <w:rsid w:val="003B0E92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7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7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89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3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24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6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8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2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6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9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1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2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01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0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8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9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3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44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5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6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9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67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62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3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235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9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33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44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3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tocolo@portosrs.com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1118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Lisandra Roldao</dc:creator>
  <cp:lastModifiedBy>Erica Milena Pokosrki de Andrade</cp:lastModifiedBy>
  <cp:revision>13</cp:revision>
  <cp:lastPrinted>2025-03-20T16:17:00Z</cp:lastPrinted>
  <dcterms:created xsi:type="dcterms:W3CDTF">2025-07-17T16:18:00Z</dcterms:created>
  <dcterms:modified xsi:type="dcterms:W3CDTF">2025-07-18T18:43:00Z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2025-05-14T11:46:27Z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931c07eb-c768-4f99-b4e8-03d7221c4fc6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