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4FE32" w14:textId="77777777" w:rsidR="00146072" w:rsidRDefault="00146072" w:rsidP="00705802">
      <w:pPr>
        <w:jc w:val="both"/>
        <w:rPr>
          <w:rFonts w:ascii="Arial" w:hAnsi="Arial" w:cs="Arial"/>
          <w:b/>
          <w:bCs/>
        </w:rPr>
      </w:pPr>
    </w:p>
    <w:p w14:paraId="5F5E81DA" w14:textId="73B3F1AA" w:rsidR="00146072" w:rsidRPr="000665F8" w:rsidRDefault="00146072" w:rsidP="00146072">
      <w:pPr>
        <w:spacing w:line="360" w:lineRule="auto"/>
        <w:jc w:val="center"/>
        <w:rPr>
          <w:b/>
          <w:shd w:val="clear" w:color="auto" w:fill="FFFFFF"/>
        </w:rPr>
      </w:pPr>
      <w:r w:rsidRPr="000665F8">
        <w:rPr>
          <w:b/>
          <w:shd w:val="clear" w:color="auto" w:fill="FFFFFF"/>
        </w:rPr>
        <w:t>PREGÃO ELETRÔNICO Nº 00</w:t>
      </w:r>
      <w:r>
        <w:rPr>
          <w:b/>
          <w:shd w:val="clear" w:color="auto" w:fill="FFFFFF"/>
        </w:rPr>
        <w:t>20</w:t>
      </w:r>
      <w:r w:rsidRPr="000665F8">
        <w:rPr>
          <w:b/>
          <w:shd w:val="clear" w:color="auto" w:fill="FFFFFF"/>
        </w:rPr>
        <w:t>/2025</w:t>
      </w:r>
    </w:p>
    <w:p w14:paraId="6F8CB3A4" w14:textId="0BD5D857" w:rsidR="00146072" w:rsidRPr="00146072" w:rsidRDefault="00146072" w:rsidP="00146072">
      <w:pPr>
        <w:spacing w:before="75" w:after="75"/>
        <w:jc w:val="center"/>
        <w:rPr>
          <w:rFonts w:ascii="Verdana" w:eastAsia="Times New Roman" w:hAnsi="Verdana" w:cs="Times New Roman"/>
          <w:color w:val="1E241A"/>
          <w:kern w:val="0"/>
          <w:sz w:val="15"/>
          <w:szCs w:val="15"/>
          <w:lang w:eastAsia="pt-BR"/>
          <w14:ligatures w14:val="none"/>
        </w:rPr>
      </w:pPr>
      <w:r w:rsidRPr="000665F8">
        <w:rPr>
          <w:b/>
          <w:shd w:val="clear" w:color="auto" w:fill="FFFFFF"/>
        </w:rPr>
        <w:t xml:space="preserve">PROCESSO </w:t>
      </w:r>
      <w:r w:rsidRPr="00146072">
        <w:rPr>
          <w:rFonts w:ascii="Arial" w:eastAsia="Times New Roman" w:hAnsi="Arial" w:cs="Arial"/>
          <w:b/>
          <w:bCs/>
          <w:color w:val="1E241A"/>
          <w:kern w:val="0"/>
          <w:lang w:eastAsia="pt-BR"/>
          <w14:ligatures w14:val="none"/>
        </w:rPr>
        <w:t>25/9301-0000843-2</w:t>
      </w:r>
    </w:p>
    <w:p w14:paraId="258B997D" w14:textId="77777777" w:rsidR="00146072" w:rsidRPr="000665F8" w:rsidRDefault="00146072" w:rsidP="00146072">
      <w:pPr>
        <w:spacing w:line="360" w:lineRule="auto"/>
        <w:jc w:val="center"/>
        <w:rPr>
          <w:b/>
          <w:shd w:val="clear" w:color="auto" w:fill="FFFFFF"/>
        </w:rPr>
      </w:pPr>
    </w:p>
    <w:p w14:paraId="778C2633" w14:textId="3F03DAFB" w:rsidR="00146072" w:rsidRPr="007E5768" w:rsidRDefault="00146072" w:rsidP="00146072">
      <w:pPr>
        <w:spacing w:before="75" w:after="75" w:line="240" w:lineRule="auto"/>
        <w:jc w:val="center"/>
        <w:rPr>
          <w:rFonts w:ascii="Verdana" w:eastAsia="Times New Roman" w:hAnsi="Verdana" w:cs="Times New Roman"/>
          <w:b/>
          <w:bCs/>
          <w:color w:val="EE0000"/>
          <w:sz w:val="16"/>
          <w:szCs w:val="16"/>
        </w:rPr>
      </w:pPr>
      <w:r w:rsidRPr="007E5768">
        <w:rPr>
          <w:rFonts w:eastAsia="Times New Roman"/>
          <w:b/>
          <w:bCs/>
          <w:color w:val="EE0000"/>
          <w:u w:val="single"/>
          <w:shd w:val="clear" w:color="auto" w:fill="FFFFFF"/>
        </w:rPr>
        <w:t>ESCLARECIMENTO – PROTOCOLO</w:t>
      </w:r>
      <w:r>
        <w:rPr>
          <w:rFonts w:eastAsia="Times New Roman"/>
          <w:b/>
          <w:bCs/>
          <w:color w:val="EE0000"/>
          <w:u w:val="single"/>
          <w:shd w:val="clear" w:color="auto" w:fill="FFFFFF"/>
        </w:rPr>
        <w:t xml:space="preserve"> 2</w:t>
      </w:r>
      <w:r>
        <w:rPr>
          <w:rFonts w:eastAsia="Times New Roman"/>
          <w:b/>
          <w:bCs/>
          <w:color w:val="EE0000"/>
          <w:u w:val="single"/>
          <w:shd w:val="clear" w:color="auto" w:fill="FFFFFF"/>
        </w:rPr>
        <w:t>7167</w:t>
      </w:r>
      <w:r w:rsidRPr="007E5768">
        <w:rPr>
          <w:rFonts w:ascii="Verdana" w:eastAsia="Times New Roman" w:hAnsi="Verdana" w:cs="Times New Roman"/>
          <w:b/>
          <w:bCs/>
          <w:color w:val="EE0000"/>
          <w:sz w:val="16"/>
          <w:szCs w:val="16"/>
        </w:rPr>
        <w:br/>
      </w:r>
    </w:p>
    <w:p w14:paraId="23BB3149" w14:textId="77777777" w:rsidR="00146072" w:rsidRPr="00705802" w:rsidRDefault="00146072" w:rsidP="00705802">
      <w:pPr>
        <w:jc w:val="both"/>
        <w:rPr>
          <w:rFonts w:ascii="Arial" w:hAnsi="Arial" w:cs="Arial"/>
          <w:b/>
          <w:bCs/>
        </w:rPr>
      </w:pPr>
    </w:p>
    <w:p w14:paraId="39F4DBCF" w14:textId="56EAF198" w:rsidR="008D6ECB" w:rsidRPr="00705802" w:rsidRDefault="008D6ECB" w:rsidP="00705802">
      <w:pPr>
        <w:jc w:val="both"/>
        <w:rPr>
          <w:rFonts w:ascii="Arial" w:hAnsi="Arial" w:cs="Arial"/>
          <w:b/>
          <w:bCs/>
        </w:rPr>
      </w:pPr>
      <w:r w:rsidRPr="00705802">
        <w:rPr>
          <w:rFonts w:ascii="Arial" w:hAnsi="Arial" w:cs="Arial"/>
          <w:b/>
          <w:bCs/>
        </w:rPr>
        <w:t>1 - As empresas que apresentarem salários inferiores em sua proposta e planilha de preços aos especificados no Edital e Termo de Referência serão desclassificadas. Está correto nosso entendimento?</w:t>
      </w:r>
    </w:p>
    <w:p w14:paraId="44661A6A" w14:textId="1ECA2D94" w:rsidR="00705802" w:rsidRPr="0064023F" w:rsidRDefault="002B687E" w:rsidP="00705802">
      <w:pPr>
        <w:jc w:val="both"/>
        <w:rPr>
          <w:rFonts w:ascii="Arial" w:hAnsi="Arial" w:cs="Arial"/>
          <w:color w:val="EE0000"/>
        </w:rPr>
      </w:pPr>
      <w:r w:rsidRPr="002B687E">
        <w:rPr>
          <w:rFonts w:ascii="Arial" w:hAnsi="Arial" w:cs="Arial"/>
          <w:b/>
          <w:bCs/>
          <w:color w:val="EE0000"/>
        </w:rPr>
        <w:t>RESPOSTA TÉCNICA:</w:t>
      </w:r>
      <w:r w:rsidRPr="002B687E">
        <w:rPr>
          <w:rFonts w:ascii="Arial" w:hAnsi="Arial" w:cs="Arial"/>
          <w:color w:val="EE0000"/>
        </w:rPr>
        <w:t xml:space="preserve"> </w:t>
      </w:r>
      <w:r w:rsidR="00650B5B" w:rsidRPr="00650B5B">
        <w:rPr>
          <w:rFonts w:ascii="Arial" w:hAnsi="Arial" w:cs="Arial"/>
          <w:color w:val="EE0000"/>
        </w:rPr>
        <w:t>O entendimento de que propostas com salários inferiores aos previstos no Edital e no Termo de Referência serão desclassificadas está correto</w:t>
      </w:r>
      <w:r w:rsidR="00650B5B">
        <w:rPr>
          <w:rFonts w:ascii="Arial" w:hAnsi="Arial" w:cs="Arial"/>
          <w:color w:val="EE0000"/>
        </w:rPr>
        <w:t xml:space="preserve">. </w:t>
      </w:r>
      <w:r w:rsidR="0064023F" w:rsidRPr="0064023F">
        <w:rPr>
          <w:rFonts w:ascii="Arial" w:hAnsi="Arial" w:cs="Arial"/>
          <w:color w:val="EE0000"/>
        </w:rPr>
        <w:t>O Termo de Referência não apresenta diretamente valores mínimos de salários por função. Porém, o Edital exige que os preços propostos incluam todos os encargos legais, e que a proposta seja exequível</w:t>
      </w:r>
      <w:r w:rsidR="0064023F" w:rsidRPr="0064023F">
        <w:rPr>
          <w:rFonts w:ascii="Arial" w:hAnsi="Arial" w:cs="Arial"/>
          <w:color w:val="EE0000"/>
        </w:rPr>
        <w:t>.</w:t>
      </w:r>
      <w:r w:rsidR="0064023F" w:rsidRPr="0064023F">
        <w:rPr>
          <w:color w:val="EE0000"/>
        </w:rPr>
        <w:t xml:space="preserve"> </w:t>
      </w:r>
      <w:r w:rsidRPr="0064023F">
        <w:rPr>
          <w:rFonts w:ascii="Arial" w:hAnsi="Arial" w:cs="Arial"/>
          <w:color w:val="EE0000"/>
        </w:rPr>
        <w:t>Dessa forma, a apresentação de proposta com salários inferiores pode ensejar desclassificação, por se tratar de proposta inexequível.</w:t>
      </w:r>
    </w:p>
    <w:p w14:paraId="214F869E" w14:textId="77777777" w:rsidR="008D6ECB" w:rsidRPr="00705802" w:rsidRDefault="008D6ECB" w:rsidP="00705802">
      <w:pPr>
        <w:jc w:val="both"/>
        <w:rPr>
          <w:rFonts w:ascii="Arial" w:hAnsi="Arial" w:cs="Arial"/>
          <w:b/>
          <w:bCs/>
        </w:rPr>
      </w:pPr>
      <w:r w:rsidRPr="00705802">
        <w:rPr>
          <w:rFonts w:ascii="Arial" w:hAnsi="Arial" w:cs="Arial"/>
          <w:b/>
          <w:bCs/>
        </w:rPr>
        <w:t>2 - As empresas que apresentarem, em sua proposta e planilha de preços, valores de Fator K inferiores aos especificados no Edital e Termo de Referência serão desclassificadas. Está correto nosso entendimento?</w:t>
      </w:r>
    </w:p>
    <w:p w14:paraId="03259099" w14:textId="4C9776C5" w:rsidR="0064023F" w:rsidRPr="0064023F" w:rsidRDefault="00650B5B" w:rsidP="0064023F">
      <w:pPr>
        <w:jc w:val="both"/>
        <w:rPr>
          <w:rFonts w:ascii="Arial" w:hAnsi="Arial" w:cs="Arial"/>
          <w:color w:val="EE0000"/>
        </w:rPr>
      </w:pPr>
      <w:r w:rsidRPr="002B687E">
        <w:rPr>
          <w:rFonts w:ascii="Arial" w:hAnsi="Arial" w:cs="Arial"/>
          <w:b/>
          <w:bCs/>
          <w:color w:val="EE0000"/>
        </w:rPr>
        <w:t>RESPOSTA TÉCNICA:</w:t>
      </w:r>
      <w:r w:rsidRPr="002B687E">
        <w:rPr>
          <w:rFonts w:ascii="Arial" w:hAnsi="Arial" w:cs="Arial"/>
          <w:color w:val="EE0000"/>
        </w:rPr>
        <w:t xml:space="preserve"> </w:t>
      </w:r>
      <w:r w:rsidR="0064023F" w:rsidRPr="0064023F">
        <w:rPr>
          <w:rFonts w:ascii="Arial" w:hAnsi="Arial" w:cs="Arial"/>
          <w:color w:val="EE0000"/>
        </w:rPr>
        <w:t>O Edital não especifica um valor mínimo obrigatório de Fator K. No entanto, como a planilha de custos e formação de preços deverá ser preenchid</w:t>
      </w:r>
      <w:r w:rsidR="0064023F">
        <w:rPr>
          <w:rFonts w:ascii="Arial" w:hAnsi="Arial" w:cs="Arial"/>
          <w:color w:val="EE0000"/>
        </w:rPr>
        <w:t>a</w:t>
      </w:r>
      <w:r w:rsidR="0064023F" w:rsidRPr="0064023F">
        <w:rPr>
          <w:rFonts w:ascii="Arial" w:hAnsi="Arial" w:cs="Arial"/>
          <w:color w:val="EE0000"/>
        </w:rPr>
        <w:t>, presume-se que será exigido cálculo compatível com a legislação trabalhista vigente.</w:t>
      </w:r>
    </w:p>
    <w:p w14:paraId="5328E4C5" w14:textId="77777777" w:rsidR="0064023F" w:rsidRPr="0064023F" w:rsidRDefault="0064023F" w:rsidP="0064023F">
      <w:pPr>
        <w:jc w:val="both"/>
        <w:rPr>
          <w:rFonts w:ascii="Arial" w:hAnsi="Arial" w:cs="Arial"/>
          <w:color w:val="EE0000"/>
        </w:rPr>
      </w:pPr>
      <w:r w:rsidRPr="0064023F">
        <w:rPr>
          <w:rFonts w:ascii="Arial" w:hAnsi="Arial" w:cs="Arial"/>
          <w:color w:val="EE0000"/>
        </w:rPr>
        <w:t>Assim, o entendimento de que empresas que apresentarem Fator K inferior ao estipulado serão desclassificadas. A prática compromete a exequibilidade da proposta e viola os parâmetros obrigatórios do edital.</w:t>
      </w:r>
    </w:p>
    <w:p w14:paraId="05362193" w14:textId="0C232B3A" w:rsidR="008D6ECB" w:rsidRPr="00705802" w:rsidRDefault="008D6ECB" w:rsidP="00705802">
      <w:pPr>
        <w:jc w:val="both"/>
        <w:rPr>
          <w:rFonts w:ascii="Arial" w:hAnsi="Arial" w:cs="Arial"/>
          <w:b/>
          <w:bCs/>
        </w:rPr>
      </w:pPr>
      <w:r w:rsidRPr="00705802">
        <w:rPr>
          <w:rFonts w:ascii="Arial" w:hAnsi="Arial" w:cs="Arial"/>
          <w:b/>
          <w:bCs/>
        </w:rPr>
        <w:t>3 - As empresas que apresentarem quantitativos de profissionais inferiores em sua proposta e planilha de preços aos especificados no Edital e Termo de Referência serão desclassificadas. Está correto nosso entendimento?</w:t>
      </w:r>
    </w:p>
    <w:p w14:paraId="674BF50D" w14:textId="035210CD" w:rsidR="00705802" w:rsidRPr="00705802" w:rsidRDefault="00F107B1" w:rsidP="00705802">
      <w:pPr>
        <w:jc w:val="both"/>
        <w:rPr>
          <w:rFonts w:ascii="Arial" w:hAnsi="Arial" w:cs="Arial"/>
          <w:color w:val="EE0000"/>
        </w:rPr>
      </w:pPr>
      <w:r w:rsidRPr="002B687E">
        <w:rPr>
          <w:rFonts w:ascii="Arial" w:hAnsi="Arial" w:cs="Arial"/>
          <w:b/>
          <w:bCs/>
          <w:color w:val="EE0000"/>
        </w:rPr>
        <w:t>RESPOSTA TÉCNICA:</w:t>
      </w:r>
      <w:r w:rsidRPr="002B687E">
        <w:rPr>
          <w:rFonts w:ascii="Arial" w:hAnsi="Arial" w:cs="Arial"/>
          <w:color w:val="EE0000"/>
        </w:rPr>
        <w:t xml:space="preserve"> </w:t>
      </w:r>
      <w:r w:rsidRPr="00F107B1">
        <w:rPr>
          <w:rFonts w:ascii="Arial" w:hAnsi="Arial" w:cs="Arial"/>
          <w:color w:val="EE0000"/>
        </w:rPr>
        <w:t xml:space="preserve">A desclassificação de propostas com quantitativo inferior ao exigido está igualmente correta. O Termo de Referência estabelece no item </w:t>
      </w:r>
      <w:r w:rsidR="00F3236A">
        <w:rPr>
          <w:rFonts w:ascii="Arial" w:hAnsi="Arial" w:cs="Arial"/>
          <w:color w:val="EE0000"/>
        </w:rPr>
        <w:t>4.1</w:t>
      </w:r>
      <w:r w:rsidRPr="00F107B1">
        <w:rPr>
          <w:rFonts w:ascii="Arial" w:hAnsi="Arial" w:cs="Arial"/>
          <w:color w:val="EE0000"/>
        </w:rPr>
        <w:t xml:space="preserve"> o dimensionamento mínimo de profissionais por função e localidade. Propostas que não observem esse critério não atendem ao objeto da licitação e poderão ser desclassificadas.</w:t>
      </w:r>
    </w:p>
    <w:p w14:paraId="20B16BB4" w14:textId="715E8F65" w:rsidR="00B214B5" w:rsidRPr="005C2856" w:rsidRDefault="008D6ECB" w:rsidP="008D6ECB">
      <w:pPr>
        <w:jc w:val="both"/>
        <w:rPr>
          <w:rFonts w:ascii="Arial" w:hAnsi="Arial" w:cs="Arial"/>
          <w:b/>
          <w:bCs/>
        </w:rPr>
      </w:pPr>
      <w:r w:rsidRPr="00705802">
        <w:rPr>
          <w:rFonts w:ascii="Arial" w:hAnsi="Arial" w:cs="Arial"/>
          <w:b/>
          <w:bCs/>
        </w:rPr>
        <w:t xml:space="preserve">4 - Caso as empresas licitantes possam propor quantitativo de profissionais e/ou salários inferiores aos especificados no Edital e Termo </w:t>
      </w:r>
      <w:r w:rsidRPr="00705802">
        <w:rPr>
          <w:rFonts w:ascii="Arial" w:hAnsi="Arial" w:cs="Arial"/>
          <w:b/>
          <w:bCs/>
        </w:rPr>
        <w:lastRenderedPageBreak/>
        <w:t>de Referência desta licitação, qual será o critério de exequibilidade que será adotado para fins de julgamento das propostas?</w:t>
      </w:r>
    </w:p>
    <w:p w14:paraId="72686F8D" w14:textId="1E2E47F2" w:rsidR="00B214B5" w:rsidRPr="008D6ECB" w:rsidRDefault="005C2856" w:rsidP="008D6ECB">
      <w:pPr>
        <w:jc w:val="both"/>
        <w:rPr>
          <w:rFonts w:ascii="Arial" w:hAnsi="Arial" w:cs="Arial"/>
        </w:rPr>
      </w:pPr>
      <w:r w:rsidRPr="002B687E">
        <w:rPr>
          <w:rFonts w:ascii="Arial" w:hAnsi="Arial" w:cs="Arial"/>
          <w:b/>
          <w:bCs/>
          <w:color w:val="EE0000"/>
        </w:rPr>
        <w:t>RESPOSTA TÉCNICA:</w:t>
      </w:r>
      <w:r w:rsidRPr="002B687E">
        <w:rPr>
          <w:rFonts w:ascii="Arial" w:hAnsi="Arial" w:cs="Arial"/>
          <w:color w:val="EE0000"/>
        </w:rPr>
        <w:t xml:space="preserve"> </w:t>
      </w:r>
      <w:r w:rsidRPr="005C2856">
        <w:rPr>
          <w:rFonts w:ascii="Arial" w:hAnsi="Arial" w:cs="Arial"/>
          <w:color w:val="EE0000"/>
        </w:rPr>
        <w:t>O Edital e o TR não permitem variação para baixo nos salários, Fator K ou quantitativo de profissionais. Esses parâmetros são fixados como requisitos mínimos para garantir a exequibilidade do serviço contratado. No entanto, caso seja apresentada proposta com valores significativamente inferiores, poderá ser aplicada diligência, para que a empresa comprove a viabilidade econômica e a exequibilidade da proposta por meio de documentação adequada. Se não comprovada a viabilidade, a proposta será desclassificada.</w:t>
      </w:r>
    </w:p>
    <w:p w14:paraId="0D362DB8" w14:textId="77777777" w:rsidR="008D6ECB" w:rsidRPr="008D6ECB" w:rsidRDefault="008D6ECB" w:rsidP="008D6ECB">
      <w:pPr>
        <w:jc w:val="both"/>
        <w:rPr>
          <w:rFonts w:ascii="Arial" w:hAnsi="Arial" w:cs="Arial"/>
        </w:rPr>
      </w:pPr>
      <w:r w:rsidRPr="008D6ECB">
        <w:rPr>
          <w:rFonts w:ascii="Arial" w:hAnsi="Arial" w:cs="Arial"/>
          <w:b/>
          <w:bCs/>
        </w:rPr>
        <w:t>5 -</w:t>
      </w:r>
      <w:r w:rsidRPr="008D6ECB">
        <w:rPr>
          <w:rFonts w:ascii="Arial" w:hAnsi="Arial" w:cs="Arial"/>
        </w:rPr>
        <w:t xml:space="preserve"> </w:t>
      </w:r>
      <w:r w:rsidRPr="0042705F">
        <w:rPr>
          <w:rFonts w:ascii="Arial" w:hAnsi="Arial" w:cs="Arial"/>
          <w:b/>
          <w:bCs/>
        </w:rPr>
        <w:t>Qual a quantidade de chamados, requisições de serviços, incidentes ou Unidades de Serviço Técnico (</w:t>
      </w:r>
      <w:proofErr w:type="spellStart"/>
      <w:r w:rsidRPr="0042705F">
        <w:rPr>
          <w:rFonts w:ascii="Arial" w:hAnsi="Arial" w:cs="Arial"/>
          <w:b/>
          <w:bCs/>
        </w:rPr>
        <w:t>UTSs</w:t>
      </w:r>
      <w:proofErr w:type="spellEnd"/>
      <w:r w:rsidRPr="0042705F">
        <w:rPr>
          <w:rFonts w:ascii="Arial" w:hAnsi="Arial" w:cs="Arial"/>
          <w:b/>
          <w:bCs/>
        </w:rPr>
        <w:t>) por tipo de serviços estimada para esta nova contratação?</w:t>
      </w:r>
    </w:p>
    <w:p w14:paraId="7284B1D3" w14:textId="7ACE8FE9" w:rsidR="008D6ECB" w:rsidRPr="006D5417" w:rsidRDefault="006D5417" w:rsidP="008D6ECB">
      <w:pPr>
        <w:jc w:val="both"/>
        <w:rPr>
          <w:rFonts w:ascii="Arial" w:hAnsi="Arial" w:cs="Arial"/>
          <w:color w:val="EE0000"/>
        </w:rPr>
      </w:pPr>
      <w:r w:rsidRPr="006D5417">
        <w:rPr>
          <w:rFonts w:ascii="Arial" w:hAnsi="Arial" w:cs="Arial"/>
          <w:b/>
          <w:bCs/>
          <w:color w:val="EE0000"/>
        </w:rPr>
        <w:t>RESPOSTA TÉCNICA:</w:t>
      </w:r>
      <w:r w:rsidRPr="006D5417">
        <w:rPr>
          <w:rFonts w:ascii="Arial" w:hAnsi="Arial" w:cs="Arial"/>
          <w:color w:val="EE0000"/>
        </w:rPr>
        <w:t xml:space="preserve"> </w:t>
      </w:r>
      <w:r w:rsidRPr="006D5417">
        <w:rPr>
          <w:rFonts w:ascii="Arial" w:hAnsi="Arial" w:cs="Arial"/>
          <w:color w:val="EE0000"/>
        </w:rPr>
        <w:t>Os chamados são estimados em horas de atendimento e não há uma estatística do número de atendimentos/horas</w:t>
      </w:r>
      <w:r w:rsidRPr="006D5417">
        <w:rPr>
          <w:rFonts w:ascii="Arial" w:hAnsi="Arial" w:cs="Arial"/>
          <w:color w:val="EE0000"/>
        </w:rPr>
        <w:t>.</w:t>
      </w:r>
    </w:p>
    <w:p w14:paraId="0676AA29" w14:textId="77777777" w:rsidR="008D6ECB" w:rsidRPr="0042705F" w:rsidRDefault="008D6ECB" w:rsidP="008D6ECB">
      <w:pPr>
        <w:jc w:val="both"/>
        <w:rPr>
          <w:rFonts w:ascii="Arial" w:hAnsi="Arial" w:cs="Arial"/>
          <w:b/>
          <w:bCs/>
        </w:rPr>
      </w:pPr>
      <w:r w:rsidRPr="008D6ECB">
        <w:rPr>
          <w:rFonts w:ascii="Arial" w:hAnsi="Arial" w:cs="Arial"/>
          <w:b/>
          <w:bCs/>
        </w:rPr>
        <w:t>6 -</w:t>
      </w:r>
      <w:r w:rsidRPr="008D6ECB">
        <w:rPr>
          <w:rFonts w:ascii="Arial" w:hAnsi="Arial" w:cs="Arial"/>
        </w:rPr>
        <w:t xml:space="preserve"> </w:t>
      </w:r>
      <w:r w:rsidRPr="0042705F">
        <w:rPr>
          <w:rFonts w:ascii="Arial" w:hAnsi="Arial" w:cs="Arial"/>
          <w:b/>
          <w:bCs/>
        </w:rPr>
        <w:t>Qual o prazo previsto para início da execução contratual?</w:t>
      </w:r>
    </w:p>
    <w:p w14:paraId="017974C7" w14:textId="48F32C45" w:rsidR="008D6ECB" w:rsidRPr="008D6ECB" w:rsidRDefault="006D5417" w:rsidP="008D6ECB">
      <w:pPr>
        <w:jc w:val="both"/>
        <w:rPr>
          <w:rFonts w:ascii="Arial" w:hAnsi="Arial" w:cs="Arial"/>
        </w:rPr>
      </w:pPr>
      <w:r w:rsidRPr="006D5417">
        <w:rPr>
          <w:rFonts w:ascii="Arial" w:hAnsi="Arial" w:cs="Arial"/>
          <w:b/>
          <w:bCs/>
          <w:color w:val="EE0000"/>
        </w:rPr>
        <w:t>RESPOSTA TÉCNICA:</w:t>
      </w:r>
      <w:r>
        <w:rPr>
          <w:rFonts w:ascii="Arial" w:hAnsi="Arial" w:cs="Arial"/>
          <w:b/>
          <w:bCs/>
          <w:color w:val="EE0000"/>
        </w:rPr>
        <w:t xml:space="preserve"> </w:t>
      </w:r>
      <w:r w:rsidRPr="0042705F">
        <w:rPr>
          <w:rFonts w:ascii="Arial" w:hAnsi="Arial" w:cs="Arial"/>
          <w:color w:val="EE0000"/>
        </w:rPr>
        <w:t>Imediato.</w:t>
      </w:r>
      <w:r>
        <w:rPr>
          <w:rFonts w:ascii="Arial" w:hAnsi="Arial" w:cs="Arial"/>
          <w:b/>
          <w:bCs/>
          <w:color w:val="EE0000"/>
        </w:rPr>
        <w:t xml:space="preserve"> </w:t>
      </w:r>
    </w:p>
    <w:p w14:paraId="2B81A80C" w14:textId="77777777" w:rsidR="008D6ECB" w:rsidRPr="0042705F" w:rsidRDefault="008D6ECB" w:rsidP="008D6ECB">
      <w:pPr>
        <w:jc w:val="both"/>
        <w:rPr>
          <w:rFonts w:ascii="Arial" w:hAnsi="Arial" w:cs="Arial"/>
          <w:b/>
          <w:bCs/>
        </w:rPr>
      </w:pPr>
      <w:r w:rsidRPr="008D6ECB">
        <w:rPr>
          <w:rFonts w:ascii="Arial" w:hAnsi="Arial" w:cs="Arial"/>
          <w:b/>
          <w:bCs/>
        </w:rPr>
        <w:t>7 -</w:t>
      </w:r>
      <w:r w:rsidRPr="008D6ECB">
        <w:rPr>
          <w:rFonts w:ascii="Arial" w:hAnsi="Arial" w:cs="Arial"/>
        </w:rPr>
        <w:t xml:space="preserve"> </w:t>
      </w:r>
      <w:r w:rsidRPr="0042705F">
        <w:rPr>
          <w:rFonts w:ascii="Arial" w:hAnsi="Arial" w:cs="Arial"/>
          <w:b/>
          <w:bCs/>
        </w:rPr>
        <w:t>Os profissionais deverão possuir todas as certificações exigidas no momento da contratação, ou será concedido um prazo para que obtenham tais certificações? Se for concedido prazo, qual será o período estipulado?</w:t>
      </w:r>
    </w:p>
    <w:p w14:paraId="1A31A2E1" w14:textId="22CA43D6" w:rsidR="0042705F" w:rsidRDefault="0042705F" w:rsidP="008D6ECB">
      <w:pPr>
        <w:jc w:val="both"/>
        <w:rPr>
          <w:rFonts w:ascii="Arial" w:hAnsi="Arial" w:cs="Arial"/>
        </w:rPr>
      </w:pPr>
      <w:r w:rsidRPr="006D5417">
        <w:rPr>
          <w:rFonts w:ascii="Arial" w:hAnsi="Arial" w:cs="Arial"/>
          <w:b/>
          <w:bCs/>
          <w:color w:val="EE0000"/>
        </w:rPr>
        <w:t>RESPOSTA TÉCNICA:</w:t>
      </w:r>
      <w:r>
        <w:rPr>
          <w:rFonts w:ascii="Arial" w:hAnsi="Arial" w:cs="Arial"/>
          <w:b/>
          <w:bCs/>
          <w:color w:val="EE0000"/>
        </w:rPr>
        <w:t xml:space="preserve"> </w:t>
      </w:r>
      <w:r w:rsidRPr="0042705F">
        <w:rPr>
          <w:rFonts w:ascii="Arial" w:hAnsi="Arial" w:cs="Arial"/>
          <w:color w:val="EE0000"/>
        </w:rPr>
        <w:t>Devem possuir as certificações no ato da assinatura do contrato</w:t>
      </w:r>
      <w:r w:rsidRPr="0042705F">
        <w:rPr>
          <w:rFonts w:ascii="Arial" w:hAnsi="Arial" w:cs="Arial"/>
          <w:color w:val="EE0000"/>
        </w:rPr>
        <w:t>.</w:t>
      </w:r>
    </w:p>
    <w:p w14:paraId="4B05A293" w14:textId="546DFA8C" w:rsidR="008D6ECB" w:rsidRDefault="008D6ECB" w:rsidP="008D6ECB">
      <w:pPr>
        <w:jc w:val="both"/>
        <w:rPr>
          <w:rFonts w:ascii="Arial" w:hAnsi="Arial" w:cs="Arial"/>
        </w:rPr>
      </w:pPr>
      <w:r w:rsidRPr="008D6ECB">
        <w:rPr>
          <w:rFonts w:ascii="Arial" w:hAnsi="Arial" w:cs="Arial"/>
          <w:b/>
          <w:bCs/>
        </w:rPr>
        <w:t>8 -</w:t>
      </w:r>
      <w:r w:rsidRPr="008D6ECB">
        <w:rPr>
          <w:rFonts w:ascii="Arial" w:hAnsi="Arial" w:cs="Arial"/>
        </w:rPr>
        <w:t xml:space="preserve"> </w:t>
      </w:r>
      <w:r w:rsidRPr="0042705F">
        <w:rPr>
          <w:rFonts w:ascii="Arial" w:hAnsi="Arial" w:cs="Arial"/>
          <w:b/>
          <w:bCs/>
        </w:rPr>
        <w:t xml:space="preserve">Entendemos que, para Atestados de Capacidade Técnica apresentados no formato de postos de trabalho como de profissionais Desenvolvedores, Programadores, Analistas de Sistemas, Analistas de Testes, Analistas de Infraestrutura, Administrador de Servidores, Técnicos e outros perfis em geral, serão considerados para fins de comprovação o equivalente de 1 (um) posto de trabalho por mês igual a 176 horas/mês ou 176 </w:t>
      </w:r>
      <w:proofErr w:type="spellStart"/>
      <w:r w:rsidRPr="0042705F">
        <w:rPr>
          <w:rFonts w:ascii="Arial" w:hAnsi="Arial" w:cs="Arial"/>
          <w:b/>
          <w:bCs/>
        </w:rPr>
        <w:t>USTs</w:t>
      </w:r>
      <w:proofErr w:type="spellEnd"/>
      <w:r w:rsidRPr="0042705F">
        <w:rPr>
          <w:rFonts w:ascii="Arial" w:hAnsi="Arial" w:cs="Arial"/>
          <w:b/>
          <w:bCs/>
        </w:rPr>
        <w:t>/mês. Está correto nosso entendimento?</w:t>
      </w:r>
    </w:p>
    <w:p w14:paraId="33D12CF0" w14:textId="1B779A06" w:rsidR="00555423" w:rsidRPr="00555423" w:rsidRDefault="0042705F" w:rsidP="00555423">
      <w:pPr>
        <w:spacing w:line="276" w:lineRule="auto"/>
        <w:jc w:val="both"/>
        <w:rPr>
          <w:rFonts w:ascii="Arial" w:hAnsi="Arial" w:cs="Arial"/>
          <w:color w:val="EE0000"/>
          <w:shd w:val="clear" w:color="auto" w:fill="FAFAFA"/>
        </w:rPr>
      </w:pPr>
      <w:r w:rsidRPr="00803A32">
        <w:rPr>
          <w:rFonts w:ascii="Arial" w:hAnsi="Arial" w:cs="Arial"/>
          <w:b/>
          <w:bCs/>
          <w:color w:val="EE0000"/>
        </w:rPr>
        <w:t>RESPOSTA TÉCNICA:</w:t>
      </w:r>
      <w:r w:rsidRPr="00803A32">
        <w:rPr>
          <w:rFonts w:ascii="Arial" w:hAnsi="Arial" w:cs="Arial"/>
          <w:color w:val="EE0000"/>
        </w:rPr>
        <w:t xml:space="preserve"> </w:t>
      </w:r>
      <w:r w:rsidR="00555423" w:rsidRPr="00555423">
        <w:rPr>
          <w:rFonts w:ascii="Arial" w:hAnsi="Arial" w:cs="Arial"/>
          <w:color w:val="EE0000"/>
          <w:shd w:val="clear" w:color="auto" w:fill="FAFAFA"/>
        </w:rPr>
        <w:t>Para fins de comprovação da capacidade técnica exigida no edital, os atestados que comprovem a alocação de profissionais em regime mensal de 176 horas poderão ser utilizados para caracterizar 1 (um) posto de trabalho/mês.</w:t>
      </w:r>
    </w:p>
    <w:p w14:paraId="7AB5BB6A" w14:textId="0043C1E3" w:rsidR="00555423" w:rsidRPr="00555423" w:rsidRDefault="00555423" w:rsidP="00555423">
      <w:pPr>
        <w:spacing w:line="276" w:lineRule="auto"/>
        <w:jc w:val="both"/>
        <w:rPr>
          <w:rFonts w:ascii="Arial" w:hAnsi="Arial" w:cs="Arial"/>
          <w:color w:val="EE0000"/>
          <w:shd w:val="clear" w:color="auto" w:fill="FAFAFA"/>
        </w:rPr>
      </w:pPr>
      <w:r w:rsidRPr="00555423">
        <w:rPr>
          <w:rFonts w:ascii="Arial" w:hAnsi="Arial" w:cs="Arial"/>
          <w:color w:val="EE0000"/>
          <w:shd w:val="clear" w:color="auto" w:fill="FAFAFA"/>
        </w:rPr>
        <w:t>Conforme previsto no item </w:t>
      </w:r>
      <w:r w:rsidRPr="00555423">
        <w:rPr>
          <w:rFonts w:ascii="Arial" w:hAnsi="Arial" w:cs="Arial"/>
          <w:b/>
          <w:bCs/>
          <w:color w:val="EE0000"/>
          <w:shd w:val="clear" w:color="auto" w:fill="FAFAFA"/>
        </w:rPr>
        <w:t>13.5.1.3</w:t>
      </w:r>
      <w:r w:rsidRPr="00555423">
        <w:rPr>
          <w:rFonts w:ascii="Arial" w:hAnsi="Arial" w:cs="Arial"/>
          <w:color w:val="EE0000"/>
          <w:shd w:val="clear" w:color="auto" w:fill="FAFAFA"/>
        </w:rPr>
        <w:t> do edital, será considerado compatível com o objeto da licitação o atestado que comprove a prestação de serviços em quantitativo equivalente a, no mínimo, </w:t>
      </w:r>
      <w:r w:rsidRPr="00555423">
        <w:rPr>
          <w:rFonts w:ascii="Arial" w:hAnsi="Arial" w:cs="Arial"/>
          <w:b/>
          <w:bCs/>
          <w:color w:val="EE0000"/>
          <w:shd w:val="clear" w:color="auto" w:fill="FAFAFA"/>
        </w:rPr>
        <w:t>50% do volume total estimado</w:t>
      </w:r>
      <w:r w:rsidRPr="00555423">
        <w:rPr>
          <w:rFonts w:ascii="Arial" w:hAnsi="Arial" w:cs="Arial"/>
          <w:color w:val="EE0000"/>
          <w:shd w:val="clear" w:color="auto" w:fill="FAFAFA"/>
        </w:rPr>
        <w:t xml:space="preserve">. </w:t>
      </w:r>
    </w:p>
    <w:p w14:paraId="7362A2F3" w14:textId="531D594C" w:rsidR="0042705F" w:rsidRPr="0021415E" w:rsidRDefault="00555423" w:rsidP="00803A32">
      <w:pPr>
        <w:spacing w:line="276" w:lineRule="auto"/>
        <w:jc w:val="both"/>
        <w:rPr>
          <w:rFonts w:ascii="Arial" w:hAnsi="Arial" w:cs="Arial"/>
          <w:color w:val="EE0000"/>
          <w:shd w:val="clear" w:color="auto" w:fill="FAFAFA"/>
        </w:rPr>
      </w:pPr>
      <w:r w:rsidRPr="00555423">
        <w:rPr>
          <w:rFonts w:ascii="Arial" w:hAnsi="Arial" w:cs="Arial"/>
          <w:color w:val="EE0000"/>
          <w:shd w:val="clear" w:color="auto" w:fill="FAFAFA"/>
        </w:rPr>
        <w:t xml:space="preserve">Ressaltamos que os atestados devem comprovar a efetiva prestação de serviços continuados de assistência técnica, manutenção preventiva e corretiva para </w:t>
      </w:r>
      <w:r w:rsidRPr="00555423">
        <w:rPr>
          <w:rFonts w:ascii="Arial" w:hAnsi="Arial" w:cs="Arial"/>
          <w:color w:val="EE0000"/>
          <w:shd w:val="clear" w:color="auto" w:fill="FAFAFA"/>
        </w:rPr>
        <w:lastRenderedPageBreak/>
        <w:t>software e hardware, com fornecimento ou não de peças, compreendendo o gerenciamento do parque tecnológico por meio de Central de Serviços, conforme descrito no objeto da licitação.</w:t>
      </w:r>
    </w:p>
    <w:p w14:paraId="323ABF5D" w14:textId="77777777" w:rsidR="008D6ECB" w:rsidRPr="0042705F" w:rsidRDefault="008D6ECB" w:rsidP="008D6ECB">
      <w:pPr>
        <w:jc w:val="both"/>
        <w:rPr>
          <w:rFonts w:ascii="Arial" w:hAnsi="Arial" w:cs="Arial"/>
          <w:b/>
          <w:bCs/>
        </w:rPr>
      </w:pPr>
      <w:r w:rsidRPr="0042705F">
        <w:rPr>
          <w:rFonts w:ascii="Arial" w:hAnsi="Arial" w:cs="Arial"/>
          <w:b/>
          <w:bCs/>
        </w:rPr>
        <w:t>9 - Existem critérios de exequibilidade que deverão ser observados para a execução dos serviços? Em caso afirmativo, quais são esses critérios?</w:t>
      </w:r>
    </w:p>
    <w:p w14:paraId="251A8EF7" w14:textId="222D10D2" w:rsidR="008D6ECB" w:rsidRPr="0042705F" w:rsidRDefault="0042705F" w:rsidP="008D6ECB">
      <w:pPr>
        <w:jc w:val="both"/>
        <w:rPr>
          <w:rFonts w:ascii="Arial" w:hAnsi="Arial" w:cs="Arial"/>
          <w:b/>
          <w:bCs/>
          <w:color w:val="EE0000"/>
        </w:rPr>
      </w:pPr>
      <w:r w:rsidRPr="0042705F">
        <w:rPr>
          <w:rFonts w:ascii="Arial" w:hAnsi="Arial" w:cs="Arial"/>
          <w:b/>
          <w:bCs/>
          <w:color w:val="EE0000"/>
        </w:rPr>
        <w:t>RESPOSTA</w:t>
      </w:r>
      <w:r w:rsidR="00221EA9">
        <w:rPr>
          <w:rFonts w:ascii="Arial" w:hAnsi="Arial" w:cs="Arial"/>
          <w:b/>
          <w:bCs/>
          <w:color w:val="EE0000"/>
        </w:rPr>
        <w:t xml:space="preserve"> PREGOEIRA</w:t>
      </w:r>
      <w:r w:rsidRPr="0042705F">
        <w:rPr>
          <w:rFonts w:ascii="Arial" w:hAnsi="Arial" w:cs="Arial"/>
          <w:b/>
          <w:bCs/>
          <w:color w:val="EE0000"/>
        </w:rPr>
        <w:t xml:space="preserve">: </w:t>
      </w:r>
      <w:r w:rsidR="00886294" w:rsidRPr="00886294">
        <w:rPr>
          <w:rFonts w:ascii="Arial" w:hAnsi="Arial" w:cs="Arial"/>
          <w:color w:val="EE0000"/>
        </w:rPr>
        <w:t>Conforme disposto no item 32 do Manual de Aquisições e Contratos da Portos RS, considera-se indício de inexequibilidade a apresentação de proposta com valor inferior a 50% do valor estimado para a licitação. Nesses casos, a Administração poderá solicitar comprovações adicionais que demonstrem a viabilidade da execução contratual nas condições ofertadas.</w:t>
      </w:r>
    </w:p>
    <w:p w14:paraId="06EB639D" w14:textId="77777777" w:rsidR="008D6ECB" w:rsidRPr="008D6ECB" w:rsidRDefault="008D6ECB" w:rsidP="008D6ECB">
      <w:pPr>
        <w:jc w:val="both"/>
        <w:rPr>
          <w:rFonts w:ascii="Arial" w:hAnsi="Arial" w:cs="Arial"/>
        </w:rPr>
      </w:pPr>
      <w:r w:rsidRPr="008D6ECB">
        <w:rPr>
          <w:rFonts w:ascii="Arial" w:hAnsi="Arial" w:cs="Arial"/>
          <w:b/>
          <w:bCs/>
        </w:rPr>
        <w:t>10 -</w:t>
      </w:r>
      <w:r w:rsidRPr="008D6ECB">
        <w:rPr>
          <w:rFonts w:ascii="Arial" w:hAnsi="Arial" w:cs="Arial"/>
        </w:rPr>
        <w:t xml:space="preserve"> </w:t>
      </w:r>
      <w:r w:rsidRPr="0042705F">
        <w:rPr>
          <w:rFonts w:ascii="Arial" w:hAnsi="Arial" w:cs="Arial"/>
          <w:b/>
          <w:bCs/>
        </w:rPr>
        <w:t>Entendemos que a CONTRATANTE fornecerá a infraestrutura necessária para a execução dos serviços, como por exemplo: software de monitoramento, ferramenta de controle e abertura de chamados, computadores e/ou notebooks para os profissionais da contratada, mobiliário, mesas, cadeiras e ferramentas para atuação na prestação de serviços?</w:t>
      </w:r>
    </w:p>
    <w:p w14:paraId="45E7D243" w14:textId="009EADF0" w:rsidR="008D6ECB" w:rsidRPr="0042705F" w:rsidRDefault="0042705F" w:rsidP="008D6ECB">
      <w:pPr>
        <w:jc w:val="both"/>
        <w:rPr>
          <w:rFonts w:ascii="Arial" w:hAnsi="Arial" w:cs="Arial"/>
          <w:color w:val="EE0000"/>
        </w:rPr>
      </w:pPr>
      <w:r w:rsidRPr="0042705F">
        <w:rPr>
          <w:rFonts w:ascii="Arial" w:hAnsi="Arial" w:cs="Arial"/>
          <w:b/>
          <w:bCs/>
          <w:color w:val="EE0000"/>
        </w:rPr>
        <w:t>RESPOSTA TÉCNICA:</w:t>
      </w:r>
      <w:r w:rsidRPr="0042705F">
        <w:rPr>
          <w:rFonts w:ascii="Arial" w:hAnsi="Arial" w:cs="Arial"/>
          <w:color w:val="EE0000"/>
        </w:rPr>
        <w:t xml:space="preserve"> </w:t>
      </w:r>
      <w:r w:rsidRPr="0042705F">
        <w:rPr>
          <w:rFonts w:ascii="Arial" w:hAnsi="Arial" w:cs="Arial"/>
          <w:color w:val="EE0000"/>
        </w:rPr>
        <w:t xml:space="preserve">Será fornecido mobiliário, mesas e cadeiras e os demais itens deverão ser as expensas da empresa contratada conforme item 3.1.6 do </w:t>
      </w:r>
      <w:r w:rsidR="00A319EB">
        <w:rPr>
          <w:rFonts w:ascii="Arial" w:hAnsi="Arial" w:cs="Arial"/>
          <w:color w:val="EE0000"/>
        </w:rPr>
        <w:t>TR</w:t>
      </w:r>
      <w:r w:rsidRPr="0042705F">
        <w:rPr>
          <w:rFonts w:ascii="Arial" w:hAnsi="Arial" w:cs="Arial"/>
          <w:color w:val="EE0000"/>
        </w:rPr>
        <w:t>.</w:t>
      </w:r>
    </w:p>
    <w:p w14:paraId="697A355F" w14:textId="77777777" w:rsidR="008D6ECB" w:rsidRPr="008D6ECB" w:rsidRDefault="008D6ECB" w:rsidP="008D6ECB">
      <w:pPr>
        <w:jc w:val="both"/>
        <w:rPr>
          <w:rFonts w:ascii="Arial" w:hAnsi="Arial" w:cs="Arial"/>
        </w:rPr>
      </w:pPr>
      <w:r w:rsidRPr="008D6ECB">
        <w:rPr>
          <w:rFonts w:ascii="Arial" w:hAnsi="Arial" w:cs="Arial"/>
          <w:b/>
          <w:bCs/>
        </w:rPr>
        <w:t xml:space="preserve">11 </w:t>
      </w:r>
      <w:r w:rsidRPr="002F0282">
        <w:rPr>
          <w:rFonts w:ascii="Arial" w:hAnsi="Arial" w:cs="Arial"/>
          <w:b/>
          <w:bCs/>
        </w:rPr>
        <w:t>- A empresa deverá, de alguma forma, customizar/parametrizar a ferramenta de chamados ou monitoramento instalada/implantada na contratante? Se sim, qual o tempo estimado para esta tarefa?</w:t>
      </w:r>
    </w:p>
    <w:p w14:paraId="4E2C25F7" w14:textId="3ADFE27B" w:rsidR="008D6ECB" w:rsidRPr="008D6ECB" w:rsidRDefault="0042705F" w:rsidP="008D6ECB">
      <w:pPr>
        <w:jc w:val="both"/>
        <w:rPr>
          <w:rFonts w:ascii="Arial" w:hAnsi="Arial" w:cs="Arial"/>
        </w:rPr>
      </w:pPr>
      <w:r w:rsidRPr="0042705F">
        <w:rPr>
          <w:rFonts w:ascii="Arial" w:hAnsi="Arial" w:cs="Arial"/>
          <w:b/>
          <w:bCs/>
          <w:color w:val="EE0000"/>
        </w:rPr>
        <w:t>RESPOSTA TÉCNICA:</w:t>
      </w:r>
      <w:r w:rsidRPr="0042705F">
        <w:rPr>
          <w:rFonts w:ascii="Arial" w:hAnsi="Arial" w:cs="Arial"/>
          <w:color w:val="EE0000"/>
        </w:rPr>
        <w:t xml:space="preserve"> </w:t>
      </w:r>
      <w:r w:rsidRPr="0042705F">
        <w:rPr>
          <w:rFonts w:ascii="Arial" w:hAnsi="Arial" w:cs="Arial"/>
          <w:color w:val="EE0000"/>
        </w:rPr>
        <w:t>A ferramenta de abertura de chamados deve ser fornecida pela contratada e sua customização deverá ser implementada dentro de 90 dias do início dos serviços</w:t>
      </w:r>
      <w:r>
        <w:rPr>
          <w:rFonts w:ascii="Arial" w:hAnsi="Arial" w:cs="Arial"/>
          <w:color w:val="EE0000"/>
        </w:rPr>
        <w:t>.</w:t>
      </w:r>
    </w:p>
    <w:p w14:paraId="129D426D" w14:textId="670AF1BB" w:rsidR="008D6ECB" w:rsidRPr="002F0282" w:rsidRDefault="008D6ECB" w:rsidP="008D6ECB">
      <w:pPr>
        <w:jc w:val="both"/>
        <w:rPr>
          <w:rFonts w:ascii="Arial" w:hAnsi="Arial" w:cs="Arial"/>
          <w:b/>
          <w:bCs/>
        </w:rPr>
      </w:pPr>
      <w:r w:rsidRPr="002F0282">
        <w:rPr>
          <w:rFonts w:ascii="Arial" w:hAnsi="Arial" w:cs="Arial"/>
          <w:b/>
          <w:bCs/>
        </w:rPr>
        <w:t>12 - Com o advento da Lei nº 14.973 de 16 de setembro de 2024 que instituiu o regime de transição para o fim da Desoneração da Folha de Pagamento, alterando a Lei nº 12.546 de 14 de dezembro de 2011, e definiu o cronograma de transição abaixo:</w:t>
      </w:r>
    </w:p>
    <w:p w14:paraId="37A672C6" w14:textId="29E88A25" w:rsidR="008D6ECB" w:rsidRPr="002F0282" w:rsidRDefault="008D6ECB" w:rsidP="008D6ECB">
      <w:pPr>
        <w:jc w:val="both"/>
        <w:rPr>
          <w:rFonts w:ascii="Arial" w:hAnsi="Arial" w:cs="Arial"/>
          <w:b/>
          <w:bCs/>
        </w:rPr>
      </w:pPr>
      <w:r w:rsidRPr="002F0282">
        <w:rPr>
          <w:rFonts w:ascii="Arial" w:hAnsi="Arial" w:cs="Arial"/>
          <w:b/>
          <w:bCs/>
        </w:rPr>
        <w:t>· 2025: CPRB: 80% da alíquota (Exemplo 4,5% x 80% = 3,6%) e CPP: 25% da alíquota (20% x 25% = 5%);</w:t>
      </w:r>
    </w:p>
    <w:p w14:paraId="6CC97800" w14:textId="590886E8" w:rsidR="008D6ECB" w:rsidRPr="002F0282" w:rsidRDefault="008D6ECB" w:rsidP="008D6ECB">
      <w:pPr>
        <w:jc w:val="both"/>
        <w:rPr>
          <w:rFonts w:ascii="Arial" w:hAnsi="Arial" w:cs="Arial"/>
          <w:b/>
          <w:bCs/>
        </w:rPr>
      </w:pPr>
      <w:r w:rsidRPr="002F0282">
        <w:rPr>
          <w:rFonts w:ascii="Arial" w:hAnsi="Arial" w:cs="Arial"/>
          <w:b/>
          <w:bCs/>
        </w:rPr>
        <w:t>· 2026: CPRB: 60% da alíquota (Exemplo 4,5% x 60% = 2,7%) e CPP: 50% da alíquota (20% x 50% = 10%);</w:t>
      </w:r>
    </w:p>
    <w:p w14:paraId="0BABFF31" w14:textId="372C477A" w:rsidR="008D6ECB" w:rsidRPr="002F0282" w:rsidRDefault="008D6ECB" w:rsidP="008D6ECB">
      <w:pPr>
        <w:jc w:val="both"/>
        <w:rPr>
          <w:rFonts w:ascii="Arial" w:hAnsi="Arial" w:cs="Arial"/>
          <w:b/>
          <w:bCs/>
        </w:rPr>
      </w:pPr>
      <w:r w:rsidRPr="002F0282">
        <w:rPr>
          <w:rFonts w:ascii="Arial" w:hAnsi="Arial" w:cs="Arial"/>
          <w:b/>
          <w:bCs/>
        </w:rPr>
        <w:t>· 2027: CPRB: 40% da alíquota (Exemplo 4,5% x 40% = 1,8%) e CPP: 75% da alíquota (20% x 75% = 15%);</w:t>
      </w:r>
    </w:p>
    <w:p w14:paraId="19F69077" w14:textId="06AB06E5" w:rsidR="008D6ECB" w:rsidRPr="002F0282" w:rsidRDefault="008D6ECB" w:rsidP="008D6ECB">
      <w:pPr>
        <w:jc w:val="both"/>
        <w:rPr>
          <w:rFonts w:ascii="Arial" w:hAnsi="Arial" w:cs="Arial"/>
          <w:b/>
          <w:bCs/>
        </w:rPr>
      </w:pPr>
      <w:r w:rsidRPr="002F0282">
        <w:rPr>
          <w:rFonts w:ascii="Arial" w:hAnsi="Arial" w:cs="Arial"/>
          <w:b/>
          <w:bCs/>
        </w:rPr>
        <w:t>· 2028: fim do regime de transição (CPRB = 0% e CPP = 20%);</w:t>
      </w:r>
    </w:p>
    <w:p w14:paraId="59397F35" w14:textId="6A342ACC" w:rsidR="008D6ECB" w:rsidRPr="002F0282" w:rsidRDefault="008D6ECB" w:rsidP="008D6ECB">
      <w:pPr>
        <w:jc w:val="both"/>
        <w:rPr>
          <w:rFonts w:ascii="Arial" w:hAnsi="Arial" w:cs="Arial"/>
          <w:b/>
          <w:bCs/>
        </w:rPr>
      </w:pPr>
      <w:r w:rsidRPr="002F0282">
        <w:rPr>
          <w:rFonts w:ascii="Arial" w:hAnsi="Arial" w:cs="Arial"/>
          <w:b/>
          <w:bCs/>
        </w:rPr>
        <w:lastRenderedPageBreak/>
        <w:t>Questiona-se: considerando que o objeto de licitação se enquadra no benefício da Desoneração da Folha de Pagamento e que contrato de TI que será firmado será afetado e terá vigência sobrepondo o regime de transição da Lei nº 14.973/2024 por 1 (um) ou mais anos, entendemos que deverá ser elaborada uma composição de custos distinta para cada ano de contrato, refletindo os percentuais de reoneração aplicados anualmente de acordo com o cronograma definido pela Lei.</w:t>
      </w:r>
    </w:p>
    <w:p w14:paraId="4C8A9F27" w14:textId="38BEDAF4" w:rsidR="008D6ECB" w:rsidRPr="002F0282" w:rsidRDefault="008D6ECB" w:rsidP="008D6ECB">
      <w:pPr>
        <w:jc w:val="both"/>
        <w:rPr>
          <w:rFonts w:ascii="Arial" w:hAnsi="Arial" w:cs="Arial"/>
          <w:b/>
          <w:bCs/>
        </w:rPr>
      </w:pPr>
      <w:r w:rsidRPr="002F0282">
        <w:rPr>
          <w:rFonts w:ascii="Arial" w:hAnsi="Arial" w:cs="Arial"/>
          <w:b/>
          <w:bCs/>
        </w:rPr>
        <w:t>[1] Está correto nosso entendimento?</w:t>
      </w:r>
    </w:p>
    <w:p w14:paraId="4AAE262E" w14:textId="5FA4D326" w:rsidR="008D6ECB" w:rsidRPr="002F0282" w:rsidRDefault="008D6ECB" w:rsidP="008D6ECB">
      <w:pPr>
        <w:jc w:val="both"/>
        <w:rPr>
          <w:rFonts w:ascii="Arial" w:hAnsi="Arial" w:cs="Arial"/>
          <w:b/>
          <w:bCs/>
        </w:rPr>
      </w:pPr>
      <w:r w:rsidRPr="002F0282">
        <w:rPr>
          <w:rFonts w:ascii="Arial" w:hAnsi="Arial" w:cs="Arial"/>
          <w:b/>
          <w:bCs/>
        </w:rPr>
        <w:t>[2] Se não estiver correto, favor, esclarecer como deve ocorrer a composição de custos para apresentação das propostas das empresas licitantes.</w:t>
      </w:r>
    </w:p>
    <w:p w14:paraId="6E8B0C0C" w14:textId="2ADF9D5D" w:rsidR="008D6ECB" w:rsidRPr="002F0282" w:rsidRDefault="008D6ECB" w:rsidP="008D6ECB">
      <w:pPr>
        <w:jc w:val="both"/>
        <w:rPr>
          <w:rFonts w:ascii="Arial" w:hAnsi="Arial" w:cs="Arial"/>
          <w:b/>
          <w:bCs/>
        </w:rPr>
      </w:pPr>
      <w:r w:rsidRPr="002F0282">
        <w:rPr>
          <w:rFonts w:ascii="Arial" w:hAnsi="Arial" w:cs="Arial"/>
          <w:b/>
          <w:bCs/>
        </w:rPr>
        <w:t>[3] Se deve ser considerado apenas o período de quando forem apresentadas as propostas e as alterações futuras devem seguir o rito do reequilíbrio econômico-financeiro.</w:t>
      </w:r>
    </w:p>
    <w:p w14:paraId="01C7F021" w14:textId="514534E4" w:rsidR="008D6ECB" w:rsidRPr="002F0282" w:rsidRDefault="008D6ECB" w:rsidP="008D6ECB">
      <w:pPr>
        <w:jc w:val="both"/>
        <w:rPr>
          <w:rFonts w:ascii="Arial" w:hAnsi="Arial" w:cs="Arial"/>
          <w:b/>
          <w:bCs/>
        </w:rPr>
      </w:pPr>
      <w:r w:rsidRPr="002F0282">
        <w:rPr>
          <w:rFonts w:ascii="Arial" w:hAnsi="Arial" w:cs="Arial"/>
          <w:b/>
          <w:bCs/>
        </w:rPr>
        <w:t xml:space="preserve">[4] Se a proposta das empresas licitantes já deve prever integralmente em sua composição de custos todo o regime de transição para todo o período contratual, considerando-se que já </w:t>
      </w:r>
      <w:proofErr w:type="gramStart"/>
      <w:r w:rsidRPr="002F0282">
        <w:rPr>
          <w:rFonts w:ascii="Arial" w:hAnsi="Arial" w:cs="Arial"/>
          <w:b/>
          <w:bCs/>
        </w:rPr>
        <w:t>trata-se</w:t>
      </w:r>
      <w:proofErr w:type="gramEnd"/>
      <w:r w:rsidRPr="002F0282">
        <w:rPr>
          <w:rFonts w:ascii="Arial" w:hAnsi="Arial" w:cs="Arial"/>
          <w:b/>
          <w:bCs/>
        </w:rPr>
        <w:t xml:space="preserve"> de fato certo e conhecido por todos conforme previsão legal</w:t>
      </w:r>
      <w:r w:rsidR="002F0282" w:rsidRPr="002F0282">
        <w:rPr>
          <w:rFonts w:ascii="Arial" w:hAnsi="Arial" w:cs="Arial"/>
          <w:b/>
          <w:bCs/>
        </w:rPr>
        <w:t>.</w:t>
      </w:r>
    </w:p>
    <w:p w14:paraId="51655943" w14:textId="3D120A96" w:rsidR="002F0282" w:rsidRPr="002F0282" w:rsidRDefault="002F0282" w:rsidP="002F0282">
      <w:pPr>
        <w:jc w:val="both"/>
        <w:rPr>
          <w:rFonts w:ascii="Arial" w:hAnsi="Arial" w:cs="Arial"/>
          <w:color w:val="EE0000"/>
        </w:rPr>
      </w:pPr>
      <w:r w:rsidRPr="002F0282">
        <w:rPr>
          <w:rFonts w:ascii="Arial" w:hAnsi="Arial" w:cs="Arial"/>
          <w:b/>
          <w:bCs/>
          <w:color w:val="EE0000"/>
        </w:rPr>
        <w:t>RESPOSTA JURÍDICA:</w:t>
      </w:r>
      <w:r w:rsidRPr="002F0282">
        <w:rPr>
          <w:rFonts w:ascii="Aptos" w:eastAsia="Times New Roman" w:hAnsi="Aptos" w:cs="Times New Roman"/>
          <w:color w:val="EE0000"/>
          <w:kern w:val="0"/>
          <w:lang w:eastAsia="pt-BR"/>
          <w14:ligatures w14:val="none"/>
        </w:rPr>
        <w:t xml:space="preserve"> </w:t>
      </w:r>
      <w:r w:rsidRPr="002F0282">
        <w:rPr>
          <w:rFonts w:ascii="Arial" w:hAnsi="Arial" w:cs="Arial"/>
          <w:color w:val="EE0000"/>
        </w:rPr>
        <w:t>Participo que, conforme o Edital e seus Anexos, o contrato decorrente do presente certame terá vigência inicial de 12 (doze) meses, contados a partir da assinatura, podendo ser prorrogado por interesse das partes, na forma da legislação aplicável, até o limite de 5 (cinco) anos. Dessa forma, é possível que a vigência contratual ultrapasse mais de um exercício fiscal, abrangendo os marcos temporais previstos na Lei nº 14.973/2024, que estabelece cronograma de reoneração progressiva da folha de pagamento.</w:t>
      </w:r>
    </w:p>
    <w:p w14:paraId="75CA6AC5" w14:textId="2C1F8BE7" w:rsidR="002F0282" w:rsidRPr="002F0282" w:rsidRDefault="002F0282" w:rsidP="002F0282">
      <w:pPr>
        <w:jc w:val="both"/>
        <w:rPr>
          <w:rFonts w:ascii="Arial" w:hAnsi="Arial" w:cs="Arial"/>
          <w:color w:val="EE0000"/>
        </w:rPr>
      </w:pPr>
      <w:r w:rsidRPr="002F0282">
        <w:rPr>
          <w:rFonts w:ascii="Arial" w:hAnsi="Arial" w:cs="Arial"/>
          <w:color w:val="EE0000"/>
        </w:rPr>
        <w:t>Nos termos do Edital, especialmente do item 7.4, as propostas deverão incluir, de forma consolidada, todos os encargos ordinários incidentes sobre a execução do objeto contratual, inclusive os de natureza trabalhista, previdenciária e tributária. A planilha de custos a ser apresentada deverá seguir o modelo constante no Anexo IV do Edital, o qual não exige a discriminação por exercício fiscal</w:t>
      </w:r>
      <w:r w:rsidRPr="002F0282">
        <w:rPr>
          <w:rFonts w:ascii="Arial" w:hAnsi="Arial" w:cs="Arial"/>
          <w:color w:val="EE0000"/>
        </w:rPr>
        <w:t xml:space="preserve">. </w:t>
      </w:r>
      <w:r w:rsidRPr="002F0282">
        <w:rPr>
          <w:rFonts w:ascii="Arial" w:hAnsi="Arial" w:cs="Arial"/>
          <w:color w:val="EE0000"/>
        </w:rPr>
        <w:t>Diante o exposto, esclarece-se:</w:t>
      </w:r>
    </w:p>
    <w:p w14:paraId="47AD0ECD" w14:textId="5146F987" w:rsidR="002F0282" w:rsidRPr="002F0282" w:rsidRDefault="002F0282" w:rsidP="002F0282">
      <w:pPr>
        <w:jc w:val="both"/>
        <w:rPr>
          <w:rFonts w:ascii="Arial" w:hAnsi="Arial" w:cs="Arial"/>
          <w:color w:val="EE0000"/>
        </w:rPr>
      </w:pPr>
      <w:r w:rsidRPr="002F0282">
        <w:rPr>
          <w:rFonts w:ascii="Arial" w:hAnsi="Arial" w:cs="Arial"/>
          <w:color w:val="EE0000"/>
        </w:rPr>
        <w:t>1. </w:t>
      </w:r>
      <w:r w:rsidRPr="002F0282">
        <w:rPr>
          <w:rFonts w:ascii="Arial" w:hAnsi="Arial" w:cs="Arial"/>
          <w:i/>
          <w:iCs/>
          <w:color w:val="EE0000"/>
        </w:rPr>
        <w:t> (Está correto nosso entendimento?</w:t>
      </w:r>
      <w:proofErr w:type="gramStart"/>
      <w:r w:rsidRPr="002F0282">
        <w:rPr>
          <w:rFonts w:ascii="Arial" w:hAnsi="Arial" w:cs="Arial"/>
          <w:i/>
          <w:iCs/>
          <w:color w:val="EE0000"/>
        </w:rPr>
        <w:t>) </w:t>
      </w:r>
      <w:r w:rsidRPr="002F0282">
        <w:rPr>
          <w:rFonts w:ascii="Arial" w:hAnsi="Arial" w:cs="Arial"/>
          <w:color w:val="EE0000"/>
        </w:rPr>
        <w:t>:</w:t>
      </w:r>
      <w:proofErr w:type="gramEnd"/>
      <w:r w:rsidRPr="002F0282">
        <w:rPr>
          <w:rFonts w:ascii="Arial" w:hAnsi="Arial" w:cs="Arial"/>
          <w:color w:val="EE0000"/>
        </w:rPr>
        <w:t xml:space="preserve"> O entendimento de que seria necessária a apresentação de composições de custos distintas para cada ano contratual não é </w:t>
      </w:r>
      <w:proofErr w:type="gramStart"/>
      <w:r w:rsidRPr="002F0282">
        <w:rPr>
          <w:rFonts w:ascii="Arial" w:hAnsi="Arial" w:cs="Arial"/>
          <w:color w:val="EE0000"/>
        </w:rPr>
        <w:t>obrigatório</w:t>
      </w:r>
      <w:proofErr w:type="gramEnd"/>
      <w:r w:rsidRPr="002F0282">
        <w:rPr>
          <w:rFonts w:ascii="Arial" w:hAnsi="Arial" w:cs="Arial"/>
          <w:color w:val="EE0000"/>
        </w:rPr>
        <w:t>, conforme o modelo de proposta exigido no Edital. No entanto, os licitantes podem, a seu critério, adotar essa abordagem em sua composição interna de preços, desde que apresentem valor global único conforme exigido.</w:t>
      </w:r>
    </w:p>
    <w:p w14:paraId="6E86CE74" w14:textId="0CE28EFF" w:rsidR="002F0282" w:rsidRPr="002F0282" w:rsidRDefault="002F0282" w:rsidP="002F0282">
      <w:pPr>
        <w:jc w:val="both"/>
        <w:rPr>
          <w:rFonts w:ascii="Arial" w:hAnsi="Arial" w:cs="Arial"/>
          <w:color w:val="EE0000"/>
        </w:rPr>
      </w:pPr>
      <w:r w:rsidRPr="002F0282">
        <w:rPr>
          <w:rFonts w:ascii="Arial" w:hAnsi="Arial" w:cs="Arial"/>
          <w:color w:val="EE0000"/>
        </w:rPr>
        <w:t>2. </w:t>
      </w:r>
      <w:r w:rsidRPr="002F0282">
        <w:rPr>
          <w:rFonts w:ascii="Arial" w:hAnsi="Arial" w:cs="Arial"/>
          <w:i/>
          <w:iCs/>
          <w:color w:val="EE0000"/>
        </w:rPr>
        <w:t>(Se não estiver correto, favor, esclarecer como deve ocorrer a composição de custos para apresentação das propostas das empresas licitantes.)</w:t>
      </w:r>
      <w:r w:rsidRPr="002F0282">
        <w:rPr>
          <w:rFonts w:ascii="Arial" w:hAnsi="Arial" w:cs="Arial"/>
          <w:color w:val="EE0000"/>
        </w:rPr>
        <w:t xml:space="preserve">: A proposta </w:t>
      </w:r>
      <w:r w:rsidRPr="002F0282">
        <w:rPr>
          <w:rFonts w:ascii="Arial" w:hAnsi="Arial" w:cs="Arial"/>
          <w:color w:val="EE0000"/>
        </w:rPr>
        <w:lastRenderedPageBreak/>
        <w:t>deve refletir os custos estimados para o período contratual, observando os encargos vigentes à época da proposta. Não há, no entanto, impedimento à inclusão, por parte do licitante, de custos futuros já previstos em lei, como o regime de reoneração.</w:t>
      </w:r>
    </w:p>
    <w:p w14:paraId="78441236" w14:textId="6A9483A2" w:rsidR="002F0282" w:rsidRPr="002F0282" w:rsidRDefault="002F0282" w:rsidP="002F0282">
      <w:pPr>
        <w:jc w:val="both"/>
        <w:rPr>
          <w:rFonts w:ascii="Arial" w:hAnsi="Arial" w:cs="Arial"/>
          <w:color w:val="EE0000"/>
        </w:rPr>
      </w:pPr>
      <w:r w:rsidRPr="002F0282">
        <w:rPr>
          <w:rFonts w:ascii="Arial" w:hAnsi="Arial" w:cs="Arial"/>
          <w:color w:val="EE0000"/>
        </w:rPr>
        <w:t>3. </w:t>
      </w:r>
      <w:r w:rsidRPr="002F0282">
        <w:rPr>
          <w:rFonts w:ascii="Arial" w:hAnsi="Arial" w:cs="Arial"/>
          <w:i/>
          <w:iCs/>
          <w:color w:val="EE0000"/>
        </w:rPr>
        <w:t>(Se deve ser considerado apenas o período de quando forem apresentadas as propostas e as alterações futuras devem seguir o rito do reequilíbrio econômico-financeiro)</w:t>
      </w:r>
      <w:r w:rsidRPr="002F0282">
        <w:rPr>
          <w:rFonts w:ascii="Arial" w:hAnsi="Arial" w:cs="Arial"/>
          <w:color w:val="EE0000"/>
        </w:rPr>
        <w:t>: Alterações futuras na legislação de encargos sociais que impactem significativamente a equação econômico-financeira do contrato poderão ser objeto de reequilíbrio, nos termos da cláusula contratual específica (10.9) e do artigo 81, VI da Lei nº 13.303/2016, desde que demonstrado o impacto efetivo e o nexo de causalidade com os encargos legais alterados.</w:t>
      </w:r>
    </w:p>
    <w:p w14:paraId="4456C7CC" w14:textId="5E8AC421" w:rsidR="002F0282" w:rsidRPr="002F0282" w:rsidRDefault="002F0282" w:rsidP="008D6ECB">
      <w:pPr>
        <w:jc w:val="both"/>
        <w:rPr>
          <w:rFonts w:ascii="Arial" w:hAnsi="Arial" w:cs="Arial"/>
          <w:color w:val="EE0000"/>
        </w:rPr>
      </w:pPr>
      <w:r w:rsidRPr="002F0282">
        <w:rPr>
          <w:rFonts w:ascii="Arial" w:hAnsi="Arial" w:cs="Arial"/>
          <w:color w:val="EE0000"/>
        </w:rPr>
        <w:t>4. </w:t>
      </w:r>
      <w:r w:rsidRPr="002F0282">
        <w:rPr>
          <w:rFonts w:ascii="Arial" w:hAnsi="Arial" w:cs="Arial"/>
          <w:i/>
          <w:iCs/>
          <w:color w:val="EE0000"/>
        </w:rPr>
        <w:t xml:space="preserve">(Se a proposta das empresas licitantes já deve prever integralmente em sua composição de custos todo o regime de transição para todo o período contratual, considerando-se que já </w:t>
      </w:r>
      <w:proofErr w:type="gramStart"/>
      <w:r w:rsidRPr="002F0282">
        <w:rPr>
          <w:rFonts w:ascii="Arial" w:hAnsi="Arial" w:cs="Arial"/>
          <w:i/>
          <w:iCs/>
          <w:color w:val="EE0000"/>
        </w:rPr>
        <w:t>trata-se</w:t>
      </w:r>
      <w:proofErr w:type="gramEnd"/>
      <w:r w:rsidRPr="002F0282">
        <w:rPr>
          <w:rFonts w:ascii="Arial" w:hAnsi="Arial" w:cs="Arial"/>
          <w:i/>
          <w:iCs/>
          <w:color w:val="EE0000"/>
        </w:rPr>
        <w:t xml:space="preserve"> de fato certo e conhecido por todos conforme previsão legal)</w:t>
      </w:r>
      <w:r w:rsidRPr="002F0282">
        <w:rPr>
          <w:rFonts w:ascii="Arial" w:hAnsi="Arial" w:cs="Arial"/>
          <w:color w:val="EE0000"/>
        </w:rPr>
        <w:t>: Por se tratar de fato certo e legalmente previsto, os licitantes poderão optar por internalizar os efeitos da reoneração desde a proposta inicial. A legislação vigente não impede essa previsão, e o edital tampouco proíbe sua adoção.</w:t>
      </w:r>
    </w:p>
    <w:p w14:paraId="71184E63" w14:textId="77777777" w:rsidR="008D6ECB" w:rsidRDefault="008D6ECB" w:rsidP="008D6ECB">
      <w:pPr>
        <w:jc w:val="both"/>
        <w:rPr>
          <w:rFonts w:ascii="Arial" w:hAnsi="Arial" w:cs="Arial"/>
          <w:b/>
          <w:bCs/>
        </w:rPr>
      </w:pPr>
      <w:r w:rsidRPr="008D6ECB">
        <w:rPr>
          <w:rFonts w:ascii="Arial" w:hAnsi="Arial" w:cs="Arial"/>
          <w:b/>
          <w:bCs/>
        </w:rPr>
        <w:t>13 -</w:t>
      </w:r>
      <w:r w:rsidRPr="008D6ECB">
        <w:rPr>
          <w:rFonts w:ascii="Arial" w:hAnsi="Arial" w:cs="Arial"/>
        </w:rPr>
        <w:t xml:space="preserve"> </w:t>
      </w:r>
      <w:r w:rsidRPr="002F0282">
        <w:rPr>
          <w:rFonts w:ascii="Arial" w:hAnsi="Arial" w:cs="Arial"/>
          <w:b/>
          <w:bCs/>
        </w:rPr>
        <w:t>O contrato prevê o dispositivo de depósito em conta vinculada dentro da qual haverá retenção de valores de 13º, férias, 1/3 constitucional, encargos e multa do FGTS para posterior liberação à empresa contratada quando da plena comprovação e quitação destas obrigações junto aos seus profissionais conforme prevê resolução do CNJ 169/2013 ou eventual outra normativa adotada pela contratante? Se sim, qual o prazo máximo para liberação de recursos desta conta quando houver pedidos regulares da contratada?</w:t>
      </w:r>
    </w:p>
    <w:p w14:paraId="399B4492" w14:textId="7BEFD07C" w:rsidR="008D6ECB" w:rsidRPr="008D4504" w:rsidRDefault="002F0282" w:rsidP="008D6ECB">
      <w:pPr>
        <w:jc w:val="both"/>
        <w:rPr>
          <w:rFonts w:ascii="Arial" w:hAnsi="Arial" w:cs="Arial"/>
          <w:color w:val="EE0000"/>
        </w:rPr>
      </w:pPr>
      <w:r w:rsidRPr="002F0282">
        <w:rPr>
          <w:rFonts w:ascii="Arial" w:hAnsi="Arial" w:cs="Arial"/>
          <w:b/>
          <w:bCs/>
          <w:color w:val="EE0000"/>
        </w:rPr>
        <w:t>RESPOSTA JURÍDICA:</w:t>
      </w:r>
      <w:r w:rsidRPr="002F0282">
        <w:rPr>
          <w:rFonts w:ascii="Arial" w:hAnsi="Arial" w:cs="Arial"/>
          <w:color w:val="EE0000"/>
        </w:rPr>
        <w:t xml:space="preserve"> </w:t>
      </w:r>
      <w:r w:rsidRPr="002F0282">
        <w:rPr>
          <w:rFonts w:ascii="Arial" w:hAnsi="Arial" w:cs="Arial"/>
          <w:color w:val="EE0000"/>
        </w:rPr>
        <w:t>O Edital nº 0020/2025 e seus Anexos não preveem a adoção de conta vinculada para retenção de valores destinados a encargos trabalhistas, como 13º salário, férias, adicional de 1/3 constitucional, FGTS e multa rescisória, nem fazem referência à Resolução CNJ nº 169/2013 ou a normativas similares. Por consequência, não há exigência de constituição de conta vinculada; nem há previsão contratual de retenção ou liberação de valores vinculados a encargos trabalhistas; bem como não existe prazo definido para liberação de valores, pois tal mecanismo não integra o regime contratual adotado para o presente certame.</w:t>
      </w:r>
    </w:p>
    <w:p w14:paraId="14A254A8" w14:textId="77777777" w:rsidR="008D6ECB" w:rsidRDefault="008D6ECB" w:rsidP="008D6ECB">
      <w:pPr>
        <w:jc w:val="both"/>
        <w:rPr>
          <w:rFonts w:ascii="Arial" w:hAnsi="Arial" w:cs="Arial"/>
        </w:rPr>
      </w:pPr>
      <w:r w:rsidRPr="008D6ECB">
        <w:rPr>
          <w:rFonts w:ascii="Arial" w:hAnsi="Arial" w:cs="Arial"/>
          <w:b/>
          <w:bCs/>
        </w:rPr>
        <w:t>14 -</w:t>
      </w:r>
      <w:r w:rsidRPr="008D6ECB">
        <w:rPr>
          <w:rFonts w:ascii="Arial" w:hAnsi="Arial" w:cs="Arial"/>
        </w:rPr>
        <w:t xml:space="preserve"> </w:t>
      </w:r>
      <w:r w:rsidRPr="00F96344">
        <w:rPr>
          <w:rFonts w:ascii="Arial" w:hAnsi="Arial" w:cs="Arial"/>
          <w:b/>
          <w:bCs/>
        </w:rPr>
        <w:t xml:space="preserve">Da não bitributação: entendemos que, para essa licitação, irá incidir o ISS para faturamento dos serviços, sendo o referido tributo devido e recolhido na cidade do estabelecimento do prestador dos serviços e domicílio da Licitante, </w:t>
      </w:r>
      <w:proofErr w:type="gramStart"/>
      <w:r w:rsidRPr="00F96344">
        <w:rPr>
          <w:rFonts w:ascii="Arial" w:hAnsi="Arial" w:cs="Arial"/>
          <w:b/>
          <w:bCs/>
        </w:rPr>
        <w:t>e</w:t>
      </w:r>
      <w:proofErr w:type="gramEnd"/>
      <w:r w:rsidRPr="00F96344">
        <w:rPr>
          <w:rFonts w:ascii="Arial" w:hAnsi="Arial" w:cs="Arial"/>
          <w:b/>
          <w:bCs/>
        </w:rPr>
        <w:t xml:space="preserve"> portanto, não haverá retenção de ISS na cidade da CONTRATANTE, de acordo com o que dispõe a Lei Complementar 116/2003. Está correto o nosso entendimento? Caso contrário, solicitamos a </w:t>
      </w:r>
      <w:r w:rsidRPr="00F96344">
        <w:rPr>
          <w:rFonts w:ascii="Arial" w:hAnsi="Arial" w:cs="Arial"/>
          <w:b/>
          <w:bCs/>
        </w:rPr>
        <w:lastRenderedPageBreak/>
        <w:t>gentileza de esclarecer e informar com base em qual fundamentação e legislação se aplica o entendimento da CONTRATANTE.</w:t>
      </w:r>
    </w:p>
    <w:p w14:paraId="23CCE556" w14:textId="77777777" w:rsidR="00F96344" w:rsidRPr="00F96344" w:rsidRDefault="00F96344" w:rsidP="00F96344">
      <w:pPr>
        <w:spacing w:line="276" w:lineRule="auto"/>
        <w:jc w:val="both"/>
        <w:rPr>
          <w:rFonts w:ascii="Arial" w:hAnsi="Arial" w:cs="Arial"/>
          <w:color w:val="EE0000"/>
        </w:rPr>
      </w:pPr>
      <w:r w:rsidRPr="00F96344">
        <w:rPr>
          <w:rFonts w:ascii="Arial" w:hAnsi="Arial" w:cs="Arial"/>
          <w:b/>
          <w:bCs/>
          <w:color w:val="EE0000"/>
        </w:rPr>
        <w:t>RESPOSTA CONTÁBIL:</w:t>
      </w:r>
      <w:r w:rsidRPr="00F96344">
        <w:rPr>
          <w:rFonts w:ascii="Arial" w:hAnsi="Arial" w:cs="Arial"/>
          <w:color w:val="EE0000"/>
        </w:rPr>
        <w:t xml:space="preserve"> </w:t>
      </w:r>
      <w:r w:rsidRPr="00F96344">
        <w:rPr>
          <w:rFonts w:ascii="Arial" w:hAnsi="Arial" w:cs="Arial"/>
          <w:color w:val="EE0000"/>
        </w:rPr>
        <w:t xml:space="preserve">De modo geral, a Lei Complementar nº 116, de 31 de julho de 2003, dispõe, em seu art. 3º, que o serviço </w:t>
      </w:r>
      <w:proofErr w:type="gramStart"/>
      <w:r w:rsidRPr="00F96344">
        <w:rPr>
          <w:rFonts w:ascii="Arial" w:hAnsi="Arial" w:cs="Arial"/>
          <w:color w:val="EE0000"/>
        </w:rPr>
        <w:t>considera-se</w:t>
      </w:r>
      <w:proofErr w:type="gramEnd"/>
      <w:r w:rsidRPr="00F96344">
        <w:rPr>
          <w:rFonts w:ascii="Arial" w:hAnsi="Arial" w:cs="Arial"/>
          <w:color w:val="EE0000"/>
        </w:rPr>
        <w:t xml:space="preserve"> prestado e o imposto devido no local do estabelecimento do prestador ou, na ausência deste, no domicílio do prestador. Em outras palavras, a regra matriz de incidência do Imposto sobre Serviços de Qualquer Natureza (ISS) determina que sua exigibilidade recai sobre o município em que esteja sediado o prestador dos serviços. Nessa conformidade, não haveria fundamento legal para a retenção do tributo pela contratante situada em município diverso daquele do prestador.</w:t>
      </w:r>
    </w:p>
    <w:p w14:paraId="0686CF24" w14:textId="77777777" w:rsidR="00F96344" w:rsidRPr="00F96344" w:rsidRDefault="00F96344" w:rsidP="00F96344">
      <w:pPr>
        <w:spacing w:line="276" w:lineRule="auto"/>
        <w:jc w:val="both"/>
        <w:rPr>
          <w:rFonts w:ascii="Arial" w:hAnsi="Arial" w:cs="Arial"/>
          <w:color w:val="EE0000"/>
        </w:rPr>
      </w:pPr>
      <w:r w:rsidRPr="00F96344">
        <w:rPr>
          <w:rFonts w:ascii="Arial" w:hAnsi="Arial" w:cs="Arial"/>
          <w:color w:val="EE0000"/>
        </w:rPr>
        <w:t>Ressalte-se, por oportuno, que permanece sob responsabilidade da licitante a devida verificação das normas aplicáveis, bem como da jurisprudência e da doutrina pertinentes, especialmente no que se refere à eventual caracterização de “unidade econômica” no local da prestação dos serviços. Tal conceito pode impactar a definição do sujeito ativo da relação tributária.</w:t>
      </w:r>
    </w:p>
    <w:p w14:paraId="7CC542B5" w14:textId="77777777" w:rsidR="00F96344" w:rsidRPr="00F96344" w:rsidRDefault="00F96344" w:rsidP="00F96344">
      <w:pPr>
        <w:spacing w:line="276" w:lineRule="auto"/>
        <w:jc w:val="both"/>
        <w:rPr>
          <w:rFonts w:ascii="Arial" w:hAnsi="Arial" w:cs="Arial"/>
          <w:color w:val="EE0000"/>
        </w:rPr>
      </w:pPr>
      <w:r w:rsidRPr="00F96344">
        <w:rPr>
          <w:rFonts w:ascii="Arial" w:hAnsi="Arial" w:cs="Arial"/>
          <w:color w:val="EE0000"/>
        </w:rPr>
        <w:t>No âmbito da legislação municipal da contratante, cumpre destacar a obrigatoriedade da emissão do Documento Auxiliar de Nota Fiscal de Serviço de Outro Município (DANFOM), instituído pelo Decreto Municipal nº 13.491/2015, o qual visa permitir o controle e a fiscalização, por parte do Fisco local, sobre a efetiva ocorrência da prestação de serviços em seu território. Nessa medida, eventual configuração de unidade econômica poderá ensejar fiscalização por parte da municipalidade e, em consequência, a exigência do tributo no local do tomador.</w:t>
      </w:r>
    </w:p>
    <w:p w14:paraId="11168708" w14:textId="52A4CDB5" w:rsidR="008D6ECB" w:rsidRPr="001B553A" w:rsidRDefault="00F96344" w:rsidP="001B553A">
      <w:pPr>
        <w:spacing w:line="276" w:lineRule="auto"/>
        <w:jc w:val="both"/>
        <w:rPr>
          <w:rFonts w:ascii="Arial" w:hAnsi="Arial" w:cs="Arial"/>
          <w:color w:val="EE0000"/>
        </w:rPr>
      </w:pPr>
      <w:r w:rsidRPr="00F96344">
        <w:rPr>
          <w:rFonts w:ascii="Arial" w:hAnsi="Arial" w:cs="Arial"/>
          <w:color w:val="EE0000"/>
        </w:rPr>
        <w:t>No caso concreto, à luz da análise do Termo de Referência, cujo objeto é a prestação de serviços de suporte técnico em informática, entende-se ser cabível a não retenção do ISS na fonte, desde que os serviços contratados não estejam arrolados entre as hipóteses excepcionais previstas no §1º do art. 3º da referida Lei Complementar, tampouco exista disposição normativa específica, de âmbito municipal, que imponha tal obrigação à contratante.</w:t>
      </w:r>
    </w:p>
    <w:p w14:paraId="4A4CF628" w14:textId="02D03239" w:rsidR="008D6ECB" w:rsidRDefault="008D6ECB" w:rsidP="008D6ECB">
      <w:pPr>
        <w:jc w:val="both"/>
        <w:rPr>
          <w:rFonts w:ascii="Arial" w:hAnsi="Arial" w:cs="Arial"/>
        </w:rPr>
      </w:pPr>
      <w:r w:rsidRPr="008D6ECB">
        <w:rPr>
          <w:rFonts w:ascii="Arial" w:hAnsi="Arial" w:cs="Arial"/>
          <w:b/>
          <w:bCs/>
        </w:rPr>
        <w:t>15 –</w:t>
      </w:r>
      <w:r w:rsidRPr="008D6ECB">
        <w:rPr>
          <w:rFonts w:ascii="Arial" w:hAnsi="Arial" w:cs="Arial"/>
        </w:rPr>
        <w:t xml:space="preserve"> </w:t>
      </w:r>
      <w:r w:rsidRPr="00107123">
        <w:rPr>
          <w:rFonts w:ascii="Arial" w:hAnsi="Arial" w:cs="Arial"/>
          <w:b/>
          <w:bCs/>
        </w:rPr>
        <w:t>Considerando que o objeto licitado está relacionado à prestação de serviços de Tecnologia da Informação, podemos confirmar que o faturamento será realizado sob o código 6209-1/00 – Suporte técnico em informática?</w:t>
      </w:r>
    </w:p>
    <w:p w14:paraId="058C49C8" w14:textId="0B1EFF46" w:rsidR="008D6ECB" w:rsidRPr="00107123" w:rsidRDefault="001B553A" w:rsidP="008D6ECB">
      <w:pPr>
        <w:jc w:val="both"/>
        <w:rPr>
          <w:rFonts w:ascii="Arial" w:hAnsi="Arial" w:cs="Arial"/>
          <w:color w:val="EE0000"/>
        </w:rPr>
      </w:pPr>
      <w:r w:rsidRPr="001B553A">
        <w:rPr>
          <w:rFonts w:ascii="Arial" w:hAnsi="Arial" w:cs="Arial"/>
          <w:b/>
          <w:bCs/>
          <w:color w:val="EE0000"/>
        </w:rPr>
        <w:t>RESPOSTA CONTÁBIL:</w:t>
      </w:r>
      <w:r>
        <w:rPr>
          <w:rFonts w:ascii="Arial" w:hAnsi="Arial" w:cs="Arial"/>
          <w:color w:val="EE0000"/>
        </w:rPr>
        <w:t xml:space="preserve"> </w:t>
      </w:r>
      <w:r w:rsidRPr="001B553A">
        <w:rPr>
          <w:rFonts w:ascii="Arial" w:hAnsi="Arial" w:cs="Arial"/>
          <w:color w:val="EE0000"/>
        </w:rPr>
        <w:t xml:space="preserve">Considerando que o objeto licitado versa sobre a prestação de serviços na área de Tecnologia da Informação, sem abranger o desenvolvimento personalizado de programas de computador — atividade </w:t>
      </w:r>
      <w:proofErr w:type="spellStart"/>
      <w:r w:rsidRPr="001B553A">
        <w:rPr>
          <w:rFonts w:ascii="Arial" w:hAnsi="Arial" w:cs="Arial"/>
          <w:color w:val="EE0000"/>
        </w:rPr>
        <w:t>esta</w:t>
      </w:r>
      <w:proofErr w:type="spellEnd"/>
      <w:r w:rsidRPr="001B553A">
        <w:rPr>
          <w:rFonts w:ascii="Arial" w:hAnsi="Arial" w:cs="Arial"/>
          <w:color w:val="EE0000"/>
        </w:rPr>
        <w:t xml:space="preserve"> enquadrada no CNAE 6201-5/01 —, entende-se, em sede preliminar, que o enquadramento no CNAE 6209-1/00 – Suporte técnico em informática mostra-se compatível para fins de faturamento, desde que os serviços efetivamente prestados estejam estritamente caracterizados como atividades de suporte </w:t>
      </w:r>
      <w:r w:rsidRPr="001B553A">
        <w:rPr>
          <w:rFonts w:ascii="Arial" w:hAnsi="Arial" w:cs="Arial"/>
          <w:color w:val="EE0000"/>
        </w:rPr>
        <w:lastRenderedPageBreak/>
        <w:t>técnico, nos termos definidos pela Classificação Nacional de Atividades Econômicas (CNAE).</w:t>
      </w:r>
    </w:p>
    <w:p w14:paraId="29C6CFD4" w14:textId="007CC3DA" w:rsidR="008D6ECB" w:rsidRPr="00107123" w:rsidRDefault="008D6ECB" w:rsidP="008D6ECB">
      <w:pPr>
        <w:jc w:val="both"/>
        <w:rPr>
          <w:rFonts w:ascii="Arial" w:hAnsi="Arial" w:cs="Arial"/>
          <w:b/>
          <w:bCs/>
        </w:rPr>
      </w:pPr>
      <w:r w:rsidRPr="008D6ECB">
        <w:rPr>
          <w:rFonts w:ascii="Arial" w:hAnsi="Arial" w:cs="Arial"/>
          <w:b/>
          <w:bCs/>
        </w:rPr>
        <w:t>16 -</w:t>
      </w:r>
      <w:r w:rsidRPr="008D6ECB">
        <w:rPr>
          <w:rFonts w:ascii="Arial" w:hAnsi="Arial" w:cs="Arial"/>
        </w:rPr>
        <w:t xml:space="preserve"> </w:t>
      </w:r>
      <w:r w:rsidRPr="00107123">
        <w:rPr>
          <w:rFonts w:ascii="Arial" w:hAnsi="Arial" w:cs="Arial"/>
          <w:b/>
          <w:bCs/>
        </w:rPr>
        <w:t>Em relação a participação de empresas com regime de tributação pelo Simples Nacional, envio abaixo nosso questionamento:</w:t>
      </w:r>
      <w:r w:rsidR="002B687E" w:rsidRPr="00107123">
        <w:rPr>
          <w:rFonts w:ascii="Arial" w:hAnsi="Arial" w:cs="Arial"/>
          <w:b/>
          <w:bCs/>
        </w:rPr>
        <w:t xml:space="preserve"> </w:t>
      </w:r>
      <w:r w:rsidRPr="00107123">
        <w:rPr>
          <w:rFonts w:ascii="Arial" w:hAnsi="Arial" w:cs="Arial"/>
          <w:b/>
          <w:bCs/>
        </w:rPr>
        <w:t>Segundo inciso XII do art. 17 da Lei Complementar nº 123/2006 (Lei do Simples Nacional):</w:t>
      </w:r>
    </w:p>
    <w:p w14:paraId="1C0AEF88" w14:textId="08236065" w:rsidR="008D6ECB" w:rsidRPr="00107123" w:rsidRDefault="008D6ECB" w:rsidP="008D6ECB">
      <w:pPr>
        <w:jc w:val="both"/>
        <w:rPr>
          <w:rFonts w:ascii="Arial" w:hAnsi="Arial" w:cs="Arial"/>
          <w:b/>
          <w:bCs/>
        </w:rPr>
      </w:pPr>
      <w:r w:rsidRPr="00107123">
        <w:rPr>
          <w:rFonts w:ascii="Arial" w:hAnsi="Arial" w:cs="Arial"/>
          <w:b/>
          <w:bCs/>
        </w:rPr>
        <w:t>Art. 17. Não poderão recolher os impostos e contribuições na forma do Simples Nacional a microempresa ou a empresa de pequeno porte que:</w:t>
      </w:r>
    </w:p>
    <w:p w14:paraId="471C9BCF" w14:textId="37021F24" w:rsidR="008D6ECB" w:rsidRPr="00107123" w:rsidRDefault="008D6ECB" w:rsidP="008D6ECB">
      <w:pPr>
        <w:jc w:val="both"/>
        <w:rPr>
          <w:rFonts w:ascii="Arial" w:hAnsi="Arial" w:cs="Arial"/>
          <w:b/>
          <w:bCs/>
        </w:rPr>
      </w:pPr>
      <w:r w:rsidRPr="00107123">
        <w:rPr>
          <w:rFonts w:ascii="Arial" w:hAnsi="Arial" w:cs="Arial"/>
          <w:b/>
          <w:bCs/>
        </w:rPr>
        <w:t>XII - que realize cessão ou locação de mão-de-obra;</w:t>
      </w:r>
    </w:p>
    <w:p w14:paraId="151CD165" w14:textId="4D723BAA" w:rsidR="008D6ECB" w:rsidRPr="00107123" w:rsidRDefault="008D6ECB" w:rsidP="008D6ECB">
      <w:pPr>
        <w:jc w:val="both"/>
        <w:rPr>
          <w:rFonts w:ascii="Arial" w:hAnsi="Arial" w:cs="Arial"/>
          <w:b/>
          <w:bCs/>
        </w:rPr>
      </w:pPr>
      <w:r w:rsidRPr="00107123">
        <w:rPr>
          <w:rFonts w:ascii="Arial" w:hAnsi="Arial" w:cs="Arial"/>
          <w:b/>
          <w:bCs/>
        </w:rPr>
        <w:t>Ainda, conforme entendimento do TCU, entende-se como cessão de mão de obra:</w:t>
      </w:r>
    </w:p>
    <w:p w14:paraId="60FD81FA" w14:textId="3267CED0" w:rsidR="008D6ECB" w:rsidRPr="00107123" w:rsidRDefault="008D6ECB" w:rsidP="008D6ECB">
      <w:pPr>
        <w:jc w:val="both"/>
        <w:rPr>
          <w:rFonts w:ascii="Arial" w:hAnsi="Arial" w:cs="Arial"/>
          <w:b/>
          <w:bCs/>
        </w:rPr>
      </w:pPr>
      <w:r w:rsidRPr="00107123">
        <w:rPr>
          <w:rFonts w:ascii="Arial" w:hAnsi="Arial" w:cs="Arial"/>
          <w:b/>
          <w:bCs/>
        </w:rPr>
        <w:t>1) A colocação do trabalhador à disposição da empresa contratante, para efeito de caracterização da cessão de mão de obra, ocorre quando o trabalhador é</w:t>
      </w:r>
      <w:r w:rsidRPr="008D6ECB">
        <w:rPr>
          <w:rFonts w:ascii="Arial" w:hAnsi="Arial" w:cs="Arial"/>
        </w:rPr>
        <w:t xml:space="preserve"> </w:t>
      </w:r>
      <w:r w:rsidRPr="00107123">
        <w:rPr>
          <w:rFonts w:ascii="Arial" w:hAnsi="Arial" w:cs="Arial"/>
          <w:b/>
          <w:bCs/>
        </w:rPr>
        <w:t>cedido para atuar sob as ordens do tomador dos serviços, que</w:t>
      </w:r>
      <w:r w:rsidRPr="008D6ECB">
        <w:rPr>
          <w:rFonts w:ascii="Arial" w:hAnsi="Arial" w:cs="Arial"/>
        </w:rPr>
        <w:t xml:space="preserve"> </w:t>
      </w:r>
      <w:r w:rsidRPr="00107123">
        <w:rPr>
          <w:rFonts w:ascii="Arial" w:hAnsi="Arial" w:cs="Arial"/>
          <w:b/>
          <w:bCs/>
        </w:rPr>
        <w:t>detém o comando das tarefas e fiscaliza a execução e o andamento dos trabalhos.</w:t>
      </w:r>
    </w:p>
    <w:p w14:paraId="07238990" w14:textId="5375CFA3" w:rsidR="008D6ECB" w:rsidRPr="00107123" w:rsidRDefault="008D6ECB" w:rsidP="008D6ECB">
      <w:pPr>
        <w:jc w:val="both"/>
        <w:rPr>
          <w:rFonts w:ascii="Arial" w:hAnsi="Arial" w:cs="Arial"/>
          <w:b/>
          <w:bCs/>
        </w:rPr>
      </w:pPr>
      <w:r w:rsidRPr="00107123">
        <w:rPr>
          <w:rFonts w:ascii="Arial" w:hAnsi="Arial" w:cs="Arial"/>
          <w:b/>
          <w:bCs/>
        </w:rPr>
        <w:t xml:space="preserve">2) Para fins dessa disponibilização, não é necessário que o trabalhador fique exclusivamente por conta da empresa contratante, bastando que ocorra a colocação do trabalhador à disposição da contratante durante o horário contratado mediante medições de serviço por posto de trabalho ou unidades de medidas similares como horas ou </w:t>
      </w:r>
      <w:proofErr w:type="spellStart"/>
      <w:r w:rsidRPr="00107123">
        <w:rPr>
          <w:rFonts w:ascii="Arial" w:hAnsi="Arial" w:cs="Arial"/>
          <w:b/>
          <w:bCs/>
        </w:rPr>
        <w:t>USTs</w:t>
      </w:r>
      <w:proofErr w:type="spellEnd"/>
      <w:r w:rsidRPr="00107123">
        <w:rPr>
          <w:rFonts w:ascii="Arial" w:hAnsi="Arial" w:cs="Arial"/>
          <w:b/>
          <w:bCs/>
        </w:rPr>
        <w:t xml:space="preserve"> (unidades de serviço técnico).</w:t>
      </w:r>
    </w:p>
    <w:p w14:paraId="1D5C5A3A" w14:textId="69AB8464" w:rsidR="008D6ECB" w:rsidRPr="00107123" w:rsidRDefault="008D6ECB" w:rsidP="008D6ECB">
      <w:pPr>
        <w:jc w:val="both"/>
        <w:rPr>
          <w:rFonts w:ascii="Arial" w:hAnsi="Arial" w:cs="Arial"/>
          <w:b/>
          <w:bCs/>
        </w:rPr>
      </w:pPr>
      <w:r w:rsidRPr="00107123">
        <w:rPr>
          <w:rFonts w:ascii="Arial" w:hAnsi="Arial" w:cs="Arial"/>
          <w:b/>
          <w:bCs/>
        </w:rPr>
        <w:t>Diante da proibição da cessão de mão de obra pela Lei do Simples Nacional, e diante do entendimento do Tribunal de Contas da União, questiona-se:</w:t>
      </w:r>
    </w:p>
    <w:p w14:paraId="2BEC259E" w14:textId="7AFE24A1" w:rsidR="008D6ECB" w:rsidRPr="00107123" w:rsidRDefault="008D6ECB" w:rsidP="008D6ECB">
      <w:pPr>
        <w:jc w:val="both"/>
        <w:rPr>
          <w:rFonts w:ascii="Arial" w:hAnsi="Arial" w:cs="Arial"/>
          <w:b/>
          <w:bCs/>
        </w:rPr>
      </w:pPr>
      <w:r w:rsidRPr="00107123">
        <w:rPr>
          <w:rFonts w:ascii="Arial" w:hAnsi="Arial" w:cs="Arial"/>
          <w:b/>
          <w:bCs/>
        </w:rPr>
        <w:t xml:space="preserve">Uma vez que o objeto da licitação deixa claro que haverá cessão de mão de obra, será vetada a participação de empresas optantes pelo regime de tributação do Simples Nacional? Ou então, se aceita a participação das empresas optantes pelo Simples Nacional, estas poderão participar do certame, no entanto, não podendo </w:t>
      </w:r>
      <w:proofErr w:type="gramStart"/>
      <w:r w:rsidRPr="00107123">
        <w:rPr>
          <w:rFonts w:ascii="Arial" w:hAnsi="Arial" w:cs="Arial"/>
          <w:b/>
          <w:bCs/>
        </w:rPr>
        <w:t>utiliza-se</w:t>
      </w:r>
      <w:proofErr w:type="gramEnd"/>
      <w:r w:rsidRPr="00107123">
        <w:rPr>
          <w:rFonts w:ascii="Arial" w:hAnsi="Arial" w:cs="Arial"/>
          <w:b/>
          <w:bCs/>
        </w:rPr>
        <w:t xml:space="preserve"> do enquadramento deste regime, devendo utilizar os percentuais de impostos de uma empresa do Lucro Presumido ou Lucro Real em suas planilhas de custo e, então, exigida a comunicação do fato para a Receita Federal solicitando o desenquadramento da empresa optante pelo Simples Nacional que por ventura se sagrar vencedora do certame?</w:t>
      </w:r>
    </w:p>
    <w:p w14:paraId="63B0E027" w14:textId="17A68B15" w:rsidR="002B687E" w:rsidRPr="002B687E" w:rsidRDefault="002B687E" w:rsidP="002B687E">
      <w:pPr>
        <w:jc w:val="both"/>
        <w:rPr>
          <w:rFonts w:ascii="Arial" w:hAnsi="Arial" w:cs="Arial"/>
          <w:b/>
          <w:bCs/>
          <w:color w:val="EE0000"/>
        </w:rPr>
      </w:pPr>
      <w:r w:rsidRPr="002B687E">
        <w:rPr>
          <w:rFonts w:ascii="Arial" w:hAnsi="Arial" w:cs="Arial"/>
          <w:b/>
          <w:bCs/>
          <w:color w:val="EE0000"/>
        </w:rPr>
        <w:t xml:space="preserve">RESPOSTA DO JURÍDICO: </w:t>
      </w:r>
    </w:p>
    <w:p w14:paraId="13943214" w14:textId="77777777" w:rsidR="002B687E" w:rsidRPr="002B687E" w:rsidRDefault="002B687E" w:rsidP="002B687E">
      <w:pPr>
        <w:jc w:val="both"/>
        <w:rPr>
          <w:rFonts w:ascii="Arial" w:hAnsi="Arial" w:cs="Arial"/>
          <w:color w:val="EE0000"/>
        </w:rPr>
      </w:pPr>
      <w:r w:rsidRPr="002B687E">
        <w:rPr>
          <w:rFonts w:ascii="Arial" w:hAnsi="Arial" w:cs="Arial"/>
          <w:color w:val="EE0000"/>
        </w:rPr>
        <w:t xml:space="preserve">É possível a participação na licitação de optantes pelo SIMPLES, desde que não se aproveite dos benefícios tributários daquele na apresentação da Planilha de Custos; e, na fase contratual, adote o regime tributário aplicável ao objeto e </w:t>
      </w:r>
      <w:r w:rsidRPr="002B687E">
        <w:rPr>
          <w:rFonts w:ascii="Arial" w:hAnsi="Arial" w:cs="Arial"/>
          <w:color w:val="EE0000"/>
        </w:rPr>
        <w:lastRenderedPageBreak/>
        <w:t>utilizado na composição dos custos da proposta, conforme orientado pelo Tribunal de Contas da União; confira-se:</w:t>
      </w:r>
    </w:p>
    <w:p w14:paraId="3751F10C" w14:textId="77777777" w:rsidR="002B687E" w:rsidRPr="002B687E" w:rsidRDefault="002B687E" w:rsidP="002B687E">
      <w:pPr>
        <w:jc w:val="both"/>
        <w:rPr>
          <w:rFonts w:ascii="Arial" w:hAnsi="Arial" w:cs="Arial"/>
          <w:color w:val="EE0000"/>
        </w:rPr>
      </w:pPr>
      <w:r w:rsidRPr="002B687E">
        <w:rPr>
          <w:rFonts w:ascii="Arial" w:hAnsi="Arial" w:cs="Arial"/>
          <w:color w:val="EE0000"/>
        </w:rPr>
        <w:t>“Cabe ainda complementar que, o acórdão 797/2011 - Plenário TC - 024.993/2010-7. rel. Ministro Ubiratan Aguiar, em 30/03/2011 fala que: "</w:t>
      </w:r>
      <w:r w:rsidRPr="002B687E">
        <w:rPr>
          <w:rFonts w:ascii="Arial" w:hAnsi="Arial" w:cs="Arial"/>
          <w:b/>
          <w:bCs/>
          <w:i/>
          <w:iCs/>
          <w:color w:val="EE0000"/>
        </w:rPr>
        <w:t>é possível a participação</w:t>
      </w:r>
      <w:r w:rsidRPr="002B687E">
        <w:rPr>
          <w:rFonts w:ascii="Arial" w:hAnsi="Arial" w:cs="Arial"/>
          <w:i/>
          <w:iCs/>
          <w:color w:val="EE0000"/>
        </w:rPr>
        <w:t>, desde que comprovada a não utilização dos benefícios tributários do regime tributário diferenciado na proposta de preços e que, caso venha a ser contratada, faça a comunicação ao órgão fazendário competente, para fins de exclusão do regime comum</w:t>
      </w:r>
      <w:r w:rsidRPr="002B687E">
        <w:rPr>
          <w:rFonts w:ascii="Arial" w:hAnsi="Arial" w:cs="Arial"/>
          <w:color w:val="EE0000"/>
        </w:rPr>
        <w:t>”</w:t>
      </w:r>
    </w:p>
    <w:p w14:paraId="5D9933A6" w14:textId="77777777" w:rsidR="002B687E" w:rsidRPr="002B687E" w:rsidRDefault="002B687E" w:rsidP="002B687E">
      <w:pPr>
        <w:jc w:val="both"/>
        <w:rPr>
          <w:rFonts w:ascii="Arial" w:hAnsi="Arial" w:cs="Arial"/>
          <w:color w:val="EE0000"/>
        </w:rPr>
      </w:pPr>
      <w:r w:rsidRPr="002B687E">
        <w:rPr>
          <w:rFonts w:ascii="Arial" w:hAnsi="Arial" w:cs="Arial"/>
          <w:color w:val="EE0000"/>
        </w:rPr>
        <w:t>Inicialmente, destacou o relator que os serviços licitados, copeiragem, estariam enquadrados na referida vedação e, portanto, não poderia a representante desfrutar dos benefícios do regime de tributação do Simples. No entanto, isso "</w:t>
      </w:r>
      <w:r w:rsidRPr="002B687E">
        <w:rPr>
          <w:rFonts w:ascii="Arial" w:hAnsi="Arial" w:cs="Arial"/>
          <w:b/>
          <w:bCs/>
          <w:color w:val="EE0000"/>
        </w:rPr>
        <w:t>não constitui óbice à participação em licitação pública</w:t>
      </w:r>
      <w:r w:rsidRPr="002B687E">
        <w:rPr>
          <w:rFonts w:ascii="Arial" w:hAnsi="Arial" w:cs="Arial"/>
          <w:color w:val="EE0000"/>
        </w:rPr>
        <w:t>, pois, consoante destacou a unidade técnica, a Lei Complementar nº 123/2006 não faz qualquer proibição nesse sentido, tampouco a Lei de Licitações"</w:t>
      </w:r>
    </w:p>
    <w:p w14:paraId="595F3C6C" w14:textId="6B326211" w:rsidR="002B687E" w:rsidRPr="002B687E" w:rsidRDefault="002B687E" w:rsidP="002B687E">
      <w:pPr>
        <w:jc w:val="both"/>
        <w:rPr>
          <w:rFonts w:ascii="Arial" w:hAnsi="Arial" w:cs="Arial"/>
          <w:color w:val="EE0000"/>
        </w:rPr>
      </w:pPr>
      <w:r w:rsidRPr="002B687E">
        <w:rPr>
          <w:rFonts w:ascii="Arial" w:hAnsi="Arial" w:cs="Arial"/>
          <w:color w:val="EE0000"/>
        </w:rPr>
        <w:t>Desse modo, "</w:t>
      </w:r>
      <w:r w:rsidRPr="002B687E">
        <w:rPr>
          <w:rFonts w:ascii="Arial" w:hAnsi="Arial" w:cs="Arial"/>
          <w:b/>
          <w:bCs/>
          <w:color w:val="EE0000"/>
        </w:rPr>
        <w:t>inexistindo vedação legal</w:t>
      </w:r>
      <w:r w:rsidRPr="002B687E">
        <w:rPr>
          <w:rFonts w:ascii="Arial" w:hAnsi="Arial" w:cs="Arial"/>
          <w:color w:val="EE0000"/>
        </w:rPr>
        <w:t>, o caminho a ser trilhado por empresa optante pelo Simples Nacional que eventualmente passe a executar serviços para Administração, mas que se enquadre nas hipóteses vedadas pela lei, seria, como sugerido pela unidade técnica, a comunicação, obrigatória, à Receita Federal da situação ensejadora da exclusão do regime diferenciado, sob pena das sanções previstas na legislação tributária", (o Tribunal de Contas da União, acordão nº 2798/2012, relator ministro José Jorge ) grifos nossos</w:t>
      </w:r>
      <w:r w:rsidRPr="002B687E">
        <w:rPr>
          <w:rFonts w:ascii="Arial" w:hAnsi="Arial" w:cs="Arial"/>
          <w:color w:val="EE0000"/>
        </w:rPr>
        <w:t>.</w:t>
      </w:r>
    </w:p>
    <w:p w14:paraId="2EFACCC7" w14:textId="530689FB" w:rsidR="002B687E" w:rsidRDefault="00087BE9" w:rsidP="00087BE9">
      <w:pPr>
        <w:jc w:val="center"/>
        <w:rPr>
          <w:rFonts w:ascii="Arial" w:hAnsi="Arial" w:cs="Arial"/>
        </w:rPr>
      </w:pPr>
      <w:r>
        <w:rPr>
          <w:rFonts w:ascii="Arial" w:hAnsi="Arial" w:cs="Arial"/>
        </w:rPr>
        <w:t>Porto Alegre, 30 de julho de 2025.</w:t>
      </w:r>
    </w:p>
    <w:p w14:paraId="33EC0882" w14:textId="77777777" w:rsidR="00087BE9" w:rsidRDefault="00087BE9" w:rsidP="00087BE9">
      <w:pPr>
        <w:jc w:val="center"/>
        <w:rPr>
          <w:rFonts w:ascii="Arial" w:hAnsi="Arial" w:cs="Arial"/>
        </w:rPr>
      </w:pPr>
    </w:p>
    <w:p w14:paraId="3FD1D06B" w14:textId="56217755" w:rsidR="00087BE9" w:rsidRDefault="00087BE9" w:rsidP="00087BE9">
      <w:pPr>
        <w:jc w:val="center"/>
        <w:rPr>
          <w:rFonts w:ascii="Arial" w:hAnsi="Arial" w:cs="Arial"/>
        </w:rPr>
      </w:pPr>
      <w:r>
        <w:rPr>
          <w:rFonts w:ascii="Arial" w:hAnsi="Arial" w:cs="Arial"/>
        </w:rPr>
        <w:t xml:space="preserve">Erica M. </w:t>
      </w:r>
      <w:proofErr w:type="spellStart"/>
      <w:r>
        <w:rPr>
          <w:rFonts w:ascii="Arial" w:hAnsi="Arial" w:cs="Arial"/>
        </w:rPr>
        <w:t>Pokorski</w:t>
      </w:r>
      <w:proofErr w:type="spellEnd"/>
      <w:r>
        <w:rPr>
          <w:rFonts w:ascii="Arial" w:hAnsi="Arial" w:cs="Arial"/>
        </w:rPr>
        <w:t xml:space="preserve"> de Andrade</w:t>
      </w:r>
    </w:p>
    <w:p w14:paraId="60463594" w14:textId="5801C316" w:rsidR="00087BE9" w:rsidRPr="008D6ECB" w:rsidRDefault="00087BE9" w:rsidP="00087BE9">
      <w:pPr>
        <w:jc w:val="center"/>
        <w:rPr>
          <w:rFonts w:ascii="Arial" w:hAnsi="Arial" w:cs="Arial"/>
        </w:rPr>
      </w:pPr>
      <w:r>
        <w:rPr>
          <w:rFonts w:ascii="Arial" w:hAnsi="Arial" w:cs="Arial"/>
        </w:rPr>
        <w:t>Pregoeira</w:t>
      </w:r>
    </w:p>
    <w:sectPr w:rsidR="00087BE9" w:rsidRPr="008D6EC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7C936" w14:textId="77777777" w:rsidR="001C0750" w:rsidRDefault="001C0750" w:rsidP="00087BE9">
      <w:pPr>
        <w:spacing w:after="0" w:line="240" w:lineRule="auto"/>
      </w:pPr>
      <w:r>
        <w:separator/>
      </w:r>
    </w:p>
  </w:endnote>
  <w:endnote w:type="continuationSeparator" w:id="0">
    <w:p w14:paraId="1E32D20B" w14:textId="77777777" w:rsidR="001C0750" w:rsidRDefault="001C0750" w:rsidP="00087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F4D32" w14:textId="77777777" w:rsidR="001C0750" w:rsidRDefault="001C0750" w:rsidP="00087BE9">
      <w:pPr>
        <w:spacing w:after="0" w:line="240" w:lineRule="auto"/>
      </w:pPr>
      <w:r>
        <w:separator/>
      </w:r>
    </w:p>
  </w:footnote>
  <w:footnote w:type="continuationSeparator" w:id="0">
    <w:p w14:paraId="5A82EEDD" w14:textId="77777777" w:rsidR="001C0750" w:rsidRDefault="001C0750" w:rsidP="00087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E83EF" w14:textId="47377B0D" w:rsidR="00087BE9" w:rsidRDefault="00087BE9">
    <w:pPr>
      <w:pStyle w:val="Cabealho"/>
    </w:pPr>
    <w:r>
      <w:rPr>
        <w:rFonts w:ascii="Times New Roman"/>
        <w:noProof/>
        <w:lang w:eastAsia="pt-BR"/>
      </w:rPr>
      <w:drawing>
        <wp:inline distT="0" distB="0" distL="0" distR="0" wp14:anchorId="36787006" wp14:editId="456E68E7">
          <wp:extent cx="1589480" cy="376237"/>
          <wp:effectExtent l="0" t="0" r="0" b="0"/>
          <wp:docPr id="211649806" name="image1.png"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png" descr="Texto&#10;&#10;O conteúdo gerado por IA pode estar incorreto."/>
                  <pic:cNvPicPr/>
                </pic:nvPicPr>
                <pic:blipFill>
                  <a:blip r:embed="rId1" cstate="print"/>
                  <a:stretch>
                    <a:fillRect/>
                  </a:stretch>
                </pic:blipFill>
                <pic:spPr>
                  <a:xfrm>
                    <a:off x="0" y="0"/>
                    <a:ext cx="1589480" cy="37623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2D6184"/>
    <w:multiLevelType w:val="multilevel"/>
    <w:tmpl w:val="AF90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711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ECB"/>
    <w:rsid w:val="00087BE9"/>
    <w:rsid w:val="000D3D99"/>
    <w:rsid w:val="00107123"/>
    <w:rsid w:val="00146072"/>
    <w:rsid w:val="00197EE4"/>
    <w:rsid w:val="001B553A"/>
    <w:rsid w:val="001C0750"/>
    <w:rsid w:val="0021415E"/>
    <w:rsid w:val="00221EA9"/>
    <w:rsid w:val="002279F7"/>
    <w:rsid w:val="002B687E"/>
    <w:rsid w:val="002F0282"/>
    <w:rsid w:val="0042705F"/>
    <w:rsid w:val="0053578A"/>
    <w:rsid w:val="00555423"/>
    <w:rsid w:val="005C2856"/>
    <w:rsid w:val="0064023F"/>
    <w:rsid w:val="00650B5B"/>
    <w:rsid w:val="0065234F"/>
    <w:rsid w:val="006D5417"/>
    <w:rsid w:val="00705802"/>
    <w:rsid w:val="00803A32"/>
    <w:rsid w:val="00877DD7"/>
    <w:rsid w:val="00886294"/>
    <w:rsid w:val="008D4504"/>
    <w:rsid w:val="008D6ECB"/>
    <w:rsid w:val="00A07FAC"/>
    <w:rsid w:val="00A319EB"/>
    <w:rsid w:val="00B214B5"/>
    <w:rsid w:val="00C01381"/>
    <w:rsid w:val="00C330F6"/>
    <w:rsid w:val="00C523EB"/>
    <w:rsid w:val="00F107B1"/>
    <w:rsid w:val="00F3236A"/>
    <w:rsid w:val="00F96344"/>
    <w:rsid w:val="00FF1B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CBD85"/>
  <w15:chartTrackingRefBased/>
  <w15:docId w15:val="{B7873C14-D26D-4854-9341-8590E979B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D6E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D6E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D6E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D6E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D6E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D6E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D6E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D6E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D6EC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6EC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D6EC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D6EC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D6EC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D6EC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D6EC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D6EC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D6EC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D6ECB"/>
    <w:rPr>
      <w:rFonts w:eastAsiaTheme="majorEastAsia" w:cstheme="majorBidi"/>
      <w:color w:val="272727" w:themeColor="text1" w:themeTint="D8"/>
    </w:rPr>
  </w:style>
  <w:style w:type="paragraph" w:styleId="Ttulo">
    <w:name w:val="Title"/>
    <w:basedOn w:val="Normal"/>
    <w:next w:val="Normal"/>
    <w:link w:val="TtuloChar"/>
    <w:uiPriority w:val="10"/>
    <w:qFormat/>
    <w:rsid w:val="008D6E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6E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D6EC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D6EC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D6ECB"/>
    <w:pPr>
      <w:spacing w:before="160"/>
      <w:jc w:val="center"/>
    </w:pPr>
    <w:rPr>
      <w:i/>
      <w:iCs/>
      <w:color w:val="404040" w:themeColor="text1" w:themeTint="BF"/>
    </w:rPr>
  </w:style>
  <w:style w:type="character" w:customStyle="1" w:styleId="CitaoChar">
    <w:name w:val="Citação Char"/>
    <w:basedOn w:val="Fontepargpadro"/>
    <w:link w:val="Citao"/>
    <w:uiPriority w:val="29"/>
    <w:rsid w:val="008D6ECB"/>
    <w:rPr>
      <w:i/>
      <w:iCs/>
      <w:color w:val="404040" w:themeColor="text1" w:themeTint="BF"/>
    </w:rPr>
  </w:style>
  <w:style w:type="paragraph" w:styleId="PargrafodaLista">
    <w:name w:val="List Paragraph"/>
    <w:aliases w:val="Numerado"/>
    <w:basedOn w:val="Normal"/>
    <w:link w:val="PargrafodaListaChar"/>
    <w:uiPriority w:val="34"/>
    <w:qFormat/>
    <w:rsid w:val="008D6ECB"/>
    <w:pPr>
      <w:ind w:left="720"/>
      <w:contextualSpacing/>
    </w:pPr>
  </w:style>
  <w:style w:type="character" w:styleId="nfaseIntensa">
    <w:name w:val="Intense Emphasis"/>
    <w:basedOn w:val="Fontepargpadro"/>
    <w:uiPriority w:val="21"/>
    <w:qFormat/>
    <w:rsid w:val="008D6ECB"/>
    <w:rPr>
      <w:i/>
      <w:iCs/>
      <w:color w:val="0F4761" w:themeColor="accent1" w:themeShade="BF"/>
    </w:rPr>
  </w:style>
  <w:style w:type="paragraph" w:styleId="CitaoIntensa">
    <w:name w:val="Intense Quote"/>
    <w:basedOn w:val="Normal"/>
    <w:next w:val="Normal"/>
    <w:link w:val="CitaoIntensaChar"/>
    <w:uiPriority w:val="30"/>
    <w:qFormat/>
    <w:rsid w:val="008D6E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6ECB"/>
    <w:rPr>
      <w:i/>
      <w:iCs/>
      <w:color w:val="0F4761" w:themeColor="accent1" w:themeShade="BF"/>
    </w:rPr>
  </w:style>
  <w:style w:type="character" w:styleId="RefernciaIntensa">
    <w:name w:val="Intense Reference"/>
    <w:basedOn w:val="Fontepargpadro"/>
    <w:uiPriority w:val="32"/>
    <w:qFormat/>
    <w:rsid w:val="008D6ECB"/>
    <w:rPr>
      <w:b/>
      <w:bCs/>
      <w:smallCaps/>
      <w:color w:val="0F4761" w:themeColor="accent1" w:themeShade="BF"/>
      <w:spacing w:val="5"/>
    </w:rPr>
  </w:style>
  <w:style w:type="paragraph" w:styleId="NormalWeb">
    <w:name w:val="Normal (Web)"/>
    <w:basedOn w:val="Normal"/>
    <w:uiPriority w:val="99"/>
    <w:semiHidden/>
    <w:unhideWhenUsed/>
    <w:rsid w:val="0064023F"/>
    <w:rPr>
      <w:rFonts w:ascii="Times New Roman" w:hAnsi="Times New Roman" w:cs="Times New Roman"/>
    </w:rPr>
  </w:style>
  <w:style w:type="character" w:customStyle="1" w:styleId="PargrafodaListaChar">
    <w:name w:val="Parágrafo da Lista Char"/>
    <w:aliases w:val="Numerado Char"/>
    <w:link w:val="PargrafodaLista"/>
    <w:uiPriority w:val="34"/>
    <w:qFormat/>
    <w:locked/>
    <w:rsid w:val="00803A32"/>
  </w:style>
  <w:style w:type="paragraph" w:styleId="Cabealho">
    <w:name w:val="header"/>
    <w:basedOn w:val="Normal"/>
    <w:link w:val="CabealhoChar"/>
    <w:uiPriority w:val="99"/>
    <w:unhideWhenUsed/>
    <w:rsid w:val="00087BE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87BE9"/>
  </w:style>
  <w:style w:type="paragraph" w:styleId="Rodap">
    <w:name w:val="footer"/>
    <w:basedOn w:val="Normal"/>
    <w:link w:val="RodapChar"/>
    <w:uiPriority w:val="99"/>
    <w:unhideWhenUsed/>
    <w:rsid w:val="00087BE9"/>
    <w:pPr>
      <w:tabs>
        <w:tab w:val="center" w:pos="4252"/>
        <w:tab w:val="right" w:pos="8504"/>
      </w:tabs>
      <w:spacing w:after="0" w:line="240" w:lineRule="auto"/>
    </w:pPr>
  </w:style>
  <w:style w:type="character" w:customStyle="1" w:styleId="RodapChar">
    <w:name w:val="Rodapé Char"/>
    <w:basedOn w:val="Fontepargpadro"/>
    <w:link w:val="Rodap"/>
    <w:uiPriority w:val="99"/>
    <w:rsid w:val="00087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64331">
      <w:bodyDiv w:val="1"/>
      <w:marLeft w:val="0"/>
      <w:marRight w:val="0"/>
      <w:marTop w:val="0"/>
      <w:marBottom w:val="0"/>
      <w:divBdr>
        <w:top w:val="none" w:sz="0" w:space="0" w:color="auto"/>
        <w:left w:val="none" w:sz="0" w:space="0" w:color="auto"/>
        <w:bottom w:val="none" w:sz="0" w:space="0" w:color="auto"/>
        <w:right w:val="none" w:sz="0" w:space="0" w:color="auto"/>
      </w:divBdr>
    </w:div>
    <w:div w:id="138498761">
      <w:bodyDiv w:val="1"/>
      <w:marLeft w:val="0"/>
      <w:marRight w:val="0"/>
      <w:marTop w:val="0"/>
      <w:marBottom w:val="0"/>
      <w:divBdr>
        <w:top w:val="none" w:sz="0" w:space="0" w:color="auto"/>
        <w:left w:val="none" w:sz="0" w:space="0" w:color="auto"/>
        <w:bottom w:val="none" w:sz="0" w:space="0" w:color="auto"/>
        <w:right w:val="none" w:sz="0" w:space="0" w:color="auto"/>
      </w:divBdr>
      <w:divsChild>
        <w:div w:id="1027830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7686170">
      <w:bodyDiv w:val="1"/>
      <w:marLeft w:val="0"/>
      <w:marRight w:val="0"/>
      <w:marTop w:val="0"/>
      <w:marBottom w:val="0"/>
      <w:divBdr>
        <w:top w:val="none" w:sz="0" w:space="0" w:color="auto"/>
        <w:left w:val="none" w:sz="0" w:space="0" w:color="auto"/>
        <w:bottom w:val="none" w:sz="0" w:space="0" w:color="auto"/>
        <w:right w:val="none" w:sz="0" w:space="0" w:color="auto"/>
      </w:divBdr>
    </w:div>
    <w:div w:id="377749519">
      <w:bodyDiv w:val="1"/>
      <w:marLeft w:val="0"/>
      <w:marRight w:val="0"/>
      <w:marTop w:val="0"/>
      <w:marBottom w:val="0"/>
      <w:divBdr>
        <w:top w:val="none" w:sz="0" w:space="0" w:color="auto"/>
        <w:left w:val="none" w:sz="0" w:space="0" w:color="auto"/>
        <w:bottom w:val="none" w:sz="0" w:space="0" w:color="auto"/>
        <w:right w:val="none" w:sz="0" w:space="0" w:color="auto"/>
      </w:divBdr>
      <w:divsChild>
        <w:div w:id="862596042">
          <w:marLeft w:val="0"/>
          <w:marRight w:val="0"/>
          <w:marTop w:val="240"/>
          <w:marBottom w:val="240"/>
          <w:divBdr>
            <w:top w:val="none" w:sz="0" w:space="0" w:color="auto"/>
            <w:left w:val="none" w:sz="0" w:space="0" w:color="auto"/>
            <w:bottom w:val="none" w:sz="0" w:space="0" w:color="auto"/>
            <w:right w:val="none" w:sz="0" w:space="0" w:color="auto"/>
          </w:divBdr>
        </w:div>
        <w:div w:id="2115904286">
          <w:marLeft w:val="0"/>
          <w:marRight w:val="0"/>
          <w:marTop w:val="240"/>
          <w:marBottom w:val="240"/>
          <w:divBdr>
            <w:top w:val="none" w:sz="0" w:space="0" w:color="auto"/>
            <w:left w:val="none" w:sz="0" w:space="0" w:color="auto"/>
            <w:bottom w:val="none" w:sz="0" w:space="0" w:color="auto"/>
            <w:right w:val="none" w:sz="0" w:space="0" w:color="auto"/>
          </w:divBdr>
        </w:div>
        <w:div w:id="1439369867">
          <w:marLeft w:val="0"/>
          <w:marRight w:val="0"/>
          <w:marTop w:val="240"/>
          <w:marBottom w:val="240"/>
          <w:divBdr>
            <w:top w:val="none" w:sz="0" w:space="0" w:color="auto"/>
            <w:left w:val="none" w:sz="0" w:space="0" w:color="auto"/>
            <w:bottom w:val="none" w:sz="0" w:space="0" w:color="auto"/>
            <w:right w:val="none" w:sz="0" w:space="0" w:color="auto"/>
          </w:divBdr>
        </w:div>
        <w:div w:id="2001302593">
          <w:marLeft w:val="0"/>
          <w:marRight w:val="0"/>
          <w:marTop w:val="240"/>
          <w:marBottom w:val="240"/>
          <w:divBdr>
            <w:top w:val="none" w:sz="0" w:space="0" w:color="auto"/>
            <w:left w:val="none" w:sz="0" w:space="0" w:color="auto"/>
            <w:bottom w:val="none" w:sz="0" w:space="0" w:color="auto"/>
            <w:right w:val="none" w:sz="0" w:space="0" w:color="auto"/>
          </w:divBdr>
        </w:div>
      </w:divsChild>
    </w:div>
    <w:div w:id="397440874">
      <w:bodyDiv w:val="1"/>
      <w:marLeft w:val="0"/>
      <w:marRight w:val="0"/>
      <w:marTop w:val="0"/>
      <w:marBottom w:val="0"/>
      <w:divBdr>
        <w:top w:val="none" w:sz="0" w:space="0" w:color="auto"/>
        <w:left w:val="none" w:sz="0" w:space="0" w:color="auto"/>
        <w:bottom w:val="none" w:sz="0" w:space="0" w:color="auto"/>
        <w:right w:val="none" w:sz="0" w:space="0" w:color="auto"/>
      </w:divBdr>
    </w:div>
    <w:div w:id="417100791">
      <w:bodyDiv w:val="1"/>
      <w:marLeft w:val="0"/>
      <w:marRight w:val="0"/>
      <w:marTop w:val="0"/>
      <w:marBottom w:val="0"/>
      <w:divBdr>
        <w:top w:val="none" w:sz="0" w:space="0" w:color="auto"/>
        <w:left w:val="none" w:sz="0" w:space="0" w:color="auto"/>
        <w:bottom w:val="none" w:sz="0" w:space="0" w:color="auto"/>
        <w:right w:val="none" w:sz="0" w:space="0" w:color="auto"/>
      </w:divBdr>
      <w:divsChild>
        <w:div w:id="917403225">
          <w:marLeft w:val="0"/>
          <w:marRight w:val="0"/>
          <w:marTop w:val="0"/>
          <w:marBottom w:val="0"/>
          <w:divBdr>
            <w:top w:val="none" w:sz="0" w:space="0" w:color="auto"/>
            <w:left w:val="none" w:sz="0" w:space="0" w:color="auto"/>
            <w:bottom w:val="none" w:sz="0" w:space="0" w:color="auto"/>
            <w:right w:val="none" w:sz="0" w:space="0" w:color="auto"/>
          </w:divBdr>
        </w:div>
        <w:div w:id="1520269781">
          <w:marLeft w:val="0"/>
          <w:marRight w:val="0"/>
          <w:marTop w:val="0"/>
          <w:marBottom w:val="0"/>
          <w:divBdr>
            <w:top w:val="none" w:sz="0" w:space="0" w:color="auto"/>
            <w:left w:val="none" w:sz="0" w:space="0" w:color="auto"/>
            <w:bottom w:val="none" w:sz="0" w:space="0" w:color="auto"/>
            <w:right w:val="none" w:sz="0" w:space="0" w:color="auto"/>
          </w:divBdr>
        </w:div>
        <w:div w:id="2104915258">
          <w:marLeft w:val="0"/>
          <w:marRight w:val="0"/>
          <w:marTop w:val="0"/>
          <w:marBottom w:val="0"/>
          <w:divBdr>
            <w:top w:val="none" w:sz="0" w:space="0" w:color="auto"/>
            <w:left w:val="none" w:sz="0" w:space="0" w:color="auto"/>
            <w:bottom w:val="none" w:sz="0" w:space="0" w:color="auto"/>
            <w:right w:val="none" w:sz="0" w:space="0" w:color="auto"/>
          </w:divBdr>
        </w:div>
        <w:div w:id="1446733681">
          <w:marLeft w:val="0"/>
          <w:marRight w:val="0"/>
          <w:marTop w:val="0"/>
          <w:marBottom w:val="0"/>
          <w:divBdr>
            <w:top w:val="none" w:sz="0" w:space="0" w:color="auto"/>
            <w:left w:val="none" w:sz="0" w:space="0" w:color="auto"/>
            <w:bottom w:val="none" w:sz="0" w:space="0" w:color="auto"/>
            <w:right w:val="none" w:sz="0" w:space="0" w:color="auto"/>
          </w:divBdr>
        </w:div>
        <w:div w:id="215820574">
          <w:marLeft w:val="0"/>
          <w:marRight w:val="0"/>
          <w:marTop w:val="0"/>
          <w:marBottom w:val="0"/>
          <w:divBdr>
            <w:top w:val="none" w:sz="0" w:space="0" w:color="auto"/>
            <w:left w:val="none" w:sz="0" w:space="0" w:color="auto"/>
            <w:bottom w:val="none" w:sz="0" w:space="0" w:color="auto"/>
            <w:right w:val="none" w:sz="0" w:space="0" w:color="auto"/>
          </w:divBdr>
        </w:div>
        <w:div w:id="58525957">
          <w:marLeft w:val="0"/>
          <w:marRight w:val="0"/>
          <w:marTop w:val="0"/>
          <w:marBottom w:val="0"/>
          <w:divBdr>
            <w:top w:val="none" w:sz="0" w:space="0" w:color="auto"/>
            <w:left w:val="none" w:sz="0" w:space="0" w:color="auto"/>
            <w:bottom w:val="none" w:sz="0" w:space="0" w:color="auto"/>
            <w:right w:val="none" w:sz="0" w:space="0" w:color="auto"/>
          </w:divBdr>
        </w:div>
        <w:div w:id="2129546402">
          <w:marLeft w:val="0"/>
          <w:marRight w:val="0"/>
          <w:marTop w:val="0"/>
          <w:marBottom w:val="0"/>
          <w:divBdr>
            <w:top w:val="none" w:sz="0" w:space="0" w:color="auto"/>
            <w:left w:val="none" w:sz="0" w:space="0" w:color="auto"/>
            <w:bottom w:val="none" w:sz="0" w:space="0" w:color="auto"/>
            <w:right w:val="none" w:sz="0" w:space="0" w:color="auto"/>
          </w:divBdr>
        </w:div>
        <w:div w:id="222562495">
          <w:marLeft w:val="0"/>
          <w:marRight w:val="0"/>
          <w:marTop w:val="0"/>
          <w:marBottom w:val="0"/>
          <w:divBdr>
            <w:top w:val="none" w:sz="0" w:space="0" w:color="auto"/>
            <w:left w:val="none" w:sz="0" w:space="0" w:color="auto"/>
            <w:bottom w:val="none" w:sz="0" w:space="0" w:color="auto"/>
            <w:right w:val="none" w:sz="0" w:space="0" w:color="auto"/>
          </w:divBdr>
        </w:div>
        <w:div w:id="477184318">
          <w:marLeft w:val="0"/>
          <w:marRight w:val="0"/>
          <w:marTop w:val="0"/>
          <w:marBottom w:val="0"/>
          <w:divBdr>
            <w:top w:val="none" w:sz="0" w:space="0" w:color="auto"/>
            <w:left w:val="none" w:sz="0" w:space="0" w:color="auto"/>
            <w:bottom w:val="none" w:sz="0" w:space="0" w:color="auto"/>
            <w:right w:val="none" w:sz="0" w:space="0" w:color="auto"/>
          </w:divBdr>
        </w:div>
        <w:div w:id="52505274">
          <w:marLeft w:val="0"/>
          <w:marRight w:val="0"/>
          <w:marTop w:val="0"/>
          <w:marBottom w:val="0"/>
          <w:divBdr>
            <w:top w:val="none" w:sz="0" w:space="0" w:color="auto"/>
            <w:left w:val="none" w:sz="0" w:space="0" w:color="auto"/>
            <w:bottom w:val="none" w:sz="0" w:space="0" w:color="auto"/>
            <w:right w:val="none" w:sz="0" w:space="0" w:color="auto"/>
          </w:divBdr>
        </w:div>
        <w:div w:id="676419982">
          <w:marLeft w:val="0"/>
          <w:marRight w:val="0"/>
          <w:marTop w:val="0"/>
          <w:marBottom w:val="0"/>
          <w:divBdr>
            <w:top w:val="none" w:sz="0" w:space="0" w:color="auto"/>
            <w:left w:val="none" w:sz="0" w:space="0" w:color="auto"/>
            <w:bottom w:val="none" w:sz="0" w:space="0" w:color="auto"/>
            <w:right w:val="none" w:sz="0" w:space="0" w:color="auto"/>
          </w:divBdr>
        </w:div>
        <w:div w:id="1298951758">
          <w:marLeft w:val="0"/>
          <w:marRight w:val="0"/>
          <w:marTop w:val="0"/>
          <w:marBottom w:val="0"/>
          <w:divBdr>
            <w:top w:val="none" w:sz="0" w:space="0" w:color="auto"/>
            <w:left w:val="none" w:sz="0" w:space="0" w:color="auto"/>
            <w:bottom w:val="none" w:sz="0" w:space="0" w:color="auto"/>
            <w:right w:val="none" w:sz="0" w:space="0" w:color="auto"/>
          </w:divBdr>
        </w:div>
        <w:div w:id="1532301199">
          <w:marLeft w:val="0"/>
          <w:marRight w:val="0"/>
          <w:marTop w:val="0"/>
          <w:marBottom w:val="0"/>
          <w:divBdr>
            <w:top w:val="none" w:sz="0" w:space="0" w:color="auto"/>
            <w:left w:val="none" w:sz="0" w:space="0" w:color="auto"/>
            <w:bottom w:val="none" w:sz="0" w:space="0" w:color="auto"/>
            <w:right w:val="none" w:sz="0" w:space="0" w:color="auto"/>
          </w:divBdr>
        </w:div>
        <w:div w:id="1661808946">
          <w:marLeft w:val="0"/>
          <w:marRight w:val="0"/>
          <w:marTop w:val="0"/>
          <w:marBottom w:val="0"/>
          <w:divBdr>
            <w:top w:val="none" w:sz="0" w:space="0" w:color="auto"/>
            <w:left w:val="none" w:sz="0" w:space="0" w:color="auto"/>
            <w:bottom w:val="none" w:sz="0" w:space="0" w:color="auto"/>
            <w:right w:val="none" w:sz="0" w:space="0" w:color="auto"/>
          </w:divBdr>
        </w:div>
        <w:div w:id="1503355007">
          <w:marLeft w:val="0"/>
          <w:marRight w:val="0"/>
          <w:marTop w:val="0"/>
          <w:marBottom w:val="0"/>
          <w:divBdr>
            <w:top w:val="none" w:sz="0" w:space="0" w:color="auto"/>
            <w:left w:val="none" w:sz="0" w:space="0" w:color="auto"/>
            <w:bottom w:val="none" w:sz="0" w:space="0" w:color="auto"/>
            <w:right w:val="none" w:sz="0" w:space="0" w:color="auto"/>
          </w:divBdr>
        </w:div>
      </w:divsChild>
    </w:div>
    <w:div w:id="448822850">
      <w:bodyDiv w:val="1"/>
      <w:marLeft w:val="0"/>
      <w:marRight w:val="0"/>
      <w:marTop w:val="0"/>
      <w:marBottom w:val="0"/>
      <w:divBdr>
        <w:top w:val="none" w:sz="0" w:space="0" w:color="auto"/>
        <w:left w:val="none" w:sz="0" w:space="0" w:color="auto"/>
        <w:bottom w:val="none" w:sz="0" w:space="0" w:color="auto"/>
        <w:right w:val="none" w:sz="0" w:space="0" w:color="auto"/>
      </w:divBdr>
      <w:divsChild>
        <w:div w:id="1313018702">
          <w:marLeft w:val="0"/>
          <w:marRight w:val="0"/>
          <w:marTop w:val="0"/>
          <w:marBottom w:val="0"/>
          <w:divBdr>
            <w:top w:val="none" w:sz="0" w:space="0" w:color="auto"/>
            <w:left w:val="none" w:sz="0" w:space="0" w:color="auto"/>
            <w:bottom w:val="none" w:sz="0" w:space="0" w:color="auto"/>
            <w:right w:val="none" w:sz="0" w:space="0" w:color="auto"/>
          </w:divBdr>
        </w:div>
      </w:divsChild>
    </w:div>
    <w:div w:id="457719556">
      <w:bodyDiv w:val="1"/>
      <w:marLeft w:val="0"/>
      <w:marRight w:val="0"/>
      <w:marTop w:val="0"/>
      <w:marBottom w:val="0"/>
      <w:divBdr>
        <w:top w:val="none" w:sz="0" w:space="0" w:color="auto"/>
        <w:left w:val="none" w:sz="0" w:space="0" w:color="auto"/>
        <w:bottom w:val="none" w:sz="0" w:space="0" w:color="auto"/>
        <w:right w:val="none" w:sz="0" w:space="0" w:color="auto"/>
      </w:divBdr>
      <w:divsChild>
        <w:div w:id="1168910090">
          <w:marLeft w:val="0"/>
          <w:marRight w:val="0"/>
          <w:marTop w:val="240"/>
          <w:marBottom w:val="159"/>
          <w:divBdr>
            <w:top w:val="none" w:sz="0" w:space="0" w:color="auto"/>
            <w:left w:val="none" w:sz="0" w:space="0" w:color="auto"/>
            <w:bottom w:val="none" w:sz="0" w:space="0" w:color="auto"/>
            <w:right w:val="none" w:sz="0" w:space="0" w:color="auto"/>
          </w:divBdr>
        </w:div>
        <w:div w:id="1314528639">
          <w:marLeft w:val="0"/>
          <w:marRight w:val="0"/>
          <w:marTop w:val="240"/>
          <w:marBottom w:val="159"/>
          <w:divBdr>
            <w:top w:val="none" w:sz="0" w:space="0" w:color="auto"/>
            <w:left w:val="none" w:sz="0" w:space="0" w:color="auto"/>
            <w:bottom w:val="none" w:sz="0" w:space="0" w:color="auto"/>
            <w:right w:val="none" w:sz="0" w:space="0" w:color="auto"/>
          </w:divBdr>
        </w:div>
        <w:div w:id="568224636">
          <w:marLeft w:val="3416"/>
          <w:marRight w:val="0"/>
          <w:marTop w:val="240"/>
          <w:marBottom w:val="0"/>
          <w:divBdr>
            <w:top w:val="none" w:sz="0" w:space="0" w:color="auto"/>
            <w:left w:val="none" w:sz="0" w:space="0" w:color="auto"/>
            <w:bottom w:val="none" w:sz="0" w:space="0" w:color="auto"/>
            <w:right w:val="none" w:sz="0" w:space="0" w:color="auto"/>
          </w:divBdr>
        </w:div>
        <w:div w:id="270860786">
          <w:marLeft w:val="3416"/>
          <w:marRight w:val="0"/>
          <w:marTop w:val="240"/>
          <w:marBottom w:val="0"/>
          <w:divBdr>
            <w:top w:val="none" w:sz="0" w:space="0" w:color="auto"/>
            <w:left w:val="none" w:sz="0" w:space="0" w:color="auto"/>
            <w:bottom w:val="none" w:sz="0" w:space="0" w:color="auto"/>
            <w:right w:val="none" w:sz="0" w:space="0" w:color="auto"/>
          </w:divBdr>
        </w:div>
        <w:div w:id="543443453">
          <w:marLeft w:val="3416"/>
          <w:marRight w:val="0"/>
          <w:marTop w:val="240"/>
          <w:marBottom w:val="0"/>
          <w:divBdr>
            <w:top w:val="none" w:sz="0" w:space="0" w:color="auto"/>
            <w:left w:val="none" w:sz="0" w:space="0" w:color="auto"/>
            <w:bottom w:val="none" w:sz="0" w:space="0" w:color="auto"/>
            <w:right w:val="none" w:sz="0" w:space="0" w:color="auto"/>
          </w:divBdr>
        </w:div>
      </w:divsChild>
    </w:div>
    <w:div w:id="574366125">
      <w:bodyDiv w:val="1"/>
      <w:marLeft w:val="0"/>
      <w:marRight w:val="0"/>
      <w:marTop w:val="0"/>
      <w:marBottom w:val="0"/>
      <w:divBdr>
        <w:top w:val="none" w:sz="0" w:space="0" w:color="auto"/>
        <w:left w:val="none" w:sz="0" w:space="0" w:color="auto"/>
        <w:bottom w:val="none" w:sz="0" w:space="0" w:color="auto"/>
        <w:right w:val="none" w:sz="0" w:space="0" w:color="auto"/>
      </w:divBdr>
    </w:div>
    <w:div w:id="777528853">
      <w:bodyDiv w:val="1"/>
      <w:marLeft w:val="0"/>
      <w:marRight w:val="0"/>
      <w:marTop w:val="0"/>
      <w:marBottom w:val="0"/>
      <w:divBdr>
        <w:top w:val="none" w:sz="0" w:space="0" w:color="auto"/>
        <w:left w:val="none" w:sz="0" w:space="0" w:color="auto"/>
        <w:bottom w:val="none" w:sz="0" w:space="0" w:color="auto"/>
        <w:right w:val="none" w:sz="0" w:space="0" w:color="auto"/>
      </w:divBdr>
      <w:divsChild>
        <w:div w:id="498810529">
          <w:marLeft w:val="0"/>
          <w:marRight w:val="0"/>
          <w:marTop w:val="0"/>
          <w:marBottom w:val="0"/>
          <w:divBdr>
            <w:top w:val="none" w:sz="0" w:space="0" w:color="auto"/>
            <w:left w:val="none" w:sz="0" w:space="0" w:color="auto"/>
            <w:bottom w:val="none" w:sz="0" w:space="0" w:color="auto"/>
            <w:right w:val="none" w:sz="0" w:space="0" w:color="auto"/>
          </w:divBdr>
        </w:div>
      </w:divsChild>
    </w:div>
    <w:div w:id="921724495">
      <w:bodyDiv w:val="1"/>
      <w:marLeft w:val="0"/>
      <w:marRight w:val="0"/>
      <w:marTop w:val="0"/>
      <w:marBottom w:val="0"/>
      <w:divBdr>
        <w:top w:val="none" w:sz="0" w:space="0" w:color="auto"/>
        <w:left w:val="none" w:sz="0" w:space="0" w:color="auto"/>
        <w:bottom w:val="none" w:sz="0" w:space="0" w:color="auto"/>
        <w:right w:val="none" w:sz="0" w:space="0" w:color="auto"/>
      </w:divBdr>
      <w:divsChild>
        <w:div w:id="588390791">
          <w:marLeft w:val="0"/>
          <w:marRight w:val="0"/>
          <w:marTop w:val="240"/>
          <w:marBottom w:val="240"/>
          <w:divBdr>
            <w:top w:val="none" w:sz="0" w:space="0" w:color="auto"/>
            <w:left w:val="none" w:sz="0" w:space="0" w:color="auto"/>
            <w:bottom w:val="none" w:sz="0" w:space="0" w:color="auto"/>
            <w:right w:val="none" w:sz="0" w:space="0" w:color="auto"/>
          </w:divBdr>
        </w:div>
        <w:div w:id="1161043910">
          <w:marLeft w:val="0"/>
          <w:marRight w:val="0"/>
          <w:marTop w:val="240"/>
          <w:marBottom w:val="240"/>
          <w:divBdr>
            <w:top w:val="none" w:sz="0" w:space="0" w:color="auto"/>
            <w:left w:val="none" w:sz="0" w:space="0" w:color="auto"/>
            <w:bottom w:val="none" w:sz="0" w:space="0" w:color="auto"/>
            <w:right w:val="none" w:sz="0" w:space="0" w:color="auto"/>
          </w:divBdr>
        </w:div>
        <w:div w:id="193272368">
          <w:marLeft w:val="0"/>
          <w:marRight w:val="0"/>
          <w:marTop w:val="240"/>
          <w:marBottom w:val="240"/>
          <w:divBdr>
            <w:top w:val="none" w:sz="0" w:space="0" w:color="auto"/>
            <w:left w:val="none" w:sz="0" w:space="0" w:color="auto"/>
            <w:bottom w:val="none" w:sz="0" w:space="0" w:color="auto"/>
            <w:right w:val="none" w:sz="0" w:space="0" w:color="auto"/>
          </w:divBdr>
        </w:div>
        <w:div w:id="1140997452">
          <w:marLeft w:val="0"/>
          <w:marRight w:val="0"/>
          <w:marTop w:val="240"/>
          <w:marBottom w:val="240"/>
          <w:divBdr>
            <w:top w:val="none" w:sz="0" w:space="0" w:color="auto"/>
            <w:left w:val="none" w:sz="0" w:space="0" w:color="auto"/>
            <w:bottom w:val="none" w:sz="0" w:space="0" w:color="auto"/>
            <w:right w:val="none" w:sz="0" w:space="0" w:color="auto"/>
          </w:divBdr>
        </w:div>
      </w:divsChild>
    </w:div>
    <w:div w:id="936252015">
      <w:bodyDiv w:val="1"/>
      <w:marLeft w:val="0"/>
      <w:marRight w:val="0"/>
      <w:marTop w:val="0"/>
      <w:marBottom w:val="0"/>
      <w:divBdr>
        <w:top w:val="none" w:sz="0" w:space="0" w:color="auto"/>
        <w:left w:val="none" w:sz="0" w:space="0" w:color="auto"/>
        <w:bottom w:val="none" w:sz="0" w:space="0" w:color="auto"/>
        <w:right w:val="none" w:sz="0" w:space="0" w:color="auto"/>
      </w:divBdr>
      <w:divsChild>
        <w:div w:id="103623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063318">
      <w:bodyDiv w:val="1"/>
      <w:marLeft w:val="0"/>
      <w:marRight w:val="0"/>
      <w:marTop w:val="0"/>
      <w:marBottom w:val="0"/>
      <w:divBdr>
        <w:top w:val="none" w:sz="0" w:space="0" w:color="auto"/>
        <w:left w:val="none" w:sz="0" w:space="0" w:color="auto"/>
        <w:bottom w:val="none" w:sz="0" w:space="0" w:color="auto"/>
        <w:right w:val="none" w:sz="0" w:space="0" w:color="auto"/>
      </w:divBdr>
      <w:divsChild>
        <w:div w:id="1840075953">
          <w:marLeft w:val="0"/>
          <w:marRight w:val="0"/>
          <w:marTop w:val="240"/>
          <w:marBottom w:val="159"/>
          <w:divBdr>
            <w:top w:val="none" w:sz="0" w:space="0" w:color="auto"/>
            <w:left w:val="none" w:sz="0" w:space="0" w:color="auto"/>
            <w:bottom w:val="none" w:sz="0" w:space="0" w:color="auto"/>
            <w:right w:val="none" w:sz="0" w:space="0" w:color="auto"/>
          </w:divBdr>
        </w:div>
        <w:div w:id="888223504">
          <w:marLeft w:val="0"/>
          <w:marRight w:val="0"/>
          <w:marTop w:val="240"/>
          <w:marBottom w:val="159"/>
          <w:divBdr>
            <w:top w:val="none" w:sz="0" w:space="0" w:color="auto"/>
            <w:left w:val="none" w:sz="0" w:space="0" w:color="auto"/>
            <w:bottom w:val="none" w:sz="0" w:space="0" w:color="auto"/>
            <w:right w:val="none" w:sz="0" w:space="0" w:color="auto"/>
          </w:divBdr>
        </w:div>
        <w:div w:id="75439907">
          <w:marLeft w:val="3416"/>
          <w:marRight w:val="0"/>
          <w:marTop w:val="240"/>
          <w:marBottom w:val="0"/>
          <w:divBdr>
            <w:top w:val="none" w:sz="0" w:space="0" w:color="auto"/>
            <w:left w:val="none" w:sz="0" w:space="0" w:color="auto"/>
            <w:bottom w:val="none" w:sz="0" w:space="0" w:color="auto"/>
            <w:right w:val="none" w:sz="0" w:space="0" w:color="auto"/>
          </w:divBdr>
        </w:div>
        <w:div w:id="357505378">
          <w:marLeft w:val="3416"/>
          <w:marRight w:val="0"/>
          <w:marTop w:val="240"/>
          <w:marBottom w:val="0"/>
          <w:divBdr>
            <w:top w:val="none" w:sz="0" w:space="0" w:color="auto"/>
            <w:left w:val="none" w:sz="0" w:space="0" w:color="auto"/>
            <w:bottom w:val="none" w:sz="0" w:space="0" w:color="auto"/>
            <w:right w:val="none" w:sz="0" w:space="0" w:color="auto"/>
          </w:divBdr>
        </w:div>
        <w:div w:id="1597980544">
          <w:marLeft w:val="3416"/>
          <w:marRight w:val="0"/>
          <w:marTop w:val="240"/>
          <w:marBottom w:val="0"/>
          <w:divBdr>
            <w:top w:val="none" w:sz="0" w:space="0" w:color="auto"/>
            <w:left w:val="none" w:sz="0" w:space="0" w:color="auto"/>
            <w:bottom w:val="none" w:sz="0" w:space="0" w:color="auto"/>
            <w:right w:val="none" w:sz="0" w:space="0" w:color="auto"/>
          </w:divBdr>
        </w:div>
      </w:divsChild>
    </w:div>
    <w:div w:id="1150825620">
      <w:bodyDiv w:val="1"/>
      <w:marLeft w:val="0"/>
      <w:marRight w:val="0"/>
      <w:marTop w:val="0"/>
      <w:marBottom w:val="0"/>
      <w:divBdr>
        <w:top w:val="none" w:sz="0" w:space="0" w:color="auto"/>
        <w:left w:val="none" w:sz="0" w:space="0" w:color="auto"/>
        <w:bottom w:val="none" w:sz="0" w:space="0" w:color="auto"/>
        <w:right w:val="none" w:sz="0" w:space="0" w:color="auto"/>
      </w:divBdr>
    </w:div>
    <w:div w:id="1213231507">
      <w:bodyDiv w:val="1"/>
      <w:marLeft w:val="0"/>
      <w:marRight w:val="0"/>
      <w:marTop w:val="0"/>
      <w:marBottom w:val="0"/>
      <w:divBdr>
        <w:top w:val="none" w:sz="0" w:space="0" w:color="auto"/>
        <w:left w:val="none" w:sz="0" w:space="0" w:color="auto"/>
        <w:bottom w:val="none" w:sz="0" w:space="0" w:color="auto"/>
        <w:right w:val="none" w:sz="0" w:space="0" w:color="auto"/>
      </w:divBdr>
      <w:divsChild>
        <w:div w:id="1079716998">
          <w:marLeft w:val="0"/>
          <w:marRight w:val="0"/>
          <w:marTop w:val="0"/>
          <w:marBottom w:val="0"/>
          <w:divBdr>
            <w:top w:val="none" w:sz="0" w:space="0" w:color="auto"/>
            <w:left w:val="none" w:sz="0" w:space="0" w:color="auto"/>
            <w:bottom w:val="none" w:sz="0" w:space="0" w:color="auto"/>
            <w:right w:val="none" w:sz="0" w:space="0" w:color="auto"/>
          </w:divBdr>
        </w:div>
      </w:divsChild>
    </w:div>
    <w:div w:id="1247349670">
      <w:bodyDiv w:val="1"/>
      <w:marLeft w:val="0"/>
      <w:marRight w:val="0"/>
      <w:marTop w:val="0"/>
      <w:marBottom w:val="0"/>
      <w:divBdr>
        <w:top w:val="none" w:sz="0" w:space="0" w:color="auto"/>
        <w:left w:val="none" w:sz="0" w:space="0" w:color="auto"/>
        <w:bottom w:val="none" w:sz="0" w:space="0" w:color="auto"/>
        <w:right w:val="none" w:sz="0" w:space="0" w:color="auto"/>
      </w:divBdr>
    </w:div>
    <w:div w:id="1284460256">
      <w:bodyDiv w:val="1"/>
      <w:marLeft w:val="0"/>
      <w:marRight w:val="0"/>
      <w:marTop w:val="0"/>
      <w:marBottom w:val="0"/>
      <w:divBdr>
        <w:top w:val="none" w:sz="0" w:space="0" w:color="auto"/>
        <w:left w:val="none" w:sz="0" w:space="0" w:color="auto"/>
        <w:bottom w:val="none" w:sz="0" w:space="0" w:color="auto"/>
        <w:right w:val="none" w:sz="0" w:space="0" w:color="auto"/>
      </w:divBdr>
    </w:div>
    <w:div w:id="1334189444">
      <w:bodyDiv w:val="1"/>
      <w:marLeft w:val="0"/>
      <w:marRight w:val="0"/>
      <w:marTop w:val="0"/>
      <w:marBottom w:val="0"/>
      <w:divBdr>
        <w:top w:val="none" w:sz="0" w:space="0" w:color="auto"/>
        <w:left w:val="none" w:sz="0" w:space="0" w:color="auto"/>
        <w:bottom w:val="none" w:sz="0" w:space="0" w:color="auto"/>
        <w:right w:val="none" w:sz="0" w:space="0" w:color="auto"/>
      </w:divBdr>
    </w:div>
    <w:div w:id="1544977161">
      <w:bodyDiv w:val="1"/>
      <w:marLeft w:val="0"/>
      <w:marRight w:val="0"/>
      <w:marTop w:val="0"/>
      <w:marBottom w:val="0"/>
      <w:divBdr>
        <w:top w:val="none" w:sz="0" w:space="0" w:color="auto"/>
        <w:left w:val="none" w:sz="0" w:space="0" w:color="auto"/>
        <w:bottom w:val="none" w:sz="0" w:space="0" w:color="auto"/>
        <w:right w:val="none" w:sz="0" w:space="0" w:color="auto"/>
      </w:divBdr>
    </w:div>
    <w:div w:id="1725060937">
      <w:bodyDiv w:val="1"/>
      <w:marLeft w:val="0"/>
      <w:marRight w:val="0"/>
      <w:marTop w:val="0"/>
      <w:marBottom w:val="0"/>
      <w:divBdr>
        <w:top w:val="none" w:sz="0" w:space="0" w:color="auto"/>
        <w:left w:val="none" w:sz="0" w:space="0" w:color="auto"/>
        <w:bottom w:val="none" w:sz="0" w:space="0" w:color="auto"/>
        <w:right w:val="none" w:sz="0" w:space="0" w:color="auto"/>
      </w:divBdr>
    </w:div>
    <w:div w:id="1782069700">
      <w:bodyDiv w:val="1"/>
      <w:marLeft w:val="0"/>
      <w:marRight w:val="0"/>
      <w:marTop w:val="0"/>
      <w:marBottom w:val="0"/>
      <w:divBdr>
        <w:top w:val="none" w:sz="0" w:space="0" w:color="auto"/>
        <w:left w:val="none" w:sz="0" w:space="0" w:color="auto"/>
        <w:bottom w:val="none" w:sz="0" w:space="0" w:color="auto"/>
        <w:right w:val="none" w:sz="0" w:space="0" w:color="auto"/>
      </w:divBdr>
    </w:div>
    <w:div w:id="1830363084">
      <w:bodyDiv w:val="1"/>
      <w:marLeft w:val="0"/>
      <w:marRight w:val="0"/>
      <w:marTop w:val="0"/>
      <w:marBottom w:val="0"/>
      <w:divBdr>
        <w:top w:val="none" w:sz="0" w:space="0" w:color="auto"/>
        <w:left w:val="none" w:sz="0" w:space="0" w:color="auto"/>
        <w:bottom w:val="none" w:sz="0" w:space="0" w:color="auto"/>
        <w:right w:val="none" w:sz="0" w:space="0" w:color="auto"/>
      </w:divBdr>
      <w:divsChild>
        <w:div w:id="833884384">
          <w:marLeft w:val="0"/>
          <w:marRight w:val="0"/>
          <w:marTop w:val="0"/>
          <w:marBottom w:val="0"/>
          <w:divBdr>
            <w:top w:val="none" w:sz="0" w:space="0" w:color="auto"/>
            <w:left w:val="none" w:sz="0" w:space="0" w:color="auto"/>
            <w:bottom w:val="none" w:sz="0" w:space="0" w:color="auto"/>
            <w:right w:val="none" w:sz="0" w:space="0" w:color="auto"/>
          </w:divBdr>
        </w:div>
        <w:div w:id="1820998778">
          <w:marLeft w:val="0"/>
          <w:marRight w:val="0"/>
          <w:marTop w:val="0"/>
          <w:marBottom w:val="0"/>
          <w:divBdr>
            <w:top w:val="none" w:sz="0" w:space="0" w:color="auto"/>
            <w:left w:val="none" w:sz="0" w:space="0" w:color="auto"/>
            <w:bottom w:val="none" w:sz="0" w:space="0" w:color="auto"/>
            <w:right w:val="none" w:sz="0" w:space="0" w:color="auto"/>
          </w:divBdr>
        </w:div>
        <w:div w:id="632642099">
          <w:marLeft w:val="0"/>
          <w:marRight w:val="0"/>
          <w:marTop w:val="0"/>
          <w:marBottom w:val="0"/>
          <w:divBdr>
            <w:top w:val="none" w:sz="0" w:space="0" w:color="auto"/>
            <w:left w:val="none" w:sz="0" w:space="0" w:color="auto"/>
            <w:bottom w:val="none" w:sz="0" w:space="0" w:color="auto"/>
            <w:right w:val="none" w:sz="0" w:space="0" w:color="auto"/>
          </w:divBdr>
        </w:div>
        <w:div w:id="1994219120">
          <w:marLeft w:val="0"/>
          <w:marRight w:val="0"/>
          <w:marTop w:val="0"/>
          <w:marBottom w:val="0"/>
          <w:divBdr>
            <w:top w:val="none" w:sz="0" w:space="0" w:color="auto"/>
            <w:left w:val="none" w:sz="0" w:space="0" w:color="auto"/>
            <w:bottom w:val="none" w:sz="0" w:space="0" w:color="auto"/>
            <w:right w:val="none" w:sz="0" w:space="0" w:color="auto"/>
          </w:divBdr>
        </w:div>
        <w:div w:id="415857519">
          <w:marLeft w:val="0"/>
          <w:marRight w:val="0"/>
          <w:marTop w:val="0"/>
          <w:marBottom w:val="0"/>
          <w:divBdr>
            <w:top w:val="none" w:sz="0" w:space="0" w:color="auto"/>
            <w:left w:val="none" w:sz="0" w:space="0" w:color="auto"/>
            <w:bottom w:val="none" w:sz="0" w:space="0" w:color="auto"/>
            <w:right w:val="none" w:sz="0" w:space="0" w:color="auto"/>
          </w:divBdr>
        </w:div>
        <w:div w:id="93944796">
          <w:marLeft w:val="0"/>
          <w:marRight w:val="0"/>
          <w:marTop w:val="0"/>
          <w:marBottom w:val="0"/>
          <w:divBdr>
            <w:top w:val="none" w:sz="0" w:space="0" w:color="auto"/>
            <w:left w:val="none" w:sz="0" w:space="0" w:color="auto"/>
            <w:bottom w:val="none" w:sz="0" w:space="0" w:color="auto"/>
            <w:right w:val="none" w:sz="0" w:space="0" w:color="auto"/>
          </w:divBdr>
        </w:div>
        <w:div w:id="1152864599">
          <w:marLeft w:val="0"/>
          <w:marRight w:val="0"/>
          <w:marTop w:val="0"/>
          <w:marBottom w:val="0"/>
          <w:divBdr>
            <w:top w:val="none" w:sz="0" w:space="0" w:color="auto"/>
            <w:left w:val="none" w:sz="0" w:space="0" w:color="auto"/>
            <w:bottom w:val="none" w:sz="0" w:space="0" w:color="auto"/>
            <w:right w:val="none" w:sz="0" w:space="0" w:color="auto"/>
          </w:divBdr>
        </w:div>
        <w:div w:id="204800083">
          <w:marLeft w:val="0"/>
          <w:marRight w:val="0"/>
          <w:marTop w:val="0"/>
          <w:marBottom w:val="0"/>
          <w:divBdr>
            <w:top w:val="none" w:sz="0" w:space="0" w:color="auto"/>
            <w:left w:val="none" w:sz="0" w:space="0" w:color="auto"/>
            <w:bottom w:val="none" w:sz="0" w:space="0" w:color="auto"/>
            <w:right w:val="none" w:sz="0" w:space="0" w:color="auto"/>
          </w:divBdr>
        </w:div>
        <w:div w:id="136918412">
          <w:marLeft w:val="0"/>
          <w:marRight w:val="0"/>
          <w:marTop w:val="0"/>
          <w:marBottom w:val="0"/>
          <w:divBdr>
            <w:top w:val="none" w:sz="0" w:space="0" w:color="auto"/>
            <w:left w:val="none" w:sz="0" w:space="0" w:color="auto"/>
            <w:bottom w:val="none" w:sz="0" w:space="0" w:color="auto"/>
            <w:right w:val="none" w:sz="0" w:space="0" w:color="auto"/>
          </w:divBdr>
        </w:div>
        <w:div w:id="1410618183">
          <w:marLeft w:val="0"/>
          <w:marRight w:val="0"/>
          <w:marTop w:val="0"/>
          <w:marBottom w:val="0"/>
          <w:divBdr>
            <w:top w:val="none" w:sz="0" w:space="0" w:color="auto"/>
            <w:left w:val="none" w:sz="0" w:space="0" w:color="auto"/>
            <w:bottom w:val="none" w:sz="0" w:space="0" w:color="auto"/>
            <w:right w:val="none" w:sz="0" w:space="0" w:color="auto"/>
          </w:divBdr>
        </w:div>
        <w:div w:id="1928809232">
          <w:marLeft w:val="0"/>
          <w:marRight w:val="0"/>
          <w:marTop w:val="0"/>
          <w:marBottom w:val="0"/>
          <w:divBdr>
            <w:top w:val="none" w:sz="0" w:space="0" w:color="auto"/>
            <w:left w:val="none" w:sz="0" w:space="0" w:color="auto"/>
            <w:bottom w:val="none" w:sz="0" w:space="0" w:color="auto"/>
            <w:right w:val="none" w:sz="0" w:space="0" w:color="auto"/>
          </w:divBdr>
        </w:div>
        <w:div w:id="1320840606">
          <w:marLeft w:val="0"/>
          <w:marRight w:val="0"/>
          <w:marTop w:val="0"/>
          <w:marBottom w:val="0"/>
          <w:divBdr>
            <w:top w:val="none" w:sz="0" w:space="0" w:color="auto"/>
            <w:left w:val="none" w:sz="0" w:space="0" w:color="auto"/>
            <w:bottom w:val="none" w:sz="0" w:space="0" w:color="auto"/>
            <w:right w:val="none" w:sz="0" w:space="0" w:color="auto"/>
          </w:divBdr>
        </w:div>
        <w:div w:id="1568032475">
          <w:marLeft w:val="0"/>
          <w:marRight w:val="0"/>
          <w:marTop w:val="0"/>
          <w:marBottom w:val="0"/>
          <w:divBdr>
            <w:top w:val="none" w:sz="0" w:space="0" w:color="auto"/>
            <w:left w:val="none" w:sz="0" w:space="0" w:color="auto"/>
            <w:bottom w:val="none" w:sz="0" w:space="0" w:color="auto"/>
            <w:right w:val="none" w:sz="0" w:space="0" w:color="auto"/>
          </w:divBdr>
        </w:div>
        <w:div w:id="1692341808">
          <w:marLeft w:val="0"/>
          <w:marRight w:val="0"/>
          <w:marTop w:val="0"/>
          <w:marBottom w:val="0"/>
          <w:divBdr>
            <w:top w:val="none" w:sz="0" w:space="0" w:color="auto"/>
            <w:left w:val="none" w:sz="0" w:space="0" w:color="auto"/>
            <w:bottom w:val="none" w:sz="0" w:space="0" w:color="auto"/>
            <w:right w:val="none" w:sz="0" w:space="0" w:color="auto"/>
          </w:divBdr>
        </w:div>
        <w:div w:id="987824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288</TotalTime>
  <Pages>8</Pages>
  <Words>2934</Words>
  <Characters>15848</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Milena Pokosrki de Andrade</dc:creator>
  <cp:keywords/>
  <dc:description/>
  <cp:lastModifiedBy>Erica Milena Pokosrki de Andrade</cp:lastModifiedBy>
  <cp:revision>30</cp:revision>
  <dcterms:created xsi:type="dcterms:W3CDTF">2025-07-28T17:37:00Z</dcterms:created>
  <dcterms:modified xsi:type="dcterms:W3CDTF">2025-07-30T13:56:00Z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2025-07-28T17:44:40Z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fe7c13a0-b9f0-46b6-8f8a-f4c19eb68d06</vt:lpwstr>
  </property>
  <property fmtid="{D5CDD505-2E9C-101B-9397-08002B2CF9AE}" pid="7" name="MSIP_Label_defa4170-0d19-0005-0004-bc88714345d2_ActionId">
    <vt:lpwstr>d1ce6a11-049d-4d5a-9139-0baf37dda1c0</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