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4FE32" w14:textId="77777777" w:rsidR="00146072" w:rsidRDefault="00146072" w:rsidP="00705802">
      <w:pPr>
        <w:jc w:val="both"/>
        <w:rPr>
          <w:rFonts w:ascii="Arial" w:hAnsi="Arial" w:cs="Arial"/>
          <w:b/>
          <w:bCs/>
        </w:rPr>
      </w:pPr>
    </w:p>
    <w:p w14:paraId="5F5E81DA" w14:textId="73B3F1AA" w:rsidR="00146072" w:rsidRPr="000665F8" w:rsidRDefault="00146072" w:rsidP="00146072">
      <w:pPr>
        <w:spacing w:line="360" w:lineRule="auto"/>
        <w:jc w:val="center"/>
        <w:rPr>
          <w:b/>
          <w:shd w:val="clear" w:color="auto" w:fill="FFFFFF"/>
        </w:rPr>
      </w:pPr>
      <w:r w:rsidRPr="000665F8">
        <w:rPr>
          <w:b/>
          <w:shd w:val="clear" w:color="auto" w:fill="FFFFFF"/>
        </w:rPr>
        <w:t>PREGÃO ELETRÔNICO Nº 00</w:t>
      </w:r>
      <w:r>
        <w:rPr>
          <w:b/>
          <w:shd w:val="clear" w:color="auto" w:fill="FFFFFF"/>
        </w:rPr>
        <w:t>20</w:t>
      </w:r>
      <w:r w:rsidRPr="000665F8">
        <w:rPr>
          <w:b/>
          <w:shd w:val="clear" w:color="auto" w:fill="FFFFFF"/>
        </w:rPr>
        <w:t>/2025</w:t>
      </w:r>
    </w:p>
    <w:p w14:paraId="6F8CB3A4" w14:textId="0BD5D857" w:rsidR="00146072" w:rsidRPr="00146072" w:rsidRDefault="00146072" w:rsidP="00146072">
      <w:pPr>
        <w:spacing w:before="75" w:after="75"/>
        <w:jc w:val="center"/>
        <w:rPr>
          <w:rFonts w:ascii="Verdana" w:eastAsia="Times New Roman" w:hAnsi="Verdana" w:cs="Times New Roman"/>
          <w:color w:val="1E241A"/>
          <w:kern w:val="0"/>
          <w:sz w:val="15"/>
          <w:szCs w:val="15"/>
          <w:lang w:eastAsia="pt-BR"/>
          <w14:ligatures w14:val="none"/>
        </w:rPr>
      </w:pPr>
      <w:r w:rsidRPr="000665F8">
        <w:rPr>
          <w:b/>
          <w:shd w:val="clear" w:color="auto" w:fill="FFFFFF"/>
        </w:rPr>
        <w:t xml:space="preserve">PROCESSO </w:t>
      </w:r>
      <w:r w:rsidRPr="00146072">
        <w:rPr>
          <w:rFonts w:ascii="Arial" w:eastAsia="Times New Roman" w:hAnsi="Arial" w:cs="Arial"/>
          <w:b/>
          <w:bCs/>
          <w:color w:val="1E241A"/>
          <w:kern w:val="0"/>
          <w:lang w:eastAsia="pt-BR"/>
          <w14:ligatures w14:val="none"/>
        </w:rPr>
        <w:t>25/9301-0000843-2</w:t>
      </w:r>
    </w:p>
    <w:p w14:paraId="258B997D" w14:textId="77777777" w:rsidR="00146072" w:rsidRPr="000665F8" w:rsidRDefault="00146072" w:rsidP="00146072">
      <w:pPr>
        <w:spacing w:line="360" w:lineRule="auto"/>
        <w:jc w:val="center"/>
        <w:rPr>
          <w:b/>
          <w:shd w:val="clear" w:color="auto" w:fill="FFFFFF"/>
        </w:rPr>
      </w:pPr>
    </w:p>
    <w:p w14:paraId="778C2633" w14:textId="6D820E51" w:rsidR="00146072" w:rsidRPr="007E5768" w:rsidRDefault="00146072" w:rsidP="00146072">
      <w:pPr>
        <w:spacing w:before="75" w:after="75" w:line="240" w:lineRule="auto"/>
        <w:jc w:val="center"/>
        <w:rPr>
          <w:rFonts w:ascii="Verdana" w:eastAsia="Times New Roman" w:hAnsi="Verdana" w:cs="Times New Roman"/>
          <w:b/>
          <w:bCs/>
          <w:color w:val="EE0000"/>
          <w:sz w:val="16"/>
          <w:szCs w:val="16"/>
        </w:rPr>
      </w:pPr>
      <w:r w:rsidRPr="007E5768">
        <w:rPr>
          <w:rFonts w:eastAsia="Times New Roman"/>
          <w:b/>
          <w:bCs/>
          <w:color w:val="EE0000"/>
          <w:u w:val="single"/>
          <w:shd w:val="clear" w:color="auto" w:fill="FFFFFF"/>
        </w:rPr>
        <w:t>ESCLARECIMENTO – PROTOCOLO</w:t>
      </w:r>
      <w:r>
        <w:rPr>
          <w:rFonts w:eastAsia="Times New Roman"/>
          <w:b/>
          <w:bCs/>
          <w:color w:val="EE0000"/>
          <w:u w:val="single"/>
          <w:shd w:val="clear" w:color="auto" w:fill="FFFFFF"/>
        </w:rPr>
        <w:t xml:space="preserve"> 27</w:t>
      </w:r>
      <w:r w:rsidR="00706B53">
        <w:rPr>
          <w:rFonts w:eastAsia="Times New Roman"/>
          <w:b/>
          <w:bCs/>
          <w:color w:val="EE0000"/>
          <w:u w:val="single"/>
          <w:shd w:val="clear" w:color="auto" w:fill="FFFFFF"/>
        </w:rPr>
        <w:t>450</w:t>
      </w:r>
      <w:r w:rsidRPr="007E5768">
        <w:rPr>
          <w:rFonts w:ascii="Verdana" w:eastAsia="Times New Roman" w:hAnsi="Verdana" w:cs="Times New Roman"/>
          <w:b/>
          <w:bCs/>
          <w:color w:val="EE0000"/>
          <w:sz w:val="16"/>
          <w:szCs w:val="16"/>
        </w:rPr>
        <w:br/>
      </w:r>
    </w:p>
    <w:p w14:paraId="23BB3149" w14:textId="77777777" w:rsidR="00146072" w:rsidRPr="00705802" w:rsidRDefault="00146072" w:rsidP="00705802">
      <w:pPr>
        <w:jc w:val="both"/>
        <w:rPr>
          <w:rFonts w:ascii="Arial" w:hAnsi="Arial" w:cs="Arial"/>
          <w:b/>
          <w:bCs/>
        </w:rPr>
      </w:pPr>
    </w:p>
    <w:p w14:paraId="39F4DBCF" w14:textId="082EC963" w:rsidR="008D6ECB" w:rsidRDefault="008D6ECB" w:rsidP="00705802">
      <w:pPr>
        <w:jc w:val="both"/>
        <w:rPr>
          <w:rFonts w:ascii="Arial" w:hAnsi="Arial" w:cs="Arial"/>
          <w:b/>
          <w:bCs/>
        </w:rPr>
      </w:pPr>
      <w:r w:rsidRPr="00705802">
        <w:rPr>
          <w:rFonts w:ascii="Arial" w:hAnsi="Arial" w:cs="Arial"/>
          <w:b/>
          <w:bCs/>
        </w:rPr>
        <w:t xml:space="preserve">1 - </w:t>
      </w:r>
      <w:r w:rsidR="00706B53" w:rsidRPr="00706B53">
        <w:rPr>
          <w:rFonts w:ascii="Arial" w:hAnsi="Arial" w:cs="Arial"/>
          <w:b/>
          <w:bCs/>
        </w:rPr>
        <w:t>Em análise ao edital, não localizamos qualquer menção expressa quanto ao fornecimento de notebooks para a prestação dos serviços. Diante disso, solicitamos o seguinte esclarecimento: A responsabilidade pelo fornecimento dos notebooks a serem utilizados na execução dos serviços será da contratada ou da contratante? O valor de R$ 30.000,00, por se tratar de montante reservado pela contratante para eventual aquisição de peças sob demanda, não deverá compor a proposta comercial das licitantes nem ser objeto de disputa na fase de lances. Está correto?</w:t>
      </w:r>
    </w:p>
    <w:p w14:paraId="4887E647" w14:textId="77777777" w:rsidR="00AB589E" w:rsidRPr="00705802" w:rsidRDefault="00AB589E" w:rsidP="00705802">
      <w:pPr>
        <w:jc w:val="both"/>
        <w:rPr>
          <w:rFonts w:ascii="Arial" w:hAnsi="Arial" w:cs="Arial"/>
          <w:b/>
          <w:bCs/>
        </w:rPr>
      </w:pPr>
    </w:p>
    <w:p w14:paraId="44661A6A" w14:textId="3D219B5C" w:rsidR="00705802" w:rsidRDefault="002B687E" w:rsidP="00705802">
      <w:pPr>
        <w:jc w:val="both"/>
        <w:rPr>
          <w:rFonts w:ascii="Arial" w:hAnsi="Arial" w:cs="Arial"/>
          <w:color w:val="EE0000"/>
        </w:rPr>
      </w:pPr>
      <w:r w:rsidRPr="002B687E">
        <w:rPr>
          <w:rFonts w:ascii="Arial" w:hAnsi="Arial" w:cs="Arial"/>
          <w:b/>
          <w:bCs/>
          <w:color w:val="EE0000"/>
        </w:rPr>
        <w:t>RESPOSTA TÉCNICA:</w:t>
      </w:r>
      <w:r w:rsidRPr="002B687E">
        <w:rPr>
          <w:rFonts w:ascii="Arial" w:hAnsi="Arial" w:cs="Arial"/>
          <w:color w:val="EE0000"/>
        </w:rPr>
        <w:t xml:space="preserve"> </w:t>
      </w:r>
      <w:r w:rsidR="00AB589E" w:rsidRPr="00AB589E">
        <w:rPr>
          <w:rFonts w:ascii="Arial" w:hAnsi="Arial" w:cs="Arial"/>
          <w:color w:val="EE0000"/>
        </w:rPr>
        <w:t>Não há no edital previsão de fornecimento de notebooks para a execução do serviço. Há, sim, indicação expressa de que a Contratada deverá fornecer a estrutura mínima da equipe (Tabela II) — e que a proposta deve englobar os custos necessários à execução (item 7.4). Portanto, a responsabilidade pelo fornecimento dos equipamentos necessários (como notebooks) recai, por regra aplicável, sobre a contratada</w:t>
      </w:r>
      <w:r w:rsidR="00AB589E">
        <w:rPr>
          <w:rFonts w:ascii="Arial" w:hAnsi="Arial" w:cs="Arial"/>
          <w:color w:val="EE0000"/>
        </w:rPr>
        <w:t>.</w:t>
      </w:r>
    </w:p>
    <w:p w14:paraId="5A5AB66F" w14:textId="0019E212" w:rsidR="00AB589E" w:rsidRDefault="00AB589E" w:rsidP="00705802">
      <w:pPr>
        <w:jc w:val="both"/>
        <w:rPr>
          <w:rFonts w:ascii="Arial" w:hAnsi="Arial" w:cs="Arial"/>
          <w:color w:val="EE0000"/>
        </w:rPr>
      </w:pPr>
      <w:r w:rsidRPr="00AB589E">
        <w:rPr>
          <w:rFonts w:ascii="Arial" w:hAnsi="Arial" w:cs="Arial"/>
          <w:color w:val="EE0000"/>
        </w:rPr>
        <w:t>O próprio TR declara que R$ 30.000,00 é um montante do orçamento da contratante (reserva da Administração) para eventual aquisição de peças sob demanda, então esse montante não deve compor a proposta das licitantes — porque não é custo que a licitante deve suportar no preço do serviço; trata-se de dotação/orçamento disponibilizada pela Administração para aquisição pontual</w:t>
      </w:r>
      <w:r>
        <w:rPr>
          <w:rFonts w:ascii="Arial" w:hAnsi="Arial" w:cs="Arial"/>
          <w:color w:val="EE0000"/>
        </w:rPr>
        <w:t>.</w:t>
      </w:r>
    </w:p>
    <w:p w14:paraId="28230ED6" w14:textId="77777777" w:rsidR="00706B53" w:rsidRDefault="00706B53" w:rsidP="00705802">
      <w:pPr>
        <w:jc w:val="both"/>
        <w:rPr>
          <w:rFonts w:ascii="Arial" w:hAnsi="Arial" w:cs="Arial"/>
          <w:color w:val="EE0000"/>
        </w:rPr>
      </w:pPr>
    </w:p>
    <w:p w14:paraId="673B417F" w14:textId="08E33695" w:rsidR="00706B53" w:rsidRDefault="00706B53" w:rsidP="00706B53">
      <w:pPr>
        <w:jc w:val="center"/>
        <w:rPr>
          <w:rFonts w:eastAsia="Times New Roman"/>
          <w:b/>
          <w:bCs/>
          <w:color w:val="EE0000"/>
          <w:u w:val="single"/>
          <w:shd w:val="clear" w:color="auto" w:fill="FFFFFF"/>
        </w:rPr>
      </w:pPr>
      <w:r w:rsidRPr="007E5768">
        <w:rPr>
          <w:rFonts w:eastAsia="Times New Roman"/>
          <w:b/>
          <w:bCs/>
          <w:color w:val="EE0000"/>
          <w:u w:val="single"/>
          <w:shd w:val="clear" w:color="auto" w:fill="FFFFFF"/>
        </w:rPr>
        <w:t>ESCLARECIMENTO – PROTOCOLO</w:t>
      </w:r>
      <w:r>
        <w:rPr>
          <w:rFonts w:eastAsia="Times New Roman"/>
          <w:b/>
          <w:bCs/>
          <w:color w:val="EE0000"/>
          <w:u w:val="single"/>
          <w:shd w:val="clear" w:color="auto" w:fill="FFFFFF"/>
        </w:rPr>
        <w:t xml:space="preserve"> 27451</w:t>
      </w:r>
    </w:p>
    <w:p w14:paraId="2E029348" w14:textId="77777777" w:rsidR="00706B53" w:rsidRPr="0064023F" w:rsidRDefault="00706B53" w:rsidP="00706B53">
      <w:pPr>
        <w:jc w:val="center"/>
        <w:rPr>
          <w:rFonts w:ascii="Arial" w:hAnsi="Arial" w:cs="Arial"/>
          <w:color w:val="EE0000"/>
        </w:rPr>
      </w:pPr>
    </w:p>
    <w:p w14:paraId="214F869E" w14:textId="606FEC6C" w:rsidR="008D6ECB" w:rsidRDefault="008D6ECB" w:rsidP="00705802">
      <w:pPr>
        <w:jc w:val="both"/>
        <w:rPr>
          <w:rFonts w:ascii="Arial" w:hAnsi="Arial" w:cs="Arial"/>
          <w:b/>
          <w:bCs/>
        </w:rPr>
      </w:pPr>
      <w:r w:rsidRPr="00705802">
        <w:rPr>
          <w:rFonts w:ascii="Arial" w:hAnsi="Arial" w:cs="Arial"/>
          <w:b/>
          <w:bCs/>
        </w:rPr>
        <w:t xml:space="preserve">2 - </w:t>
      </w:r>
      <w:r w:rsidR="00706B53" w:rsidRPr="00706B53">
        <w:rPr>
          <w:rFonts w:ascii="Arial" w:hAnsi="Arial" w:cs="Arial"/>
          <w:b/>
          <w:bCs/>
        </w:rPr>
        <w:t>Qual será o horário de funcionamento do órgão contratante e, consequentemente, o horário regular de atuação dos profissionais alocados? Está correta a interpretação de que a empresa contratada deverá manter colaborador de plantão, em regime de sobreaviso, para atendimento a chamados fora do horário de expediente, sempre que solicitado pela contratante?</w:t>
      </w:r>
    </w:p>
    <w:p w14:paraId="53174039" w14:textId="77777777" w:rsidR="00AB589E" w:rsidRDefault="00AB589E" w:rsidP="00705802">
      <w:pPr>
        <w:jc w:val="both"/>
        <w:rPr>
          <w:rFonts w:ascii="Arial" w:hAnsi="Arial" w:cs="Arial"/>
          <w:b/>
          <w:bCs/>
        </w:rPr>
      </w:pPr>
    </w:p>
    <w:p w14:paraId="51C86B7F" w14:textId="77777777" w:rsidR="00AB589E" w:rsidRPr="00705802" w:rsidRDefault="00AB589E" w:rsidP="00705802">
      <w:pPr>
        <w:jc w:val="both"/>
        <w:rPr>
          <w:rFonts w:ascii="Arial" w:hAnsi="Arial" w:cs="Arial"/>
          <w:b/>
          <w:bCs/>
        </w:rPr>
      </w:pPr>
    </w:p>
    <w:p w14:paraId="5328E4C5" w14:textId="0248AB7E" w:rsidR="0064023F" w:rsidRDefault="00650B5B" w:rsidP="00706B53">
      <w:pPr>
        <w:jc w:val="both"/>
        <w:rPr>
          <w:rFonts w:ascii="Arial" w:hAnsi="Arial" w:cs="Arial"/>
          <w:color w:val="EE0000"/>
        </w:rPr>
      </w:pPr>
      <w:r w:rsidRPr="002B687E">
        <w:rPr>
          <w:rFonts w:ascii="Arial" w:hAnsi="Arial" w:cs="Arial"/>
          <w:b/>
          <w:bCs/>
          <w:color w:val="EE0000"/>
        </w:rPr>
        <w:t>RESPOSTA TÉCNICA:</w:t>
      </w:r>
      <w:r w:rsidRPr="002B687E">
        <w:rPr>
          <w:rFonts w:ascii="Arial" w:hAnsi="Arial" w:cs="Arial"/>
          <w:color w:val="EE0000"/>
        </w:rPr>
        <w:t xml:space="preserve"> </w:t>
      </w:r>
      <w:r w:rsidR="00AB589E" w:rsidRPr="00AB589E">
        <w:rPr>
          <w:rFonts w:ascii="Arial" w:hAnsi="Arial" w:cs="Arial"/>
          <w:color w:val="EE0000"/>
        </w:rPr>
        <w:t xml:space="preserve">O Edital não fixa um horário oficial de expediente, porém o TR determina que os serviços sejam prestados “nos horários e condições de funcionamento da Contratante”. Além disso, há a previsão de Service Desk 24x7x365 e exige, para o plantão, a disponibilização mínima de pessoal por unidade. A contratada deverá manter regime de atendimento fora do expediente, porque o Termo de Referência exige plantão/Service Desk 24x7. Seguindo o horário administrativo da Portos de Segunda a sexta das 8h </w:t>
      </w:r>
      <w:proofErr w:type="spellStart"/>
      <w:proofErr w:type="gramStart"/>
      <w:r w:rsidR="00AB589E" w:rsidRPr="00AB589E">
        <w:rPr>
          <w:rFonts w:ascii="Arial" w:hAnsi="Arial" w:cs="Arial"/>
          <w:color w:val="EE0000"/>
        </w:rPr>
        <w:t>as</w:t>
      </w:r>
      <w:proofErr w:type="spellEnd"/>
      <w:proofErr w:type="gramEnd"/>
      <w:r w:rsidR="00AB589E" w:rsidRPr="00AB589E">
        <w:rPr>
          <w:rFonts w:ascii="Arial" w:hAnsi="Arial" w:cs="Arial"/>
          <w:color w:val="EE0000"/>
        </w:rPr>
        <w:t xml:space="preserve"> 17hs presencial e nos demais </w:t>
      </w:r>
      <w:proofErr w:type="gramStart"/>
      <w:r w:rsidR="00AB589E" w:rsidRPr="00AB589E">
        <w:rPr>
          <w:rFonts w:ascii="Arial" w:hAnsi="Arial" w:cs="Arial"/>
          <w:color w:val="EE0000"/>
        </w:rPr>
        <w:t>dias e horários sobreaviso</w:t>
      </w:r>
      <w:proofErr w:type="gramEnd"/>
      <w:r w:rsidR="00AB589E" w:rsidRPr="00AB589E">
        <w:rPr>
          <w:rFonts w:ascii="Arial" w:hAnsi="Arial" w:cs="Arial"/>
          <w:color w:val="EE0000"/>
        </w:rPr>
        <w:t>.</w:t>
      </w:r>
    </w:p>
    <w:p w14:paraId="13B5415B" w14:textId="77777777" w:rsidR="00706B53" w:rsidRDefault="00706B53" w:rsidP="00706B53">
      <w:pPr>
        <w:jc w:val="both"/>
        <w:rPr>
          <w:rFonts w:ascii="Arial" w:hAnsi="Arial" w:cs="Arial"/>
          <w:color w:val="EE0000"/>
        </w:rPr>
      </w:pPr>
    </w:p>
    <w:p w14:paraId="09C56BE0" w14:textId="4F1F46DD" w:rsidR="00706B53" w:rsidRDefault="00706B53" w:rsidP="00706B53">
      <w:pPr>
        <w:jc w:val="center"/>
        <w:rPr>
          <w:rFonts w:eastAsia="Times New Roman"/>
          <w:b/>
          <w:bCs/>
          <w:color w:val="EE0000"/>
          <w:u w:val="single"/>
          <w:shd w:val="clear" w:color="auto" w:fill="FFFFFF"/>
        </w:rPr>
      </w:pPr>
      <w:r w:rsidRPr="007E5768">
        <w:rPr>
          <w:rFonts w:eastAsia="Times New Roman"/>
          <w:b/>
          <w:bCs/>
          <w:color w:val="EE0000"/>
          <w:u w:val="single"/>
          <w:shd w:val="clear" w:color="auto" w:fill="FFFFFF"/>
        </w:rPr>
        <w:t>ESCLARECIMENTO – PROTOCOLO</w:t>
      </w:r>
      <w:r>
        <w:rPr>
          <w:rFonts w:eastAsia="Times New Roman"/>
          <w:b/>
          <w:bCs/>
          <w:color w:val="EE0000"/>
          <w:u w:val="single"/>
          <w:shd w:val="clear" w:color="auto" w:fill="FFFFFF"/>
        </w:rPr>
        <w:t xml:space="preserve"> 27458</w:t>
      </w:r>
    </w:p>
    <w:p w14:paraId="287E2104" w14:textId="77777777" w:rsidR="00706B53" w:rsidRPr="0064023F" w:rsidRDefault="00706B53" w:rsidP="00706B53">
      <w:pPr>
        <w:jc w:val="both"/>
        <w:rPr>
          <w:rFonts w:ascii="Arial" w:hAnsi="Arial" w:cs="Arial"/>
          <w:color w:val="EE0000"/>
        </w:rPr>
      </w:pPr>
    </w:p>
    <w:p w14:paraId="24DA5003" w14:textId="33ED6CE3" w:rsidR="00706B53" w:rsidRDefault="008D6ECB" w:rsidP="00705802">
      <w:pPr>
        <w:jc w:val="both"/>
        <w:rPr>
          <w:rFonts w:ascii="Arial" w:hAnsi="Arial" w:cs="Arial"/>
          <w:b/>
          <w:bCs/>
        </w:rPr>
      </w:pPr>
      <w:r w:rsidRPr="00705802">
        <w:rPr>
          <w:rFonts w:ascii="Arial" w:hAnsi="Arial" w:cs="Arial"/>
          <w:b/>
          <w:bCs/>
        </w:rPr>
        <w:t xml:space="preserve"> </w:t>
      </w:r>
      <w:r w:rsidR="00706B53" w:rsidRPr="00706B53">
        <w:rPr>
          <w:rFonts w:ascii="Arial" w:hAnsi="Arial" w:cs="Arial"/>
          <w:b/>
          <w:bCs/>
        </w:rPr>
        <w:t xml:space="preserve">Prezados(as), </w:t>
      </w:r>
    </w:p>
    <w:p w14:paraId="3486AAFB" w14:textId="77777777" w:rsidR="00706B53" w:rsidRDefault="00706B53" w:rsidP="00705802">
      <w:pPr>
        <w:jc w:val="both"/>
        <w:rPr>
          <w:rFonts w:ascii="Arial" w:hAnsi="Arial" w:cs="Arial"/>
          <w:b/>
          <w:bCs/>
        </w:rPr>
      </w:pPr>
      <w:r w:rsidRPr="00706B53">
        <w:rPr>
          <w:rFonts w:ascii="Arial" w:hAnsi="Arial" w:cs="Arial"/>
          <w:b/>
          <w:bCs/>
        </w:rPr>
        <w:t xml:space="preserve">Ao analisarmos as condições de participação insculpidas no instrumento convocatório em questão, solicitamos esclarecimentos quanto ao que segue: </w:t>
      </w:r>
    </w:p>
    <w:p w14:paraId="0F19D7F7" w14:textId="77777777" w:rsidR="00706B53" w:rsidRDefault="00706B53" w:rsidP="00705802">
      <w:pPr>
        <w:jc w:val="both"/>
        <w:rPr>
          <w:rFonts w:ascii="Arial" w:hAnsi="Arial" w:cs="Arial"/>
          <w:b/>
          <w:bCs/>
        </w:rPr>
      </w:pPr>
      <w:r w:rsidRPr="00706B53">
        <w:rPr>
          <w:rFonts w:ascii="Arial" w:hAnsi="Arial" w:cs="Arial"/>
          <w:b/>
          <w:bCs/>
        </w:rPr>
        <w:t xml:space="preserve">1- O edital em seu item 13.6. Documentos Relativos à Qualificação Econômico-Financeira, </w:t>
      </w:r>
      <w:proofErr w:type="gramStart"/>
      <w:r w:rsidRPr="00706B53">
        <w:rPr>
          <w:rFonts w:ascii="Arial" w:hAnsi="Arial" w:cs="Arial"/>
          <w:b/>
          <w:bCs/>
        </w:rPr>
        <w:t>sub item</w:t>
      </w:r>
      <w:proofErr w:type="gramEnd"/>
      <w:r w:rsidRPr="00706B53">
        <w:rPr>
          <w:rFonts w:ascii="Arial" w:hAnsi="Arial" w:cs="Arial"/>
          <w:b/>
          <w:bCs/>
        </w:rPr>
        <w:t xml:space="preserve"> 13.6.2. traz a exigência de apresentação do balanço patrimonial e demonstração de resultado de exercício dos dois últimos exercícios sociais, comprovando, em relação ao último exercício social, índices de liquidez geral - ILG, de solvência geral - ISG, e de liquidez corrente - ILC, superiores a 1 (um); </w:t>
      </w:r>
    </w:p>
    <w:p w14:paraId="576F2359" w14:textId="77777777" w:rsidR="00706B53" w:rsidRDefault="00706B53" w:rsidP="00705802">
      <w:pPr>
        <w:jc w:val="both"/>
        <w:rPr>
          <w:rFonts w:ascii="Arial" w:hAnsi="Arial" w:cs="Arial"/>
          <w:b/>
          <w:bCs/>
        </w:rPr>
      </w:pPr>
      <w:r w:rsidRPr="00706B53">
        <w:rPr>
          <w:rFonts w:ascii="Arial" w:hAnsi="Arial" w:cs="Arial"/>
          <w:b/>
          <w:bCs/>
        </w:rPr>
        <w:t xml:space="preserve">PERGUNTA 1: A empresa licitante, cujos últimos exercícios sociais, ou seja, em que a empresa esteve ativa, foram nos anos de 2017 e 2018, poderá apresentar como atendimento ao exigido no item 13.6, sub item 13.6.2 os respectivos balanços patrimoniais dos exercícios 2017 e 2018, acompanhados das respectivas declarações de inatividade apresentadas a Receita Federal do Brasil nos anos de 2019, 2020, 2021, 2022, 2023 e 2024, comprovando que nos respectivos exercícios contábeis a empresa esteve inativa, ou mesmo sem movimentação contábil nos últimos 2 exercícios ( 2023 e 2024 ) a empresa deve apresentar os respectivos balanços devidamente registrados ? </w:t>
      </w:r>
    </w:p>
    <w:p w14:paraId="2B411C5C" w14:textId="77777777" w:rsidR="00EE3ECA" w:rsidRDefault="00706B53" w:rsidP="002E4890">
      <w:pPr>
        <w:jc w:val="both"/>
        <w:rPr>
          <w:color w:val="EE0000"/>
        </w:rPr>
      </w:pPr>
      <w:r w:rsidRPr="00706B53">
        <w:rPr>
          <w:rFonts w:ascii="Arial" w:hAnsi="Arial" w:cs="Arial"/>
          <w:b/>
          <w:bCs/>
          <w:color w:val="EE0000"/>
        </w:rPr>
        <w:t>RESPOSTA:</w:t>
      </w:r>
      <w:r w:rsidRPr="006B2A84">
        <w:rPr>
          <w:rFonts w:ascii="Arial" w:hAnsi="Arial" w:cs="Arial"/>
          <w:color w:val="EE0000"/>
        </w:rPr>
        <w:t xml:space="preserve"> </w:t>
      </w:r>
      <w:r w:rsidR="00925D52" w:rsidRPr="00925D52">
        <w:rPr>
          <w:rFonts w:ascii="Arial" w:hAnsi="Arial" w:cs="Arial"/>
          <w:color w:val="EE0000"/>
        </w:rPr>
        <w:t>Conforme parecer jurídico, é possível aceitar o balanço de abertura nos casos em que a empresa esteve inativa, por analogia à situação de empresas recém-constituídas</w:t>
      </w:r>
      <w:r w:rsidR="00925D52" w:rsidRPr="00925D52">
        <w:rPr>
          <w:rFonts w:ascii="Arial" w:hAnsi="Arial" w:cs="Arial"/>
          <w:color w:val="EE0000"/>
        </w:rPr>
        <w:t>.</w:t>
      </w:r>
      <w:r w:rsidR="00925D52" w:rsidRPr="00925D52">
        <w:rPr>
          <w:color w:val="EE0000"/>
        </w:rPr>
        <w:t xml:space="preserve"> </w:t>
      </w:r>
    </w:p>
    <w:p w14:paraId="35ADA052" w14:textId="6C08D3C2" w:rsidR="002E4890" w:rsidRPr="002E4890" w:rsidRDefault="00925D52" w:rsidP="002E4890">
      <w:pPr>
        <w:jc w:val="both"/>
        <w:rPr>
          <w:rFonts w:ascii="Arial" w:hAnsi="Arial" w:cs="Arial"/>
          <w:color w:val="EE0000"/>
        </w:rPr>
      </w:pPr>
      <w:r>
        <w:rPr>
          <w:rFonts w:ascii="Arial" w:hAnsi="Arial" w:cs="Arial"/>
          <w:color w:val="EE0000"/>
        </w:rPr>
        <w:t>Porém</w:t>
      </w:r>
      <w:r w:rsidR="002E4890" w:rsidRPr="002E4890">
        <w:rPr>
          <w:rFonts w:ascii="Arial" w:hAnsi="Arial" w:cs="Arial"/>
          <w:color w:val="EE0000"/>
        </w:rPr>
        <w:t xml:space="preserve">, para </w:t>
      </w:r>
      <w:r w:rsidR="002E4890" w:rsidRPr="002E4890">
        <w:rPr>
          <w:rFonts w:ascii="Arial" w:hAnsi="Arial" w:cs="Arial"/>
          <w:b/>
          <w:bCs/>
          <w:color w:val="EE0000"/>
          <w:u w:val="single"/>
        </w:rPr>
        <w:t>atender à exigência editalícia</w:t>
      </w:r>
      <w:r w:rsidR="002E4890" w:rsidRPr="002E4890">
        <w:rPr>
          <w:rFonts w:ascii="Arial" w:hAnsi="Arial" w:cs="Arial"/>
          <w:color w:val="EE0000"/>
        </w:rPr>
        <w:t xml:space="preserve"> e </w:t>
      </w:r>
      <w:r w:rsidR="002E4890" w:rsidRPr="002E4890">
        <w:rPr>
          <w:rFonts w:ascii="Arial" w:hAnsi="Arial" w:cs="Arial"/>
          <w:b/>
          <w:bCs/>
          <w:color w:val="EE0000"/>
          <w:u w:val="single"/>
        </w:rPr>
        <w:t>permitir a apuração dos índices</w:t>
      </w:r>
      <w:r w:rsidR="002E4890" w:rsidRPr="002E4890">
        <w:rPr>
          <w:rFonts w:ascii="Arial" w:hAnsi="Arial" w:cs="Arial"/>
          <w:color w:val="EE0000"/>
        </w:rPr>
        <w:t xml:space="preserve">, deverão ser apresentados o </w:t>
      </w:r>
      <w:r>
        <w:rPr>
          <w:rFonts w:ascii="Arial" w:hAnsi="Arial" w:cs="Arial"/>
          <w:color w:val="EE0000"/>
        </w:rPr>
        <w:t>B</w:t>
      </w:r>
      <w:r w:rsidR="002E4890" w:rsidRPr="002E4890">
        <w:rPr>
          <w:rFonts w:ascii="Arial" w:hAnsi="Arial" w:cs="Arial"/>
          <w:color w:val="EE0000"/>
        </w:rPr>
        <w:t xml:space="preserve">alanço </w:t>
      </w:r>
      <w:r>
        <w:rPr>
          <w:rFonts w:ascii="Arial" w:hAnsi="Arial" w:cs="Arial"/>
          <w:color w:val="EE0000"/>
        </w:rPr>
        <w:t>P</w:t>
      </w:r>
      <w:r w:rsidR="002E4890" w:rsidRPr="002E4890">
        <w:rPr>
          <w:rFonts w:ascii="Arial" w:hAnsi="Arial" w:cs="Arial"/>
          <w:color w:val="EE0000"/>
        </w:rPr>
        <w:t xml:space="preserve">atrimonial e a </w:t>
      </w:r>
      <w:r>
        <w:rPr>
          <w:rFonts w:ascii="Arial" w:hAnsi="Arial" w:cs="Arial"/>
          <w:color w:val="EE0000"/>
        </w:rPr>
        <w:t>D</w:t>
      </w:r>
      <w:r w:rsidR="002E4890" w:rsidRPr="002E4890">
        <w:rPr>
          <w:rFonts w:ascii="Arial" w:hAnsi="Arial" w:cs="Arial"/>
          <w:color w:val="EE0000"/>
        </w:rPr>
        <w:t xml:space="preserve">emonstração do </w:t>
      </w:r>
      <w:r>
        <w:rPr>
          <w:rFonts w:ascii="Arial" w:hAnsi="Arial" w:cs="Arial"/>
          <w:color w:val="EE0000"/>
        </w:rPr>
        <w:t>R</w:t>
      </w:r>
      <w:r w:rsidR="002E4890" w:rsidRPr="002E4890">
        <w:rPr>
          <w:rFonts w:ascii="Arial" w:hAnsi="Arial" w:cs="Arial"/>
          <w:color w:val="EE0000"/>
        </w:rPr>
        <w:t xml:space="preserve">esultado do </w:t>
      </w:r>
      <w:r>
        <w:rPr>
          <w:rFonts w:ascii="Arial" w:hAnsi="Arial" w:cs="Arial"/>
          <w:color w:val="EE0000"/>
        </w:rPr>
        <w:t>E</w:t>
      </w:r>
      <w:r w:rsidR="002E4890" w:rsidRPr="002E4890">
        <w:rPr>
          <w:rFonts w:ascii="Arial" w:hAnsi="Arial" w:cs="Arial"/>
          <w:color w:val="EE0000"/>
        </w:rPr>
        <w:t>xercício referentes aos anos de 2023 e 2024</w:t>
      </w:r>
      <w:r w:rsidR="00EE3ECA">
        <w:rPr>
          <w:rFonts w:ascii="Arial" w:hAnsi="Arial" w:cs="Arial"/>
          <w:color w:val="EE0000"/>
        </w:rPr>
        <w:t xml:space="preserve"> devidamente </w:t>
      </w:r>
      <w:r w:rsidR="00EE3ECA">
        <w:rPr>
          <w:rFonts w:ascii="Arial" w:hAnsi="Arial" w:cs="Arial"/>
          <w:color w:val="EE0000"/>
        </w:rPr>
        <w:lastRenderedPageBreak/>
        <w:t>registrados</w:t>
      </w:r>
      <w:r w:rsidR="002E4890" w:rsidRPr="002E4890">
        <w:rPr>
          <w:rFonts w:ascii="Arial" w:hAnsi="Arial" w:cs="Arial"/>
          <w:color w:val="EE0000"/>
        </w:rPr>
        <w:t>, ainda que não haja movimentação contábil no período, acompanhados das declarações de inatividade transmitidas à Receita Federal.</w:t>
      </w:r>
    </w:p>
    <w:p w14:paraId="0E79D9D4" w14:textId="28689492" w:rsidR="00706B53" w:rsidRPr="004301F6" w:rsidRDefault="00925D52" w:rsidP="00705802">
      <w:pPr>
        <w:jc w:val="both"/>
        <w:rPr>
          <w:rFonts w:ascii="Arial" w:hAnsi="Arial" w:cs="Arial"/>
          <w:b/>
          <w:bCs/>
          <w:color w:val="EE0000"/>
          <w:u w:val="single"/>
        </w:rPr>
      </w:pPr>
      <w:r w:rsidRPr="00925D52">
        <w:rPr>
          <w:rFonts w:ascii="Arial" w:hAnsi="Arial" w:cs="Arial"/>
          <w:color w:val="EE0000"/>
        </w:rPr>
        <w:t>T</w:t>
      </w:r>
      <w:r w:rsidRPr="00925D52">
        <w:rPr>
          <w:rFonts w:ascii="Arial" w:hAnsi="Arial" w:cs="Arial"/>
          <w:color w:val="EE0000"/>
        </w:rPr>
        <w:t xml:space="preserve">al procedimento tem por objetivo assegurar a correta análise da capacidade econômico-financeira da empresa, nos termos do Edital, refletindo de forma fidedigna </w:t>
      </w:r>
      <w:r w:rsidRPr="004301F6">
        <w:rPr>
          <w:rFonts w:ascii="Arial" w:hAnsi="Arial" w:cs="Arial"/>
          <w:b/>
          <w:bCs/>
          <w:color w:val="EE0000"/>
          <w:u w:val="single"/>
        </w:rPr>
        <w:t>sua situação patrimonial e financeira atual.</w:t>
      </w:r>
    </w:p>
    <w:p w14:paraId="05362193" w14:textId="395F0CC6" w:rsidR="008D6ECB" w:rsidRPr="00705802" w:rsidRDefault="00706B53" w:rsidP="00705802">
      <w:pPr>
        <w:jc w:val="both"/>
        <w:rPr>
          <w:rFonts w:ascii="Arial" w:hAnsi="Arial" w:cs="Arial"/>
          <w:b/>
          <w:bCs/>
        </w:rPr>
      </w:pPr>
      <w:r w:rsidRPr="00706B53">
        <w:rPr>
          <w:rFonts w:ascii="Arial" w:hAnsi="Arial" w:cs="Arial"/>
          <w:b/>
          <w:bCs/>
        </w:rPr>
        <w:t>2- O instrumento convocatório, em seu ANEXO I – TERMO DE REFERÊNCIA, item VI – HABILITAÇÃO TÉCNICA, traz a seguinte previsão: “Da prestação de serviços e vínculo trabalhista: Os profissionais da Contratada que prestarão os serviços deverão pertencer ao quadro permanente da empresa licitante, entendendo-se, como tal, para fins deste certame, o sócio que comprove seu vínculo por intermédio de contrato social/estatuto social; o administrador ou o diretor; o empregado devidamente registrado em Carteira de Trabalho e Previdência Social; e o prestador de serviços com contrato escrito firmado com o licitante.” PERGUNTA 2: Em que momento deve se dar tal comprovação de vínculo? No momento do envio dos documentos de habilitação pela licitante arrematante ou na assinatura do contrato?</w:t>
      </w:r>
    </w:p>
    <w:p w14:paraId="1AA6835B" w14:textId="5744D3EC" w:rsidR="00706B53" w:rsidRPr="00705802" w:rsidRDefault="00F107B1" w:rsidP="00705802">
      <w:pPr>
        <w:jc w:val="both"/>
        <w:rPr>
          <w:rFonts w:ascii="Arial" w:hAnsi="Arial" w:cs="Arial"/>
          <w:color w:val="EE0000"/>
        </w:rPr>
      </w:pPr>
      <w:r w:rsidRPr="002B687E">
        <w:rPr>
          <w:rFonts w:ascii="Arial" w:hAnsi="Arial" w:cs="Arial"/>
          <w:b/>
          <w:bCs/>
          <w:color w:val="EE0000"/>
        </w:rPr>
        <w:t>RESPOSTA TÉCNICA:</w:t>
      </w:r>
      <w:r w:rsidRPr="002B687E">
        <w:rPr>
          <w:rFonts w:ascii="Arial" w:hAnsi="Arial" w:cs="Arial"/>
          <w:color w:val="EE0000"/>
        </w:rPr>
        <w:t xml:space="preserve"> </w:t>
      </w:r>
      <w:r w:rsidR="00AB589E" w:rsidRPr="00AB589E">
        <w:rPr>
          <w:rFonts w:ascii="Arial" w:hAnsi="Arial" w:cs="Arial"/>
          <w:color w:val="EE0000"/>
        </w:rPr>
        <w:t>A comprovação do vínculo dos profissionais que comporão a equipe responsável pela execução do objeto deverá ocorrer na fase de habilitação, quando o licitante melhor classificado for convocado para apresentar a documentação exigida, observando o prazo estabelecido pelo Pregoeiro, conforme previsto no edital. Essa exigência decorre do disposto no Anexo I – Termo de Referência e nas regras da fase de habilitação constantes do instrumento convocatório, que preveem a necessidade de comprovação da capacidade técnico-operacional e da qualificação da equipe a ser disponibilizada para o contrato. Adicionalmente, ressalta-se que, no ato da assinatura do contrato, a Administração realizará nova verificação para confirmar que as condições de habilitação apresentadas permanecem válidas. Caso o adjudicatário não comprove a manutenção das mesmas condições, poderá ser convocado o licitante subsequente, observada a ordem de classificação, sem prejuízo das penalidades cabíveis.</w:t>
      </w:r>
    </w:p>
    <w:p w14:paraId="2EFACCC7" w14:textId="45C068E8" w:rsidR="002B687E" w:rsidRDefault="00087BE9" w:rsidP="00087BE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Porto Alegre, </w:t>
      </w:r>
      <w:r w:rsidR="00706B53">
        <w:rPr>
          <w:rFonts w:ascii="Arial" w:hAnsi="Arial" w:cs="Arial"/>
        </w:rPr>
        <w:t>1</w:t>
      </w:r>
      <w:r w:rsidR="006B2A84">
        <w:rPr>
          <w:rFonts w:ascii="Arial" w:hAnsi="Arial" w:cs="Arial"/>
        </w:rPr>
        <w:t>2</w:t>
      </w:r>
      <w:r w:rsidR="00706B53">
        <w:rPr>
          <w:rFonts w:ascii="Arial" w:hAnsi="Arial" w:cs="Arial"/>
        </w:rPr>
        <w:t xml:space="preserve"> de agosto </w:t>
      </w:r>
      <w:r>
        <w:rPr>
          <w:rFonts w:ascii="Arial" w:hAnsi="Arial" w:cs="Arial"/>
        </w:rPr>
        <w:t>de 2025.</w:t>
      </w:r>
    </w:p>
    <w:p w14:paraId="33EC0882" w14:textId="77777777" w:rsidR="00087BE9" w:rsidRDefault="00087BE9" w:rsidP="00087BE9">
      <w:pPr>
        <w:jc w:val="center"/>
        <w:rPr>
          <w:rFonts w:ascii="Arial" w:hAnsi="Arial" w:cs="Arial"/>
        </w:rPr>
      </w:pPr>
    </w:p>
    <w:p w14:paraId="3FD1D06B" w14:textId="56217755" w:rsidR="00087BE9" w:rsidRDefault="00087BE9" w:rsidP="00087BE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Erica M. </w:t>
      </w:r>
      <w:proofErr w:type="spellStart"/>
      <w:r>
        <w:rPr>
          <w:rFonts w:ascii="Arial" w:hAnsi="Arial" w:cs="Arial"/>
        </w:rPr>
        <w:t>Pokorski</w:t>
      </w:r>
      <w:proofErr w:type="spellEnd"/>
      <w:r>
        <w:rPr>
          <w:rFonts w:ascii="Arial" w:hAnsi="Arial" w:cs="Arial"/>
        </w:rPr>
        <w:t xml:space="preserve"> de Andrade</w:t>
      </w:r>
    </w:p>
    <w:p w14:paraId="60463594" w14:textId="5801C316" w:rsidR="00087BE9" w:rsidRPr="008D6ECB" w:rsidRDefault="00087BE9" w:rsidP="00087BE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Pregoeira</w:t>
      </w:r>
    </w:p>
    <w:sectPr w:rsidR="00087BE9" w:rsidRPr="008D6EC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87F0C" w14:textId="77777777" w:rsidR="00AA1560" w:rsidRDefault="00AA1560" w:rsidP="00087BE9">
      <w:pPr>
        <w:spacing w:after="0" w:line="240" w:lineRule="auto"/>
      </w:pPr>
      <w:r>
        <w:separator/>
      </w:r>
    </w:p>
  </w:endnote>
  <w:endnote w:type="continuationSeparator" w:id="0">
    <w:p w14:paraId="6AC488B4" w14:textId="77777777" w:rsidR="00AA1560" w:rsidRDefault="00AA1560" w:rsidP="00087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A8A0C" w14:textId="77777777" w:rsidR="00AA1560" w:rsidRDefault="00AA1560" w:rsidP="00087BE9">
      <w:pPr>
        <w:spacing w:after="0" w:line="240" w:lineRule="auto"/>
      </w:pPr>
      <w:r>
        <w:separator/>
      </w:r>
    </w:p>
  </w:footnote>
  <w:footnote w:type="continuationSeparator" w:id="0">
    <w:p w14:paraId="66D8B26E" w14:textId="77777777" w:rsidR="00AA1560" w:rsidRDefault="00AA1560" w:rsidP="00087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E83EF" w14:textId="47377B0D" w:rsidR="00087BE9" w:rsidRDefault="00087BE9">
    <w:pPr>
      <w:pStyle w:val="Cabealho"/>
    </w:pPr>
    <w:r>
      <w:rPr>
        <w:rFonts w:ascii="Times New Roman"/>
        <w:noProof/>
        <w:lang w:eastAsia="pt-BR"/>
      </w:rPr>
      <w:drawing>
        <wp:inline distT="0" distB="0" distL="0" distR="0" wp14:anchorId="36787006" wp14:editId="456E68E7">
          <wp:extent cx="1589480" cy="376237"/>
          <wp:effectExtent l="0" t="0" r="0" b="0"/>
          <wp:docPr id="211649806" name="image1.png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1.png" descr="Texto&#10;&#10;O conteúdo gerado por IA pode estar incorre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89480" cy="3762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4271F"/>
    <w:multiLevelType w:val="multilevel"/>
    <w:tmpl w:val="F190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22D6184"/>
    <w:multiLevelType w:val="multilevel"/>
    <w:tmpl w:val="AF90C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5711772">
    <w:abstractNumId w:val="1"/>
  </w:num>
  <w:num w:numId="2" w16cid:durableId="73167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ECB"/>
    <w:rsid w:val="00087BE9"/>
    <w:rsid w:val="000A0DBD"/>
    <w:rsid w:val="000D3D99"/>
    <w:rsid w:val="00107123"/>
    <w:rsid w:val="00146072"/>
    <w:rsid w:val="00197EE4"/>
    <w:rsid w:val="001B553A"/>
    <w:rsid w:val="0021415E"/>
    <w:rsid w:val="00221EA9"/>
    <w:rsid w:val="002279F7"/>
    <w:rsid w:val="002B2760"/>
    <w:rsid w:val="002B687E"/>
    <w:rsid w:val="002E4890"/>
    <w:rsid w:val="002F0282"/>
    <w:rsid w:val="00326A0B"/>
    <w:rsid w:val="0042705F"/>
    <w:rsid w:val="004301F6"/>
    <w:rsid w:val="00492B31"/>
    <w:rsid w:val="0053578A"/>
    <w:rsid w:val="00555423"/>
    <w:rsid w:val="005873F0"/>
    <w:rsid w:val="005C2856"/>
    <w:rsid w:val="0064023F"/>
    <w:rsid w:val="00650B5B"/>
    <w:rsid w:val="0065234F"/>
    <w:rsid w:val="006B2A84"/>
    <w:rsid w:val="006D5417"/>
    <w:rsid w:val="00705802"/>
    <w:rsid w:val="00706B53"/>
    <w:rsid w:val="007C2DB4"/>
    <w:rsid w:val="00803A32"/>
    <w:rsid w:val="00877DD7"/>
    <w:rsid w:val="00886294"/>
    <w:rsid w:val="008D4504"/>
    <w:rsid w:val="008D6ECB"/>
    <w:rsid w:val="00925D52"/>
    <w:rsid w:val="00A07FAC"/>
    <w:rsid w:val="00A319EB"/>
    <w:rsid w:val="00AA1560"/>
    <w:rsid w:val="00AB589E"/>
    <w:rsid w:val="00B214B5"/>
    <w:rsid w:val="00C01381"/>
    <w:rsid w:val="00C330F6"/>
    <w:rsid w:val="00C523EB"/>
    <w:rsid w:val="00D56B4E"/>
    <w:rsid w:val="00E0277A"/>
    <w:rsid w:val="00EE3ECA"/>
    <w:rsid w:val="00F107B1"/>
    <w:rsid w:val="00F3236A"/>
    <w:rsid w:val="00F96344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CBD85"/>
  <w15:chartTrackingRefBased/>
  <w15:docId w15:val="{B7873C14-D26D-4854-9341-8590E979B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6E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6E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6E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6E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6E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6E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6E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6E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6E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6E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6E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6E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6EC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6EC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6E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6EC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6E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6E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6E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6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6E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6E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6E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6ECB"/>
    <w:rPr>
      <w:i/>
      <w:iCs/>
      <w:color w:val="404040" w:themeColor="text1" w:themeTint="BF"/>
    </w:rPr>
  </w:style>
  <w:style w:type="paragraph" w:styleId="PargrafodaLista">
    <w:name w:val="List Paragraph"/>
    <w:aliases w:val="Numerado"/>
    <w:basedOn w:val="Normal"/>
    <w:link w:val="PargrafodaListaChar"/>
    <w:uiPriority w:val="34"/>
    <w:qFormat/>
    <w:rsid w:val="008D6EC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6EC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6E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6EC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6EC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4023F"/>
    <w:rPr>
      <w:rFonts w:ascii="Times New Roman" w:hAnsi="Times New Roman" w:cs="Times New Roman"/>
    </w:rPr>
  </w:style>
  <w:style w:type="character" w:customStyle="1" w:styleId="PargrafodaListaChar">
    <w:name w:val="Parágrafo da Lista Char"/>
    <w:aliases w:val="Numerado Char"/>
    <w:link w:val="PargrafodaLista"/>
    <w:uiPriority w:val="34"/>
    <w:qFormat/>
    <w:locked/>
    <w:rsid w:val="00803A32"/>
  </w:style>
  <w:style w:type="paragraph" w:styleId="Cabealho">
    <w:name w:val="header"/>
    <w:basedOn w:val="Normal"/>
    <w:link w:val="CabealhoChar"/>
    <w:uiPriority w:val="99"/>
    <w:unhideWhenUsed/>
    <w:rsid w:val="00087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7BE9"/>
  </w:style>
  <w:style w:type="paragraph" w:styleId="Rodap">
    <w:name w:val="footer"/>
    <w:basedOn w:val="Normal"/>
    <w:link w:val="RodapChar"/>
    <w:uiPriority w:val="99"/>
    <w:unhideWhenUsed/>
    <w:rsid w:val="00087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7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30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6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960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42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698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25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8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1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10090">
          <w:marLeft w:val="0"/>
          <w:marRight w:val="0"/>
          <w:marTop w:val="240"/>
          <w:marBottom w:val="1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8639">
          <w:marLeft w:val="0"/>
          <w:marRight w:val="0"/>
          <w:marTop w:val="240"/>
          <w:marBottom w:val="1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4636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0786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3453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907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39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23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74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3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5953">
          <w:marLeft w:val="0"/>
          <w:marRight w:val="0"/>
          <w:marTop w:val="240"/>
          <w:marBottom w:val="1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504">
          <w:marLeft w:val="0"/>
          <w:marRight w:val="0"/>
          <w:marTop w:val="240"/>
          <w:marBottom w:val="1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907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5378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0544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3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980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/>
  <cp:lastModifiedBy>Erica Milena Pokosrki de Andrade</cp:lastModifiedBy>
  <cp:revision>7</cp:revision>
  <dcterms:created xsi:type="dcterms:W3CDTF">2025-08-11T12:06:00Z</dcterms:created>
  <dcterms:modified xsi:type="dcterms:W3CDTF">2025-08-12T19:27:00Z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2025-07-28T17:44:40Z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d1ce6a11-049d-4d5a-9139-0baf37dda1c0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