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574E4" w14:textId="77777777" w:rsidR="000303BB" w:rsidRDefault="000303BB">
      <w:pPr>
        <w:spacing w:after="0" w:line="240" w:lineRule="auto"/>
        <w:ind w:right="465"/>
        <w:rPr>
          <w:rFonts w:ascii="Roboto" w:eastAsia="Roboto" w:hAnsi="Roboto" w:cs="Roboto"/>
          <w:b/>
          <w:bCs/>
          <w:sz w:val="26"/>
          <w:szCs w:val="26"/>
        </w:rPr>
      </w:pPr>
    </w:p>
    <w:p w14:paraId="278218B6" w14:textId="77777777" w:rsidR="000303BB" w:rsidRDefault="00000000">
      <w:pPr>
        <w:spacing w:after="0" w:line="240" w:lineRule="auto"/>
        <w:rPr>
          <w:rFonts w:ascii="Quattrocento Sans" w:eastAsia="Quattrocento Sans" w:hAnsi="Quattrocento Sans" w:cs="Quattrocento Sans"/>
          <w:sz w:val="18"/>
          <w:szCs w:val="18"/>
        </w:rPr>
      </w:pPr>
      <w:r>
        <w:rPr>
          <w:rFonts w:ascii="Roboto" w:eastAsia="Roboto" w:hAnsi="Roboto" w:cs="Roboto"/>
          <w:color w:val="000000"/>
          <w:sz w:val="26"/>
          <w:szCs w:val="26"/>
        </w:rPr>
        <w:t> </w:t>
      </w:r>
    </w:p>
    <w:p w14:paraId="44FAB557" w14:textId="77777777" w:rsidR="000303BB" w:rsidRDefault="00000000">
      <w:pPr>
        <w:spacing w:after="0" w:line="360" w:lineRule="auto"/>
        <w:ind w:left="330" w:right="480"/>
        <w:jc w:val="center"/>
        <w:rPr>
          <w:rFonts w:ascii="Arial" w:eastAsia="Arial" w:hAnsi="Arial" w:cs="Arial"/>
          <w:sz w:val="24"/>
          <w:szCs w:val="24"/>
        </w:rPr>
      </w:pPr>
      <w:r>
        <w:rPr>
          <w:rFonts w:ascii="Arial" w:eastAsia="Arial" w:hAnsi="Arial" w:cs="Arial"/>
          <w:b/>
          <w:bCs/>
          <w:sz w:val="24"/>
          <w:szCs w:val="24"/>
        </w:rPr>
        <w:t>ESTUDO TÉCNICO PRELIMINAR (ETP) - LICITAÇÃO</w:t>
      </w:r>
      <w:r>
        <w:rPr>
          <w:rFonts w:ascii="Arial" w:eastAsia="Arial" w:hAnsi="Arial" w:cs="Arial"/>
          <w:sz w:val="24"/>
          <w:szCs w:val="24"/>
        </w:rPr>
        <w:t> </w:t>
      </w:r>
    </w:p>
    <w:p w14:paraId="610B9F6C" w14:textId="77777777" w:rsidR="000303BB" w:rsidRDefault="000303BB">
      <w:pPr>
        <w:spacing w:after="0" w:line="360" w:lineRule="auto"/>
        <w:rPr>
          <w:rFonts w:ascii="Arial" w:eastAsia="Arial" w:hAnsi="Arial" w:cs="Arial"/>
          <w:sz w:val="24"/>
          <w:szCs w:val="24"/>
        </w:rPr>
      </w:pPr>
    </w:p>
    <w:tbl>
      <w:tblPr>
        <w:tblStyle w:val="a0"/>
        <w:tblW w:w="8458" w:type="dxa"/>
        <w:tblInd w:w="3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458"/>
      </w:tblGrid>
      <w:tr w:rsidR="000303BB" w14:paraId="4527100C"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15EFE3C1"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color w:val="000000"/>
                <w:sz w:val="24"/>
                <w:szCs w:val="24"/>
              </w:rPr>
              <w:t>I - DESCRIÇÃO DA NECESSIDADE</w:t>
            </w:r>
            <w:r>
              <w:rPr>
                <w:rFonts w:ascii="Arial" w:eastAsia="Arial" w:hAnsi="Arial" w:cs="Arial"/>
                <w:color w:val="000000"/>
                <w:sz w:val="24"/>
                <w:szCs w:val="24"/>
              </w:rPr>
              <w:t> </w:t>
            </w:r>
          </w:p>
          <w:p w14:paraId="2F011DB5" w14:textId="77777777" w:rsidR="000303BB" w:rsidRDefault="000303BB">
            <w:pPr>
              <w:spacing w:after="0" w:line="360" w:lineRule="auto"/>
              <w:jc w:val="center"/>
              <w:rPr>
                <w:rFonts w:ascii="Arial" w:eastAsia="Arial" w:hAnsi="Arial" w:cs="Arial"/>
                <w:sz w:val="24"/>
                <w:szCs w:val="24"/>
              </w:rPr>
            </w:pPr>
          </w:p>
          <w:p w14:paraId="58DD843D" w14:textId="77777777" w:rsidR="000303BB" w:rsidRDefault="00000000">
            <w:pPr>
              <w:spacing w:after="0" w:line="360" w:lineRule="auto"/>
              <w:ind w:left="141" w:right="165"/>
              <w:jc w:val="both"/>
              <w:rPr>
                <w:rFonts w:ascii="Arial" w:eastAsia="Arial" w:hAnsi="Arial" w:cs="Arial"/>
                <w:sz w:val="24"/>
                <w:szCs w:val="24"/>
              </w:rPr>
            </w:pPr>
            <w:r>
              <w:rPr>
                <w:rFonts w:ascii="Arial" w:eastAsia="Arial" w:hAnsi="Arial" w:cs="Arial"/>
                <w:sz w:val="24"/>
                <w:szCs w:val="24"/>
              </w:rPr>
              <w:t>Intermodal South America, que ocorrerá entre os dias 14 e 16 de abril, no Distrito Anhembi, em São Paulo, por meio da implantação de um estande próprio. A presença no evento é estratégica para a divulgação institucional, fortalecimento da imagem da empresa pública e relacionamento com empresas relevantes do setor de logística e transporte.</w:t>
            </w:r>
          </w:p>
        </w:tc>
      </w:tr>
      <w:tr w:rsidR="000303BB" w14:paraId="6050CC7C"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069F67D1"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sz w:val="24"/>
                <w:szCs w:val="24"/>
              </w:rPr>
              <w:t>II - PLANO DE CONTRATAÇÕES ANUAL</w:t>
            </w:r>
            <w:r>
              <w:rPr>
                <w:rFonts w:ascii="Arial" w:eastAsia="Arial" w:hAnsi="Arial" w:cs="Arial"/>
                <w:sz w:val="24"/>
                <w:szCs w:val="24"/>
              </w:rPr>
              <w:t> </w:t>
            </w:r>
          </w:p>
          <w:p w14:paraId="2C5E6D08" w14:textId="77777777" w:rsidR="000303BB" w:rsidRDefault="00000000">
            <w:pPr>
              <w:spacing w:after="0" w:line="360" w:lineRule="auto"/>
              <w:rPr>
                <w:rFonts w:ascii="Arial" w:eastAsia="Arial" w:hAnsi="Arial" w:cs="Arial"/>
                <w:sz w:val="24"/>
                <w:szCs w:val="24"/>
              </w:rPr>
            </w:pPr>
            <w:r>
              <w:rPr>
                <w:rFonts w:ascii="Arial" w:eastAsia="Arial" w:hAnsi="Arial" w:cs="Arial"/>
                <w:sz w:val="24"/>
                <w:szCs w:val="24"/>
              </w:rPr>
              <w:t> </w:t>
            </w:r>
          </w:p>
          <w:p w14:paraId="3D8996E9" w14:textId="77777777" w:rsidR="000303BB" w:rsidRDefault="00000000">
            <w:pPr>
              <w:spacing w:after="0" w:line="360" w:lineRule="auto"/>
              <w:ind w:left="141" w:right="97"/>
              <w:jc w:val="both"/>
              <w:rPr>
                <w:rFonts w:ascii="Arial" w:eastAsia="Arial" w:hAnsi="Arial" w:cs="Arial"/>
                <w:sz w:val="24"/>
                <w:szCs w:val="24"/>
              </w:rPr>
            </w:pPr>
            <w:r>
              <w:rPr>
                <w:rFonts w:ascii="Arial" w:eastAsia="Arial" w:hAnsi="Arial" w:cs="Arial"/>
                <w:sz w:val="24"/>
                <w:szCs w:val="24"/>
              </w:rPr>
              <w:t>O presente Estudo Técnico Preliminar está contemplado dentro do Plano Anual de Contratações da Empresa no orçamento da Gerência de Comunicação, que estipula com base nos outros anos de participação da feira os gastos.</w:t>
            </w:r>
          </w:p>
          <w:p w14:paraId="626F3BAA" w14:textId="77777777" w:rsidR="000303BB" w:rsidRDefault="00000000">
            <w:pPr>
              <w:spacing w:after="0" w:line="360" w:lineRule="auto"/>
              <w:ind w:left="105" w:right="105"/>
              <w:jc w:val="both"/>
              <w:rPr>
                <w:rFonts w:ascii="Arial" w:eastAsia="Arial" w:hAnsi="Arial" w:cs="Arial"/>
                <w:sz w:val="24"/>
                <w:szCs w:val="24"/>
              </w:rPr>
            </w:pPr>
            <w:r>
              <w:rPr>
                <w:rFonts w:ascii="Arial" w:eastAsia="Arial" w:hAnsi="Arial" w:cs="Arial"/>
                <w:sz w:val="24"/>
                <w:szCs w:val="24"/>
              </w:rPr>
              <w:br/>
              <w:t>( X ) A contratação está contemplada no PCA, conforme planejamento realizado.</w:t>
            </w:r>
            <w:r>
              <w:rPr>
                <w:rFonts w:ascii="Arial" w:eastAsia="Arial" w:hAnsi="Arial" w:cs="Arial"/>
                <w:sz w:val="24"/>
                <w:szCs w:val="24"/>
              </w:rPr>
              <w:br/>
              <w:t>(  ) A contratação não está contemplada no PCA, sendo necessária a justificativa:</w:t>
            </w:r>
          </w:p>
        </w:tc>
      </w:tr>
      <w:tr w:rsidR="000303BB" w14:paraId="48C0F84D"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16C1A830"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sz w:val="24"/>
                <w:szCs w:val="24"/>
              </w:rPr>
              <w:t>III – REQUISITOS DA CONTRATAÇÃO</w:t>
            </w:r>
            <w:r>
              <w:rPr>
                <w:rFonts w:ascii="Arial" w:eastAsia="Arial" w:hAnsi="Arial" w:cs="Arial"/>
                <w:sz w:val="24"/>
                <w:szCs w:val="24"/>
              </w:rPr>
              <w:t> </w:t>
            </w:r>
          </w:p>
          <w:p w14:paraId="1E5DE593" w14:textId="77777777" w:rsidR="000303BB" w:rsidRDefault="00000000">
            <w:pPr>
              <w:spacing w:after="0" w:line="360" w:lineRule="auto"/>
              <w:rPr>
                <w:rFonts w:ascii="Arial" w:eastAsia="Arial" w:hAnsi="Arial" w:cs="Arial"/>
                <w:sz w:val="24"/>
                <w:szCs w:val="24"/>
              </w:rPr>
            </w:pPr>
            <w:r>
              <w:rPr>
                <w:rFonts w:ascii="Arial" w:eastAsia="Arial" w:hAnsi="Arial" w:cs="Arial"/>
                <w:sz w:val="24"/>
                <w:szCs w:val="24"/>
              </w:rPr>
              <w:t> </w:t>
            </w:r>
          </w:p>
          <w:p w14:paraId="133CEB5B" w14:textId="77777777" w:rsidR="000303BB" w:rsidRDefault="00000000">
            <w:pPr>
              <w:spacing w:after="0" w:line="360" w:lineRule="auto"/>
              <w:ind w:left="141" w:right="165"/>
              <w:jc w:val="both"/>
              <w:rPr>
                <w:rFonts w:ascii="Arial" w:eastAsia="Arial" w:hAnsi="Arial" w:cs="Arial"/>
                <w:sz w:val="24"/>
                <w:szCs w:val="24"/>
              </w:rPr>
            </w:pPr>
            <w:r>
              <w:rPr>
                <w:rFonts w:ascii="Arial" w:eastAsia="Arial" w:hAnsi="Arial" w:cs="Arial"/>
                <w:sz w:val="24"/>
                <w:szCs w:val="24"/>
              </w:rPr>
              <w:t>Para atender à necessidade, torna-se indispensável a disponibilização de estande institucional da Portos RS na feira Intermodal South America 2026, contemplando projeto, montagem, manutenção e desmontagem, com identidade visual institucional, mobiliário, comunicação visual e infraestrutura necessária ao funcionamento durante o evento. O estande deverá garantir adequada apresentação institucional, funcionalidade, conforto aos visitantes e atendimento às normas técnicas e exigências da feira, prevendo espaços para atendimento ao público, reuniões e divulgação de informações institucionais.</w:t>
            </w:r>
          </w:p>
          <w:p w14:paraId="231DC951" w14:textId="68CEB185" w:rsidR="000303BB" w:rsidRDefault="00000000">
            <w:pPr>
              <w:spacing w:after="0" w:line="360" w:lineRule="auto"/>
              <w:ind w:left="141" w:right="165"/>
              <w:jc w:val="both"/>
              <w:rPr>
                <w:rFonts w:ascii="Arial" w:eastAsia="Arial" w:hAnsi="Arial" w:cs="Arial"/>
                <w:sz w:val="24"/>
                <w:szCs w:val="24"/>
              </w:rPr>
            </w:pPr>
            <w:r>
              <w:rPr>
                <w:rFonts w:ascii="Arial" w:eastAsia="Arial" w:hAnsi="Arial" w:cs="Arial"/>
                <w:sz w:val="24"/>
                <w:szCs w:val="24"/>
              </w:rPr>
              <w:lastRenderedPageBreak/>
              <w:t>Ressalta-se que a Portos RS possui contrato vigente com a empresa Informa Markets, organizadora da feira, referente à locação do espaço para instalação do estande institucional</w:t>
            </w:r>
            <w:r w:rsidR="008F40C8">
              <w:rPr>
                <w:rFonts w:ascii="Arial" w:eastAsia="Arial" w:hAnsi="Arial" w:cs="Arial"/>
                <w:sz w:val="24"/>
                <w:szCs w:val="24"/>
              </w:rPr>
              <w:t>.</w:t>
            </w:r>
          </w:p>
        </w:tc>
      </w:tr>
      <w:tr w:rsidR="000303BB" w14:paraId="06C0A024"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2E026D94"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sz w:val="24"/>
                <w:szCs w:val="24"/>
              </w:rPr>
              <w:lastRenderedPageBreak/>
              <w:t>IV – ESTIMATIVA DAS QUANTIDADES</w:t>
            </w:r>
            <w:r>
              <w:rPr>
                <w:rFonts w:ascii="Arial" w:eastAsia="Arial" w:hAnsi="Arial" w:cs="Arial"/>
                <w:sz w:val="24"/>
                <w:szCs w:val="24"/>
              </w:rPr>
              <w:t> </w:t>
            </w:r>
          </w:p>
          <w:p w14:paraId="2E3284CF" w14:textId="77777777" w:rsidR="000303BB" w:rsidRDefault="00000000">
            <w:pPr>
              <w:spacing w:after="0" w:line="360" w:lineRule="auto"/>
              <w:rPr>
                <w:rFonts w:ascii="Arial" w:eastAsia="Arial" w:hAnsi="Arial" w:cs="Arial"/>
                <w:sz w:val="24"/>
                <w:szCs w:val="24"/>
              </w:rPr>
            </w:pPr>
            <w:r>
              <w:rPr>
                <w:rFonts w:ascii="Arial" w:eastAsia="Arial" w:hAnsi="Arial" w:cs="Arial"/>
                <w:sz w:val="24"/>
                <w:szCs w:val="24"/>
              </w:rPr>
              <w:t> </w:t>
            </w:r>
          </w:p>
          <w:p w14:paraId="631DBBF5" w14:textId="77777777" w:rsidR="000303BB" w:rsidRDefault="00000000">
            <w:pPr>
              <w:spacing w:after="0" w:line="360" w:lineRule="auto"/>
              <w:ind w:left="141" w:right="165"/>
              <w:jc w:val="both"/>
              <w:rPr>
                <w:rFonts w:ascii="Arial" w:eastAsia="Arial" w:hAnsi="Arial" w:cs="Arial"/>
                <w:sz w:val="24"/>
                <w:szCs w:val="24"/>
              </w:rPr>
            </w:pPr>
            <w:r>
              <w:rPr>
                <w:rFonts w:ascii="Arial" w:eastAsia="Arial" w:hAnsi="Arial" w:cs="Arial"/>
                <w:sz w:val="24"/>
                <w:szCs w:val="24"/>
              </w:rPr>
              <w:t>Para atender à demanda de participação institucional da Portos RS na Intermodal South America 2026, está prevista a utilização de 01 (um) espaço destinado à instalação de estande institucional, já contratado pela Portos RS.</w:t>
            </w:r>
          </w:p>
        </w:tc>
      </w:tr>
      <w:tr w:rsidR="000303BB" w14:paraId="37784E35"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26CC3B67"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sz w:val="24"/>
                <w:szCs w:val="24"/>
              </w:rPr>
              <w:t>V – SOLUÇÕES DE MERCADO</w:t>
            </w:r>
          </w:p>
          <w:p w14:paraId="040FAC59" w14:textId="77777777" w:rsidR="000303BB" w:rsidRDefault="000303BB">
            <w:pPr>
              <w:spacing w:after="0" w:line="360" w:lineRule="auto"/>
              <w:jc w:val="center"/>
              <w:rPr>
                <w:rFonts w:ascii="Arial" w:eastAsia="Arial" w:hAnsi="Arial" w:cs="Arial"/>
                <w:b/>
                <w:bCs/>
                <w:sz w:val="24"/>
                <w:szCs w:val="24"/>
              </w:rPr>
            </w:pPr>
          </w:p>
          <w:p w14:paraId="68538236" w14:textId="77777777" w:rsidR="000303BB" w:rsidRDefault="00000000">
            <w:pPr>
              <w:spacing w:after="0" w:line="360" w:lineRule="auto"/>
              <w:ind w:left="141" w:right="239"/>
              <w:jc w:val="both"/>
              <w:rPr>
                <w:rFonts w:ascii="Arial" w:eastAsia="Arial" w:hAnsi="Arial" w:cs="Arial"/>
                <w:sz w:val="24"/>
                <w:szCs w:val="24"/>
              </w:rPr>
            </w:pPr>
            <w:r>
              <w:rPr>
                <w:rFonts w:ascii="Arial" w:eastAsia="Arial" w:hAnsi="Arial" w:cs="Arial"/>
                <w:sz w:val="24"/>
                <w:szCs w:val="24"/>
              </w:rPr>
              <w:t xml:space="preserve">Para atender à necessidade da Portos RS de participação institucional na Intermodal South America 2026, identificam-se, no mercado, diferentes soluções possíveis, sendo elas: </w:t>
            </w:r>
          </w:p>
          <w:p w14:paraId="66B72E14" w14:textId="77777777" w:rsidR="000303BB" w:rsidRDefault="000303BB">
            <w:pPr>
              <w:spacing w:after="0" w:line="360" w:lineRule="auto"/>
              <w:ind w:left="141" w:right="239"/>
              <w:jc w:val="both"/>
              <w:rPr>
                <w:rFonts w:ascii="Arial" w:eastAsia="Arial" w:hAnsi="Arial" w:cs="Arial"/>
                <w:sz w:val="24"/>
                <w:szCs w:val="24"/>
              </w:rPr>
            </w:pPr>
          </w:p>
          <w:p w14:paraId="1C6F94A7" w14:textId="77777777" w:rsidR="000303BB" w:rsidRDefault="00000000">
            <w:pPr>
              <w:numPr>
                <w:ilvl w:val="0"/>
                <w:numId w:val="1"/>
              </w:numPr>
              <w:spacing w:after="0" w:line="360" w:lineRule="auto"/>
              <w:ind w:right="239"/>
              <w:jc w:val="both"/>
              <w:rPr>
                <w:rFonts w:ascii="Arial" w:eastAsia="Arial" w:hAnsi="Arial" w:cs="Arial"/>
                <w:sz w:val="24"/>
                <w:szCs w:val="24"/>
              </w:rPr>
            </w:pPr>
            <w:r>
              <w:rPr>
                <w:rFonts w:ascii="Arial" w:eastAsia="Arial" w:hAnsi="Arial" w:cs="Arial"/>
                <w:sz w:val="24"/>
                <w:szCs w:val="24"/>
              </w:rPr>
              <w:t>Contratação de empresa especializada para a elaboração do projeto, montagem, desmontagem e manutenção do estande institucional durante o evento. Essa solução contempla o desenvolvimento do layout e da identidade visual, o fornecimento da estrutura física, mobiliário, comunicação visual, infraestrutura elétrica e tecnológica, bem como o suporte técnico necessário durante todo o período da feira, garantindo conformidade com as normas do evento e adequada apresentação institucional.</w:t>
            </w:r>
          </w:p>
          <w:p w14:paraId="7FA686E8" w14:textId="77777777" w:rsidR="000303BB" w:rsidRDefault="000303BB">
            <w:pPr>
              <w:spacing w:after="0" w:line="360" w:lineRule="auto"/>
              <w:ind w:left="141" w:right="239"/>
              <w:jc w:val="both"/>
              <w:rPr>
                <w:rFonts w:ascii="Arial" w:eastAsia="Arial" w:hAnsi="Arial" w:cs="Arial"/>
                <w:sz w:val="24"/>
                <w:szCs w:val="24"/>
              </w:rPr>
            </w:pPr>
          </w:p>
          <w:p w14:paraId="329273FC" w14:textId="77777777" w:rsidR="000303BB" w:rsidRDefault="00000000">
            <w:pPr>
              <w:numPr>
                <w:ilvl w:val="0"/>
                <w:numId w:val="2"/>
              </w:numPr>
              <w:spacing w:after="0" w:line="360" w:lineRule="auto"/>
              <w:ind w:right="239"/>
              <w:jc w:val="both"/>
              <w:rPr>
                <w:rFonts w:ascii="Arial" w:eastAsia="Arial" w:hAnsi="Arial" w:cs="Arial"/>
                <w:sz w:val="24"/>
                <w:szCs w:val="24"/>
              </w:rPr>
            </w:pPr>
            <w:r>
              <w:rPr>
                <w:rFonts w:ascii="Arial" w:eastAsia="Arial" w:hAnsi="Arial" w:cs="Arial"/>
                <w:sz w:val="24"/>
                <w:szCs w:val="24"/>
              </w:rPr>
              <w:t>Contratação de serviços de forma segmentada, por meio da aquisição separada dos componentes necessários à implantação do estande, tais como projeto e design, montagem da estrutura, locação de mobiliário, comunicação visual e apoio operacional durante o evento. Essa alternativa permite maior flexibilidade na escolha dos fornecedores e possível otimização de custos, porém demanda maior esforço de coordenação e gerenciamento por parte da Portos RS.</w:t>
            </w:r>
          </w:p>
        </w:tc>
      </w:tr>
      <w:tr w:rsidR="000303BB" w14:paraId="49963C5A"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1D5D21EB" w14:textId="77777777" w:rsidR="000303BB" w:rsidRDefault="00000000">
            <w:pPr>
              <w:spacing w:after="0" w:line="360" w:lineRule="auto"/>
              <w:jc w:val="center"/>
              <w:rPr>
                <w:rFonts w:ascii="Arial" w:eastAsia="Arial" w:hAnsi="Arial" w:cs="Arial"/>
                <w:color w:val="FF0000"/>
                <w:sz w:val="24"/>
                <w:szCs w:val="24"/>
              </w:rPr>
            </w:pPr>
            <w:r>
              <w:rPr>
                <w:rFonts w:ascii="Arial" w:eastAsia="Arial" w:hAnsi="Arial" w:cs="Arial"/>
                <w:b/>
                <w:bCs/>
                <w:sz w:val="24"/>
                <w:szCs w:val="24"/>
              </w:rPr>
              <w:t>VI – ESTIMATIVA DO PREÇO DA CONTRATAÇÃO </w:t>
            </w:r>
            <w:r>
              <w:rPr>
                <w:rFonts w:ascii="Arial" w:eastAsia="Arial" w:hAnsi="Arial" w:cs="Arial"/>
                <w:sz w:val="24"/>
                <w:szCs w:val="24"/>
              </w:rPr>
              <w:t> </w:t>
            </w:r>
          </w:p>
          <w:p w14:paraId="18EB05F9" w14:textId="77777777" w:rsidR="000303BB" w:rsidRDefault="000303BB">
            <w:pPr>
              <w:spacing w:after="0" w:line="360" w:lineRule="auto"/>
              <w:jc w:val="center"/>
              <w:rPr>
                <w:rFonts w:ascii="Arial" w:eastAsia="Arial" w:hAnsi="Arial" w:cs="Arial"/>
                <w:sz w:val="24"/>
                <w:szCs w:val="24"/>
              </w:rPr>
            </w:pPr>
          </w:p>
          <w:p w14:paraId="35E9134D" w14:textId="61166BFB" w:rsidR="000303BB" w:rsidRDefault="008F40C8">
            <w:pPr>
              <w:spacing w:before="240" w:after="240" w:line="360" w:lineRule="auto"/>
              <w:ind w:left="141" w:right="239"/>
              <w:jc w:val="both"/>
              <w:rPr>
                <w:rFonts w:ascii="Arial" w:eastAsia="Arial" w:hAnsi="Arial" w:cs="Arial"/>
                <w:sz w:val="24"/>
                <w:szCs w:val="24"/>
              </w:rPr>
            </w:pPr>
            <w:r>
              <w:rPr>
                <w:rFonts w:ascii="Arial" w:eastAsia="Arial" w:hAnsi="Arial" w:cs="Arial"/>
                <w:sz w:val="24"/>
                <w:szCs w:val="24"/>
              </w:rPr>
              <w:lastRenderedPageBreak/>
              <w:t>Sigiloso</w:t>
            </w:r>
          </w:p>
        </w:tc>
      </w:tr>
      <w:tr w:rsidR="000303BB" w14:paraId="4BB478D3"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23961832" w14:textId="77777777" w:rsidR="000303BB" w:rsidRDefault="00000000">
            <w:pPr>
              <w:spacing w:after="0" w:line="360" w:lineRule="auto"/>
              <w:jc w:val="center"/>
              <w:rPr>
                <w:rFonts w:ascii="Arial" w:eastAsia="Arial" w:hAnsi="Arial" w:cs="Arial"/>
                <w:color w:val="FF0000"/>
                <w:sz w:val="24"/>
                <w:szCs w:val="24"/>
              </w:rPr>
            </w:pPr>
            <w:r>
              <w:rPr>
                <w:rFonts w:ascii="Arial" w:eastAsia="Arial" w:hAnsi="Arial" w:cs="Arial"/>
                <w:b/>
                <w:bCs/>
                <w:sz w:val="24"/>
                <w:szCs w:val="24"/>
              </w:rPr>
              <w:lastRenderedPageBreak/>
              <w:t>VII – JUSTIFICATIVA PARA PARCELAMENTO</w:t>
            </w:r>
            <w:r>
              <w:rPr>
                <w:rFonts w:ascii="Arial" w:eastAsia="Arial" w:hAnsi="Arial" w:cs="Arial"/>
                <w:sz w:val="24"/>
                <w:szCs w:val="24"/>
              </w:rPr>
              <w:t> </w:t>
            </w:r>
          </w:p>
          <w:p w14:paraId="502B054A" w14:textId="77777777" w:rsidR="000303BB" w:rsidRDefault="000303BB">
            <w:pPr>
              <w:spacing w:after="0" w:line="360" w:lineRule="auto"/>
              <w:ind w:right="2940"/>
              <w:jc w:val="right"/>
              <w:rPr>
                <w:rFonts w:ascii="Arial" w:eastAsia="Arial" w:hAnsi="Arial" w:cs="Arial"/>
                <w:sz w:val="24"/>
                <w:szCs w:val="24"/>
              </w:rPr>
            </w:pPr>
          </w:p>
          <w:p w14:paraId="1D76BA88" w14:textId="77777777" w:rsidR="000303BB" w:rsidRDefault="00000000">
            <w:pPr>
              <w:tabs>
                <w:tab w:val="left" w:pos="246"/>
              </w:tabs>
              <w:spacing w:after="0" w:line="360" w:lineRule="auto"/>
              <w:ind w:left="141" w:right="165"/>
              <w:jc w:val="both"/>
              <w:rPr>
                <w:rFonts w:ascii="Arial" w:eastAsia="Arial" w:hAnsi="Arial" w:cs="Arial"/>
                <w:sz w:val="24"/>
                <w:szCs w:val="24"/>
              </w:rPr>
            </w:pPr>
            <w:r>
              <w:rPr>
                <w:rFonts w:ascii="Arial" w:eastAsia="Arial" w:hAnsi="Arial" w:cs="Arial"/>
                <w:sz w:val="24"/>
                <w:szCs w:val="24"/>
              </w:rPr>
              <w:t>Quanto à solução que prevê a contratação de empresa especializada para elaboração do projeto, montagem, desmontagem e manutenção do estande institucional, entende-se que não é recomendável o parcelamento do objeto, tendo em vista a natureza integrada dos serviços, cuja execução exige compatibilidade técnica, responsabilidade única e coordenação contínua, de modo a assegurar a qualidade, o cumprimento de prazos e a conformidade com as normas do evento.</w:t>
            </w:r>
          </w:p>
          <w:p w14:paraId="6EDEB44B" w14:textId="77777777" w:rsidR="000303BB" w:rsidRDefault="000303BB">
            <w:pPr>
              <w:tabs>
                <w:tab w:val="left" w:pos="246"/>
              </w:tabs>
              <w:spacing w:after="0" w:line="360" w:lineRule="auto"/>
              <w:ind w:left="141" w:right="165"/>
              <w:jc w:val="both"/>
              <w:rPr>
                <w:rFonts w:ascii="Arial" w:eastAsia="Arial" w:hAnsi="Arial" w:cs="Arial"/>
                <w:sz w:val="24"/>
                <w:szCs w:val="24"/>
              </w:rPr>
            </w:pPr>
          </w:p>
          <w:p w14:paraId="70B7869F" w14:textId="77777777" w:rsidR="000303BB" w:rsidRDefault="00000000">
            <w:pPr>
              <w:tabs>
                <w:tab w:val="left" w:pos="246"/>
              </w:tabs>
              <w:spacing w:after="0" w:line="360" w:lineRule="auto"/>
              <w:ind w:left="141" w:right="165"/>
              <w:jc w:val="both"/>
              <w:rPr>
                <w:rFonts w:ascii="Arial" w:eastAsia="Arial" w:hAnsi="Arial" w:cs="Arial"/>
                <w:sz w:val="24"/>
                <w:szCs w:val="24"/>
              </w:rPr>
            </w:pPr>
            <w:r>
              <w:rPr>
                <w:rFonts w:ascii="Arial" w:eastAsia="Arial" w:hAnsi="Arial" w:cs="Arial"/>
                <w:sz w:val="24"/>
                <w:szCs w:val="24"/>
              </w:rPr>
              <w:t xml:space="preserve">Por outro lado, na solução que contempla a contratação segmentada dos serviços, o parcelamento mostra-se viável, uma vez que os serviços podem ser executados de forma independente, tais como projeto, montagem da estrutura, locação de mobiliário, comunicação visual e apoio operacional, desde que adequadamente coordenados. </w:t>
            </w:r>
          </w:p>
        </w:tc>
      </w:tr>
      <w:tr w:rsidR="000303BB" w14:paraId="33E2196E"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658C0241" w14:textId="77777777" w:rsidR="000303BB" w:rsidRDefault="00000000">
            <w:pPr>
              <w:spacing w:after="0" w:line="360" w:lineRule="auto"/>
              <w:jc w:val="center"/>
              <w:rPr>
                <w:rFonts w:ascii="Arial" w:eastAsia="Arial" w:hAnsi="Arial" w:cs="Arial"/>
                <w:color w:val="FF0000"/>
                <w:sz w:val="24"/>
                <w:szCs w:val="24"/>
              </w:rPr>
            </w:pPr>
            <w:r>
              <w:rPr>
                <w:rFonts w:ascii="Arial" w:eastAsia="Arial" w:hAnsi="Arial" w:cs="Arial"/>
                <w:b/>
                <w:bCs/>
                <w:sz w:val="24"/>
                <w:szCs w:val="24"/>
              </w:rPr>
              <w:t>VIII – PROVIDÊNCIAS PRÉVIAS AO CONTRATO</w:t>
            </w:r>
            <w:r>
              <w:rPr>
                <w:rFonts w:ascii="Arial" w:eastAsia="Arial" w:hAnsi="Arial" w:cs="Arial"/>
                <w:sz w:val="24"/>
                <w:szCs w:val="24"/>
              </w:rPr>
              <w:t> </w:t>
            </w:r>
          </w:p>
          <w:p w14:paraId="473F5C04" w14:textId="77777777" w:rsidR="000303BB" w:rsidRDefault="000303BB">
            <w:pPr>
              <w:spacing w:after="0" w:line="360" w:lineRule="auto"/>
              <w:ind w:left="141" w:right="239"/>
              <w:jc w:val="center"/>
              <w:rPr>
                <w:rFonts w:ascii="Arial" w:eastAsia="Arial" w:hAnsi="Arial" w:cs="Arial"/>
                <w:sz w:val="24"/>
                <w:szCs w:val="24"/>
              </w:rPr>
            </w:pPr>
          </w:p>
          <w:p w14:paraId="64B9EE93" w14:textId="1CF15BA8" w:rsidR="000303BB" w:rsidRDefault="00000000">
            <w:pPr>
              <w:widowControl w:val="0"/>
              <w:spacing w:after="0" w:line="360" w:lineRule="auto"/>
              <w:ind w:left="141" w:right="239"/>
              <w:jc w:val="both"/>
              <w:rPr>
                <w:rFonts w:ascii="Arial" w:eastAsia="Arial" w:hAnsi="Arial" w:cs="Arial"/>
                <w:sz w:val="24"/>
                <w:szCs w:val="24"/>
              </w:rPr>
            </w:pPr>
            <w:r>
              <w:rPr>
                <w:rFonts w:ascii="Arial" w:eastAsia="Arial" w:hAnsi="Arial" w:cs="Arial"/>
                <w:sz w:val="24"/>
                <w:szCs w:val="24"/>
              </w:rPr>
              <w:t>Como providência prévia comum às duas soluções, deverá ser considerada a existência de contrato vigente com a empresa Informa Markets Ltda., organizadora da Intermodal South America, referente à locação do espaço para instalação do estande institucional da Portos RS, conforme Contrato nº 1669/2025, o qual deverá ser observado e compatibilizado com a solução adotada.</w:t>
            </w:r>
          </w:p>
          <w:p w14:paraId="4C027789" w14:textId="77777777" w:rsidR="000303BB" w:rsidRDefault="000303BB">
            <w:pPr>
              <w:widowControl w:val="0"/>
              <w:spacing w:after="0" w:line="360" w:lineRule="auto"/>
              <w:ind w:left="141" w:right="239"/>
              <w:jc w:val="both"/>
              <w:rPr>
                <w:rFonts w:ascii="Arial" w:eastAsia="Arial" w:hAnsi="Arial" w:cs="Arial"/>
                <w:sz w:val="24"/>
                <w:szCs w:val="24"/>
              </w:rPr>
            </w:pPr>
          </w:p>
          <w:p w14:paraId="15B09F75" w14:textId="77777777" w:rsidR="000303BB" w:rsidRDefault="00000000">
            <w:pPr>
              <w:widowControl w:val="0"/>
              <w:spacing w:after="0" w:line="360" w:lineRule="auto"/>
              <w:ind w:left="141" w:right="239"/>
              <w:jc w:val="both"/>
              <w:rPr>
                <w:rFonts w:ascii="Arial" w:eastAsia="Arial" w:hAnsi="Arial" w:cs="Arial"/>
                <w:sz w:val="24"/>
                <w:szCs w:val="24"/>
              </w:rPr>
            </w:pPr>
            <w:r>
              <w:rPr>
                <w:rFonts w:ascii="Arial" w:eastAsia="Arial" w:hAnsi="Arial" w:cs="Arial"/>
                <w:sz w:val="24"/>
                <w:szCs w:val="24"/>
              </w:rPr>
              <w:t>Para a solução de contratação de empresa especializada, deverão ser previamente definidas as especificações técnicas do estande, o escopo dos serviços e a compatibilidade do projeto com o espaço já contratado. Na solução de contratação segmentada, deverão ser definidos previamente os objetos de cada contratação, o cronograma e a forma de integração dos serviços, assegurando a adequação ao espaço disponibilizado.</w:t>
            </w:r>
          </w:p>
        </w:tc>
      </w:tr>
      <w:tr w:rsidR="000303BB" w14:paraId="3B71995A"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03F66735"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sz w:val="24"/>
                <w:szCs w:val="24"/>
              </w:rPr>
              <w:t>IX – CONTRATAÇÕES CORRELATAS/INTERDEPENDENTES</w:t>
            </w:r>
            <w:r>
              <w:rPr>
                <w:rFonts w:ascii="Arial" w:eastAsia="Arial" w:hAnsi="Arial" w:cs="Arial"/>
                <w:sz w:val="24"/>
                <w:szCs w:val="24"/>
              </w:rPr>
              <w:t> </w:t>
            </w:r>
          </w:p>
          <w:p w14:paraId="1EE2125B" w14:textId="77777777" w:rsidR="000303BB" w:rsidRDefault="000303BB">
            <w:pPr>
              <w:spacing w:after="0" w:line="360" w:lineRule="auto"/>
              <w:jc w:val="center"/>
              <w:rPr>
                <w:rFonts w:ascii="Arial" w:eastAsia="Arial" w:hAnsi="Arial" w:cs="Arial"/>
                <w:sz w:val="24"/>
                <w:szCs w:val="24"/>
              </w:rPr>
            </w:pPr>
          </w:p>
          <w:p w14:paraId="61E6E614" w14:textId="77777777" w:rsidR="000303BB" w:rsidRDefault="00000000">
            <w:pPr>
              <w:spacing w:after="0" w:line="360" w:lineRule="auto"/>
              <w:ind w:left="141" w:right="239"/>
              <w:jc w:val="both"/>
              <w:rPr>
                <w:rFonts w:ascii="Arial" w:eastAsia="Arial" w:hAnsi="Arial" w:cs="Arial"/>
                <w:sz w:val="24"/>
                <w:szCs w:val="24"/>
              </w:rPr>
            </w:pPr>
            <w:r>
              <w:rPr>
                <w:rFonts w:ascii="Arial" w:eastAsia="Arial" w:hAnsi="Arial" w:cs="Arial"/>
                <w:sz w:val="24"/>
                <w:szCs w:val="24"/>
              </w:rPr>
              <w:t>Não há contratações interdependentes em andamento que possam impactar ou interferir no planejamento da presente necessidade.</w:t>
            </w:r>
          </w:p>
          <w:p w14:paraId="72156FDE" w14:textId="77777777" w:rsidR="000303BB" w:rsidRDefault="000303BB">
            <w:pPr>
              <w:spacing w:after="0" w:line="360" w:lineRule="auto"/>
              <w:ind w:left="105" w:right="105"/>
              <w:jc w:val="both"/>
              <w:rPr>
                <w:rFonts w:ascii="Arial" w:eastAsia="Arial" w:hAnsi="Arial" w:cs="Arial"/>
                <w:sz w:val="24"/>
                <w:szCs w:val="24"/>
              </w:rPr>
            </w:pPr>
          </w:p>
        </w:tc>
      </w:tr>
      <w:tr w:rsidR="000303BB" w14:paraId="3C472142"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1014D55C" w14:textId="77777777" w:rsidR="000303BB" w:rsidRDefault="00000000">
            <w:pPr>
              <w:spacing w:after="0" w:line="360" w:lineRule="auto"/>
              <w:jc w:val="center"/>
              <w:rPr>
                <w:rFonts w:ascii="Arial" w:eastAsia="Arial" w:hAnsi="Arial" w:cs="Arial"/>
                <w:color w:val="FF0000"/>
                <w:sz w:val="24"/>
                <w:szCs w:val="24"/>
              </w:rPr>
            </w:pPr>
            <w:r>
              <w:rPr>
                <w:rFonts w:ascii="Arial" w:eastAsia="Arial" w:hAnsi="Arial" w:cs="Arial"/>
                <w:b/>
                <w:bCs/>
                <w:sz w:val="24"/>
                <w:szCs w:val="24"/>
              </w:rPr>
              <w:lastRenderedPageBreak/>
              <w:t>X – IMPACTOS AMBIENTAIS</w:t>
            </w:r>
            <w:r>
              <w:rPr>
                <w:rFonts w:ascii="Arial" w:eastAsia="Arial" w:hAnsi="Arial" w:cs="Arial"/>
                <w:sz w:val="24"/>
                <w:szCs w:val="24"/>
              </w:rPr>
              <w:t> </w:t>
            </w:r>
          </w:p>
          <w:p w14:paraId="0A49DEBA" w14:textId="77777777" w:rsidR="000303BB" w:rsidRDefault="000303BB">
            <w:pPr>
              <w:spacing w:after="0" w:line="360" w:lineRule="auto"/>
              <w:jc w:val="center"/>
              <w:rPr>
                <w:rFonts w:ascii="Arial" w:eastAsia="Arial" w:hAnsi="Arial" w:cs="Arial"/>
                <w:sz w:val="24"/>
                <w:szCs w:val="24"/>
              </w:rPr>
            </w:pPr>
          </w:p>
          <w:p w14:paraId="4EF230CE" w14:textId="77777777" w:rsidR="000303BB" w:rsidRDefault="00000000">
            <w:pPr>
              <w:spacing w:after="0" w:line="360" w:lineRule="auto"/>
              <w:ind w:left="141" w:right="239"/>
              <w:jc w:val="both"/>
              <w:rPr>
                <w:rFonts w:ascii="Arial" w:eastAsia="Arial" w:hAnsi="Arial" w:cs="Arial"/>
                <w:sz w:val="24"/>
                <w:szCs w:val="24"/>
              </w:rPr>
            </w:pPr>
            <w:r>
              <w:rPr>
                <w:rFonts w:ascii="Arial" w:eastAsia="Arial" w:hAnsi="Arial" w:cs="Arial"/>
                <w:sz w:val="24"/>
                <w:szCs w:val="24"/>
              </w:rPr>
              <w:t>As duas soluções apresentam impactos ambientais temporários e de baixa magnitude, associados principalmente ao uso de materiais para a montagem do estande, ao consumo de energia e à geração de resíduos. Na solução de contratação de empresa especializada, esses impactos tendem a ser mais controlados, em razão do uso de estruturas modulares reutilizáveis e de práticas padronizadas de gestão de resíduos, enquanto na solução de contratação segmentada os impactos podem ser ligeiramente maiores, em função da atuação de múltiplos fornecedores e do aumento da logística envolvida, sendo que, em ambas as hipóteses, os impactos podem ser mitigados por meio da adoção de materiais reutilizáveis, uso eficiente de energia e correta destinação dos resíduos.</w:t>
            </w:r>
          </w:p>
        </w:tc>
      </w:tr>
      <w:tr w:rsidR="000303BB" w14:paraId="0BB6D569" w14:textId="77777777">
        <w:trPr>
          <w:trHeight w:val="300"/>
        </w:trPr>
        <w:tc>
          <w:tcPr>
            <w:tcW w:w="8458" w:type="dxa"/>
            <w:tcBorders>
              <w:top w:val="single" w:sz="6" w:space="0" w:color="000000"/>
              <w:left w:val="single" w:sz="6" w:space="0" w:color="000000"/>
              <w:bottom w:val="single" w:sz="6" w:space="0" w:color="000000"/>
              <w:right w:val="single" w:sz="6" w:space="0" w:color="000000"/>
            </w:tcBorders>
          </w:tcPr>
          <w:p w14:paraId="0FD3B353" w14:textId="77777777" w:rsidR="000303BB" w:rsidRDefault="00000000">
            <w:pPr>
              <w:spacing w:after="0" w:line="360" w:lineRule="auto"/>
              <w:jc w:val="center"/>
              <w:rPr>
                <w:rFonts w:ascii="Arial" w:eastAsia="Arial" w:hAnsi="Arial" w:cs="Arial"/>
                <w:sz w:val="24"/>
                <w:szCs w:val="24"/>
              </w:rPr>
            </w:pPr>
            <w:r>
              <w:rPr>
                <w:rFonts w:ascii="Arial" w:eastAsia="Arial" w:hAnsi="Arial" w:cs="Arial"/>
                <w:b/>
                <w:bCs/>
                <w:sz w:val="24"/>
                <w:szCs w:val="24"/>
              </w:rPr>
              <w:t>XI – VIABILIDADE DA CONTRATAÇÃO</w:t>
            </w:r>
            <w:r>
              <w:rPr>
                <w:rFonts w:ascii="Arial" w:eastAsia="Arial" w:hAnsi="Arial" w:cs="Arial"/>
                <w:sz w:val="24"/>
                <w:szCs w:val="24"/>
              </w:rPr>
              <w:t> </w:t>
            </w:r>
          </w:p>
          <w:p w14:paraId="47934288" w14:textId="77777777" w:rsidR="000303BB" w:rsidRDefault="00000000">
            <w:pPr>
              <w:spacing w:after="0" w:line="360" w:lineRule="auto"/>
              <w:rPr>
                <w:rFonts w:ascii="Arial" w:eastAsia="Arial" w:hAnsi="Arial" w:cs="Arial"/>
                <w:sz w:val="24"/>
                <w:szCs w:val="24"/>
              </w:rPr>
            </w:pPr>
            <w:r>
              <w:rPr>
                <w:rFonts w:ascii="Arial" w:eastAsia="Arial" w:hAnsi="Arial" w:cs="Arial"/>
                <w:sz w:val="24"/>
                <w:szCs w:val="24"/>
              </w:rPr>
              <w:t> </w:t>
            </w:r>
          </w:p>
          <w:p w14:paraId="776C2AE7" w14:textId="77777777" w:rsidR="000303BB" w:rsidRDefault="00000000">
            <w:pPr>
              <w:spacing w:after="0" w:line="360" w:lineRule="auto"/>
              <w:ind w:left="141" w:right="165"/>
              <w:jc w:val="both"/>
              <w:rPr>
                <w:rFonts w:ascii="Arial" w:eastAsia="Arial" w:hAnsi="Arial" w:cs="Arial"/>
                <w:sz w:val="24"/>
                <w:szCs w:val="24"/>
              </w:rPr>
            </w:pPr>
            <w:r>
              <w:rPr>
                <w:rFonts w:ascii="Arial" w:eastAsia="Arial" w:hAnsi="Arial" w:cs="Arial"/>
                <w:sz w:val="24"/>
                <w:szCs w:val="24"/>
              </w:rPr>
              <w:t xml:space="preserve">Entre as alternativas consideradas para atender à necessidade de participação institucional da Portos RS na Intermodal South America 2026, mostra-se viável e mais adequada a </w:t>
            </w:r>
            <w:r>
              <w:rPr>
                <w:rFonts w:ascii="Arial" w:eastAsia="Arial" w:hAnsi="Arial" w:cs="Arial"/>
                <w:b/>
                <w:bCs/>
                <w:sz w:val="24"/>
                <w:szCs w:val="24"/>
              </w:rPr>
              <w:t>contratação de empresa especializada para elaboração do projeto, montagem, desmontagem e manutenção do estande institucional.</w:t>
            </w:r>
            <w:r>
              <w:rPr>
                <w:rFonts w:ascii="Arial" w:eastAsia="Arial" w:hAnsi="Arial" w:cs="Arial"/>
                <w:sz w:val="24"/>
                <w:szCs w:val="24"/>
              </w:rPr>
              <w:t xml:space="preserve"> Essa solução assegura maior eficiência operacional, padronização, cumprimento de prazos e melhor controle da qualidade, além de adequada compatibilização com o espaço já contratado junto à organizadora do evento, conforme Contrato nº 1669/2025. Ressalta-se que essa forma de contratação já foi adotada pela Portos RS em edições anteriores da feira, conforme os processos administrativos Nº 23/9301-0003431-9 e Nº 24/9301-0001929-3, o que comprova sua viabilidade técnica, administrativa e operacional, atendendo aos princípios da eficiência e economicidade.</w:t>
            </w:r>
          </w:p>
        </w:tc>
      </w:tr>
    </w:tbl>
    <w:p w14:paraId="0025C96E" w14:textId="77777777" w:rsidR="000303BB" w:rsidRDefault="00000000">
      <w:pPr>
        <w:spacing w:after="0" w:line="360" w:lineRule="auto"/>
        <w:rPr>
          <w:rFonts w:ascii="Arial" w:eastAsia="Arial" w:hAnsi="Arial" w:cs="Arial"/>
          <w:sz w:val="24"/>
          <w:szCs w:val="24"/>
        </w:rPr>
      </w:pPr>
      <w:r>
        <w:rPr>
          <w:rFonts w:ascii="Arial" w:eastAsia="Arial" w:hAnsi="Arial" w:cs="Arial"/>
          <w:sz w:val="24"/>
          <w:szCs w:val="24"/>
        </w:rPr>
        <w:t> </w:t>
      </w:r>
    </w:p>
    <w:p w14:paraId="44AD41D9" w14:textId="77777777" w:rsidR="000303BB" w:rsidRDefault="000303BB">
      <w:pPr>
        <w:spacing w:after="0" w:line="240" w:lineRule="auto"/>
        <w:ind w:left="1755" w:hanging="885"/>
      </w:pPr>
    </w:p>
    <w:sectPr w:rsidR="000303BB">
      <w:headerReference w:type="default" r:id="rId8"/>
      <w:pgSz w:w="11906" w:h="16838"/>
      <w:pgMar w:top="709"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95B40" w14:textId="77777777" w:rsidR="00796EA6" w:rsidRDefault="00796EA6">
      <w:pPr>
        <w:spacing w:after="0" w:line="240" w:lineRule="auto"/>
      </w:pPr>
      <w:r>
        <w:separator/>
      </w:r>
    </w:p>
  </w:endnote>
  <w:endnote w:type="continuationSeparator" w:id="0">
    <w:p w14:paraId="11BF9D86" w14:textId="77777777" w:rsidR="00796EA6" w:rsidRDefault="00796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76A2753-B15B-4AFE-8D7E-00C669CFE118}"/>
    <w:embedBold r:id="rId2" w:fontKey="{BC74345D-4FFA-41C0-8F94-383D6CFBF86A}"/>
  </w:font>
  <w:font w:name="Georgia">
    <w:panose1 w:val="02040502050405020303"/>
    <w:charset w:val="00"/>
    <w:family w:val="roman"/>
    <w:pitch w:val="variable"/>
    <w:sig w:usb0="00000287" w:usb1="00000000" w:usb2="00000000" w:usb3="00000000" w:csb0="0000009F" w:csb1="00000000"/>
    <w:embedItalic r:id="rId3" w:fontKey="{F1009204-55B9-48A8-9A72-A28B17AA6844}"/>
  </w:font>
  <w:font w:name="Roboto">
    <w:altName w:val="Roboto"/>
    <w:charset w:val="00"/>
    <w:family w:val="auto"/>
    <w:pitch w:val="variable"/>
    <w:sig w:usb0="E0000AFF" w:usb1="5000217F" w:usb2="00000021" w:usb3="00000000" w:csb0="0000019F" w:csb1="00000000"/>
    <w:embedRegular r:id="rId4" w:fontKey="{79FD663C-07AF-492E-90CB-CDF288D7EB44}"/>
    <w:embedBold r:id="rId5" w:fontKey="{0BD34B22-2D4A-491D-AAFA-1A5B9DF64662}"/>
  </w:font>
  <w:font w:name="Quattrocento Sans">
    <w:charset w:val="00"/>
    <w:family w:val="swiss"/>
    <w:pitch w:val="variable"/>
    <w:sig w:usb0="800000BF" w:usb1="4000005B" w:usb2="00000000" w:usb3="00000000" w:csb0="00000001" w:csb1="00000000"/>
    <w:embedRegular r:id="rId6" w:fontKey="{1C42A873-AB5B-476E-8557-F1B8D624B894}"/>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D63403B4-6BAC-49E1-97DB-F9CF3796850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63B17" w14:textId="77777777" w:rsidR="00796EA6" w:rsidRDefault="00796EA6">
      <w:pPr>
        <w:spacing w:after="0" w:line="240" w:lineRule="auto"/>
      </w:pPr>
      <w:r>
        <w:separator/>
      </w:r>
    </w:p>
  </w:footnote>
  <w:footnote w:type="continuationSeparator" w:id="0">
    <w:p w14:paraId="2C224E5B" w14:textId="77777777" w:rsidR="00796EA6" w:rsidRDefault="00796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8896D" w14:textId="77777777" w:rsidR="000303BB" w:rsidRDefault="00000000">
    <w:pPr>
      <w:pBdr>
        <w:top w:val="nil"/>
        <w:left w:val="nil"/>
        <w:bottom w:val="nil"/>
        <w:right w:val="nil"/>
        <w:between w:val="nil"/>
      </w:pBdr>
      <w:tabs>
        <w:tab w:val="center" w:pos="4252"/>
        <w:tab w:val="right" w:pos="8504"/>
      </w:tabs>
      <w:spacing w:after="0" w:line="240" w:lineRule="auto"/>
      <w:rPr>
        <w:color w:val="000000"/>
      </w:rPr>
    </w:pPr>
    <w:r>
      <w:rPr>
        <w:noProof/>
        <w:color w:val="000000"/>
      </w:rPr>
      <w:drawing>
        <wp:inline distT="0" distB="0" distL="0" distR="0" wp14:anchorId="30B370F8" wp14:editId="6F019A14">
          <wp:extent cx="1487805" cy="469265"/>
          <wp:effectExtent l="0" t="0" r="0" b="0"/>
          <wp:docPr id="1953732160" name="image1.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10;&#10;O conteúdo gerado por IA pode estar incorreto."/>
                  <pic:cNvPicPr preferRelativeResize="0"/>
                </pic:nvPicPr>
                <pic:blipFill>
                  <a:blip r:embed="rId1"/>
                  <a:srcRect/>
                  <a:stretch>
                    <a:fillRect/>
                  </a:stretch>
                </pic:blipFill>
                <pic:spPr>
                  <a:xfrm>
                    <a:off x="0" y="0"/>
                    <a:ext cx="1487805" cy="46926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30F00"/>
    <w:multiLevelType w:val="multilevel"/>
    <w:tmpl w:val="40FC6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8C1AAB"/>
    <w:multiLevelType w:val="multilevel"/>
    <w:tmpl w:val="93745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2141703">
    <w:abstractNumId w:val="0"/>
  </w:num>
  <w:num w:numId="2" w16cid:durableId="1096827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3BB"/>
    <w:rsid w:val="000303BB"/>
    <w:rsid w:val="00187D75"/>
    <w:rsid w:val="00796EA6"/>
    <w:rsid w:val="007B6648"/>
    <w:rsid w:val="008F40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E9253"/>
  <w15:docId w15:val="{9DAA871D-1CCD-4ADA-9CA0-7F951650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customStyle="1" w:styleId="paragraph">
    <w:name w:val="paragraph"/>
    <w:basedOn w:val="Normal"/>
    <w:rsid w:val="003C65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3C65AA"/>
  </w:style>
  <w:style w:type="character" w:customStyle="1" w:styleId="eop">
    <w:name w:val="eop"/>
    <w:basedOn w:val="Fontepargpadro"/>
    <w:rsid w:val="003C65AA"/>
  </w:style>
  <w:style w:type="paragraph" w:styleId="PargrafodaLista">
    <w:name w:val="List Paragraph"/>
    <w:basedOn w:val="Normal"/>
    <w:uiPriority w:val="34"/>
    <w:qFormat/>
    <w:rsid w:val="0004353A"/>
    <w:pPr>
      <w:ind w:left="720"/>
      <w:contextualSpacing/>
    </w:pPr>
  </w:style>
  <w:style w:type="paragraph" w:styleId="Cabealho">
    <w:name w:val="header"/>
    <w:basedOn w:val="Normal"/>
    <w:link w:val="CabealhoChar"/>
    <w:uiPriority w:val="99"/>
    <w:unhideWhenUsed/>
    <w:rsid w:val="00847C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7CF8"/>
  </w:style>
  <w:style w:type="paragraph" w:styleId="Rodap">
    <w:name w:val="footer"/>
    <w:basedOn w:val="Normal"/>
    <w:link w:val="RodapChar"/>
    <w:uiPriority w:val="99"/>
    <w:unhideWhenUsed/>
    <w:rsid w:val="00847CF8"/>
    <w:pPr>
      <w:tabs>
        <w:tab w:val="center" w:pos="4252"/>
        <w:tab w:val="right" w:pos="8504"/>
      </w:tabs>
      <w:spacing w:after="0" w:line="240" w:lineRule="auto"/>
    </w:pPr>
  </w:style>
  <w:style w:type="character" w:customStyle="1" w:styleId="RodapChar">
    <w:name w:val="Rodapé Char"/>
    <w:basedOn w:val="Fontepargpadro"/>
    <w:link w:val="Rodap"/>
    <w:uiPriority w:val="99"/>
    <w:rsid w:val="00847CF8"/>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fy6QQK16e537LphTJw9rwBIMTg==">CgMxLjA4AHIhMUxGU3lEX0ppRHVPT2FDVUpDWDdrR01UaVAzUlYydU1n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1031</Words>
  <Characters>5571</Characters>
  <Application>Microsoft Office Word</Application>
  <DocSecurity>0</DocSecurity>
  <Lines>46</Lines>
  <Paragraphs>13</Paragraphs>
  <ScaleCrop>false</ScaleCrop>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Darlene Pereira Da Silva</dc:creator>
  <cp:lastModifiedBy>Erica Milena Pokosrki de Andrade</cp:lastModifiedBy>
  <cp:revision>3</cp:revision>
  <dcterms:created xsi:type="dcterms:W3CDTF">2026-02-06T17:22:00Z</dcterms:created>
  <dcterms:modified xsi:type="dcterms:W3CDTF">2026-02-06T17:24:00Z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2025-07-18T11:17:38Z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2c27907f-2faa-4738-ba8a-f50642eb61cc</vt:lpwstr>
  </property>
  <property fmtid="{D5CDD505-2E9C-101B-9397-08002B2CF9AE}" pid="8" name="MSIP_Label_defa4170-0d19-0005-0004-bc88714345d2_ContentBits">
    <vt:lpwstr>0</vt:lpwstr>
  </property>
</Properties>
</file>