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auto"/>
          <w:sz w:val="20"/>
          <w:szCs w:val="20"/>
          <w:lang w:val="pt-BR"/>
        </w:rPr>
        <w:t>216/2024</w:t>
      </w:r>
      <w:r>
        <w:rPr>
          <w:b/>
          <w:color w:val="auto"/>
          <w:sz w:val="20"/>
          <w:szCs w:val="20"/>
        </w:rPr>
        <w:t xml:space="preserve"> </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fals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123.482</w:t>
      </w:r>
      <w:r>
        <w:rPr>
          <w:b/>
          <w:bCs/>
          <w:color w:val="auto"/>
          <w:sz w:val="20"/>
          <w:szCs w:val="20"/>
          <w:lang w:val="pt-BR"/>
        </w:rPr>
        <w:t>/2024</w:t>
      </w:r>
      <w:r>
        <w:rPr>
          <w:b/>
          <w:color w:val="auto"/>
          <w:sz w:val="20"/>
          <w:szCs w:val="20"/>
          <w:lang w:val="pt-BR"/>
        </w:rPr>
        <w:t xml:space="preserve"> </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18/10/2024</w:t>
      </w:r>
      <w:r>
        <w:rPr>
          <w:color w:val="auto"/>
          <w:sz w:val="20"/>
          <w:szCs w:val="20"/>
          <w:lang w:val="pt-BR"/>
        </w:rPr>
        <w:t xml:space="preserve"> - 08h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 xml:space="preserve">Data de início de lances: </w:t>
      </w:r>
      <w:r>
        <w:rPr>
          <w:color w:val="auto"/>
          <w:sz w:val="20"/>
          <w:szCs w:val="20"/>
        </w:rPr>
        <w:t>18/10/2024</w:t>
      </w:r>
      <w:r>
        <w:rPr>
          <w:color w:val="auto"/>
          <w:sz w:val="20"/>
          <w:szCs w:val="20"/>
          <w:lang w:val="pt-BR"/>
        </w:rPr>
        <w:t xml:space="preserve"> - 09h</w:t>
      </w:r>
    </w:p>
    <w:p>
      <w:pPr>
        <w:pStyle w:val="Corpodotextorecuado"/>
        <w:widowControl w:val="false"/>
        <w:numPr>
          <w:ilvl w:val="0"/>
          <w:numId w:val="4"/>
        </w:numPr>
        <w:tabs>
          <w:tab w:val="clear" w:pos="709"/>
          <w:tab w:val="left" w:pos="284" w:leader="none"/>
        </w:tabs>
        <w:spacing w:lineRule="auto" w:line="240"/>
        <w:rPr>
          <w:color w:val="auto"/>
          <w:sz w:val="20"/>
          <w:szCs w:val="20"/>
        </w:rPr>
      </w:pPr>
      <w:r>
        <w:rPr>
          <w:color w:val="auto"/>
          <w:sz w:val="20"/>
          <w:szCs w:val="20"/>
        </w:rPr>
        <w:t>Data de encerramento de lances:</w:t>
      </w:r>
      <w:r>
        <w:rPr>
          <w:color w:val="auto"/>
          <w:sz w:val="20"/>
          <w:szCs w:val="20"/>
          <w:lang w:val="pt-BR"/>
        </w:rPr>
        <w:t xml:space="preserve"> </w:t>
      </w:r>
      <w:r>
        <w:rPr>
          <w:color w:val="auto"/>
          <w:sz w:val="20"/>
          <w:szCs w:val="20"/>
          <w:lang w:val="pt-BR"/>
        </w:rPr>
        <w:t>18/10/2024</w:t>
      </w:r>
      <w:r>
        <w:rPr>
          <w:color w:val="auto"/>
          <w:sz w:val="20"/>
          <w:szCs w:val="20"/>
          <w:lang w:val="pt-BR"/>
        </w:rPr>
        <w:t xml:space="preserve"> - 15h</w:t>
      </w:r>
    </w:p>
    <w:p>
      <w:pPr>
        <w:pStyle w:val="Corpodotextorecuado"/>
        <w:widowControl w:val="false"/>
        <w:numPr>
          <w:ilvl w:val="0"/>
          <w:numId w:val="4"/>
        </w:numPr>
        <w:tabs>
          <w:tab w:val="clear" w:pos="709"/>
          <w:tab w:val="left" w:pos="284" w:leader="none"/>
        </w:tabs>
        <w:overflowPunct w:val="false"/>
        <w:spacing w:lineRule="auto" w:line="240"/>
        <w:rPr>
          <w:b/>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false"/>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 xml:space="preserve">Aquisição de </w:t>
      </w:r>
      <w:r>
        <w:rPr>
          <w:rFonts w:cs="Arial" w:ascii="Arial" w:hAnsi="Arial"/>
          <w:b/>
          <w:bCs/>
          <w:sz w:val="20"/>
          <w:szCs w:val="20"/>
        </w:rPr>
        <w:t>g</w:t>
      </w:r>
      <w:r>
        <w:rPr>
          <w:rFonts w:cs="Arial" w:ascii="Arial" w:hAnsi="Arial"/>
          <w:b/>
          <w:bCs/>
          <w:i w:val="false"/>
          <w:caps w:val="false"/>
          <w:smallCaps w:val="false"/>
          <w:spacing w:val="0"/>
          <w:sz w:val="20"/>
          <w:szCs w:val="20"/>
        </w:rPr>
        <w:t>eladeira</w:t>
      </w:r>
      <w:r>
        <w:rPr>
          <w:rFonts w:cs="Arial" w:ascii="Arial" w:hAnsi="Arial"/>
          <w:b/>
          <w:bCs/>
          <w:i w:val="false"/>
          <w:caps w:val="false"/>
          <w:smallCaps w:val="false"/>
          <w:spacing w:val="0"/>
          <w:sz w:val="20"/>
          <w:szCs w:val="20"/>
        </w:rPr>
        <w:t>.</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 w:val="false"/>
          <w:i w:val="false"/>
          <w:caps w:val="false"/>
          <w:smallCaps w:val="false"/>
          <w:spacing w:val="0"/>
        </w:rPr>
        <w:t xml:space="preserve">Secretaria Municipal de Finanças - </w:t>
      </w:r>
      <w:r>
        <w:rPr>
          <w:rFonts w:cs="Arial" w:ascii="Arial" w:hAnsi="Arial"/>
          <w:b w:val="false"/>
          <w:i w:val="false"/>
          <w:caps w:val="false"/>
          <w:smallCaps w:val="false"/>
          <w:spacing w:val="0"/>
        </w:rPr>
        <w:t>SEMFI</w:t>
      </w:r>
      <w:r>
        <w:rPr>
          <w:rFonts w:cs="Arial" w:ascii="Arial" w:hAnsi="Arial"/>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Fonte de recursos: </w:t>
      </w:r>
      <w:r>
        <w:rPr>
          <w:rFonts w:cs="Arial" w:ascii="Arial" w:hAnsi="Arial"/>
          <w:b w:val="false"/>
          <w:i w:val="false"/>
          <w:caps w:val="false"/>
          <w:smallCaps w:val="false"/>
          <w:spacing w:val="0"/>
          <w:sz w:val="20"/>
          <w:szCs w:val="20"/>
        </w:rPr>
        <w:t>Tesouro; Dotação Orçamentária: 04.123.0004.2476.0000</w:t>
      </w:r>
      <w:r>
        <w:rPr>
          <w:rFonts w:cs="Arial" w:ascii="Arial" w:hAnsi="Arial"/>
          <w:sz w:val="20"/>
          <w:szCs w:val="20"/>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bCs/>
          <w:i w:val="false"/>
          <w:caps w:val="false"/>
          <w:smallCaps w:val="false"/>
          <w:spacing w:val="0"/>
        </w:rPr>
        <w:t>R$ 2.891,66 (dois mil oitocentos e noventa e um reais e sessenta e seis centavos).</w:t>
      </w:r>
      <w:r>
        <w:rPr>
          <w:rFonts w:cs="Arial" w:ascii="Arial" w:hAnsi="Arial"/>
          <w:b/>
          <w:bCs/>
        </w:rPr>
        <w:t xml:space="preserve"> </w:t>
      </w:r>
    </w:p>
    <w:p>
      <w:pPr>
        <w:pStyle w:val="Normal"/>
        <w:numPr>
          <w:ilvl w:val="0"/>
          <w:numId w:val="6"/>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6"/>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2"/>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3"/>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4"/>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e </w:t>
      </w:r>
      <w:r>
        <w:rPr>
          <w:rFonts w:cs="Arial" w:ascii="Arial" w:hAnsi="Arial"/>
          <w:b/>
          <w:sz w:val="20"/>
          <w:szCs w:val="20"/>
        </w:rPr>
        <w:t xml:space="preserve">a marca </w:t>
      </w:r>
      <w:r>
        <w:rPr>
          <w:rFonts w:cs="Arial" w:ascii="Arial" w:hAnsi="Arial"/>
          <w:sz w:val="20"/>
          <w:szCs w:val="20"/>
        </w:rPr>
        <w:t>dos produtos ofertados.</w:t>
      </w:r>
    </w:p>
    <w:p>
      <w:pPr>
        <w:pStyle w:val="ListParagraph"/>
        <w:numPr>
          <w:ilvl w:val="0"/>
          <w:numId w:val="25"/>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26"/>
        </w:numPr>
        <w:tabs>
          <w:tab w:val="clear" w:pos="709"/>
          <w:tab w:val="left" w:pos="284" w:leader="none"/>
        </w:tabs>
        <w:jc w:val="both"/>
        <w:rPr>
          <w:rFonts w:ascii="Arial" w:hAnsi="Arial" w:eastAsia="Arial" w:cs="Arial"/>
        </w:rPr>
      </w:pPr>
      <w:r>
        <w:rPr>
          <w:rFonts w:cs="Arial" w:ascii="Arial" w:hAnsi="Arial"/>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rPr>
            </w:pPr>
            <w:r>
              <w:rPr>
                <w:rFonts w:cs="Arial" w:ascii="Arial" w:hAnsi="Arial"/>
                <w:b w:val="false"/>
                <w:i w:val="false"/>
                <w:caps w:val="false"/>
                <w:smallCaps w:val="false"/>
                <w:spacing w:val="0"/>
              </w:rPr>
              <w:t>Geladeira Frost Free com as seguintes especificações:</w:t>
            </w:r>
          </w:p>
          <w:p>
            <w:pPr>
              <w:pStyle w:val="Contedodatabela"/>
              <w:widowControl w:val="false"/>
              <w:jc w:val="both"/>
              <w:rPr>
                <w:rFonts w:ascii="Arial" w:hAnsi="Arial" w:cs="Arial"/>
              </w:rPr>
            </w:pPr>
            <w:r>
              <w:rPr>
                <w:rFonts w:cs="Arial" w:ascii="Arial" w:hAnsi="Arial"/>
                <w:b w:val="false"/>
                <w:i w:val="false"/>
                <w:caps w:val="false"/>
                <w:smallCaps w:val="false"/>
                <w:spacing w:val="0"/>
              </w:rPr>
              <w:t>- Voltagem 127V</w:t>
            </w:r>
          </w:p>
          <w:p>
            <w:pPr>
              <w:pStyle w:val="Contedodatabela"/>
              <w:widowControl w:val="false"/>
              <w:jc w:val="both"/>
              <w:rPr>
                <w:rFonts w:ascii="Arial" w:hAnsi="Arial" w:cs="Arial"/>
              </w:rPr>
            </w:pPr>
            <w:r>
              <w:rPr>
                <w:rFonts w:cs="Arial" w:ascii="Arial" w:hAnsi="Arial"/>
                <w:b w:val="false"/>
                <w:i w:val="false"/>
                <w:caps w:val="false"/>
                <w:smallCaps w:val="false"/>
                <w:spacing w:val="0"/>
              </w:rPr>
              <w:t>- Profundidade aproximada entre 60 e 70 cm</w:t>
            </w:r>
          </w:p>
          <w:p>
            <w:pPr>
              <w:pStyle w:val="Contedodatabela"/>
              <w:widowControl w:val="false"/>
              <w:jc w:val="both"/>
              <w:rPr>
                <w:rFonts w:ascii="Arial" w:hAnsi="Arial" w:cs="Arial"/>
              </w:rPr>
            </w:pPr>
            <w:r>
              <w:rPr>
                <w:rFonts w:cs="Arial" w:ascii="Arial" w:hAnsi="Arial"/>
                <w:b w:val="false"/>
                <w:i w:val="false"/>
                <w:caps w:val="false"/>
                <w:smallCaps w:val="false"/>
                <w:spacing w:val="0"/>
              </w:rPr>
              <w:t>- Capacidade de aproximadamente 340 litros</w:t>
            </w:r>
          </w:p>
          <w:p>
            <w:pPr>
              <w:pStyle w:val="Contedodatabela"/>
              <w:widowControl w:val="false"/>
              <w:jc w:val="both"/>
              <w:rPr>
                <w:rFonts w:ascii="Arial" w:hAnsi="Arial" w:cs="Arial"/>
              </w:rPr>
            </w:pPr>
            <w:r>
              <w:rPr>
                <w:rFonts w:cs="Arial" w:ascii="Arial" w:hAnsi="Arial"/>
                <w:b w:val="false"/>
                <w:i w:val="false"/>
                <w:caps w:val="false"/>
                <w:smallCaps w:val="false"/>
                <w:spacing w:val="0"/>
              </w:rPr>
              <w:t>- Congelador com capacidade de aproximadamente 50 litros</w:t>
            </w:r>
          </w:p>
          <w:p>
            <w:pPr>
              <w:pStyle w:val="Contedodatabela"/>
              <w:widowControl w:val="false"/>
              <w:jc w:val="both"/>
              <w:rPr>
                <w:rFonts w:ascii="Arial" w:hAnsi="Arial" w:cs="Arial"/>
              </w:rPr>
            </w:pPr>
            <w:r>
              <w:rPr>
                <w:rFonts w:cs="Arial" w:ascii="Arial" w:hAnsi="Arial"/>
                <w:b w:val="false"/>
                <w:i w:val="false"/>
                <w:caps w:val="false"/>
                <w:smallCaps w:val="false"/>
                <w:spacing w:val="0"/>
              </w:rPr>
              <w:t>- Controle de Temperatura externo</w:t>
            </w:r>
          </w:p>
          <w:p>
            <w:pPr>
              <w:pStyle w:val="Contedodatabela"/>
              <w:widowControl w:val="false"/>
              <w:jc w:val="both"/>
              <w:rPr>
                <w:rFonts w:ascii="Arial" w:hAnsi="Arial" w:cs="Arial"/>
              </w:rPr>
            </w:pPr>
            <w:r>
              <w:rPr>
                <w:rFonts w:cs="Arial" w:ascii="Arial" w:hAnsi="Arial"/>
                <w:b w:val="false"/>
                <w:i w:val="false"/>
                <w:caps w:val="false"/>
                <w:smallCaps w:val="false"/>
                <w:spacing w:val="0"/>
              </w:rPr>
              <w:t>- Tipo de degelo: sistema Frost Free</w:t>
            </w:r>
          </w:p>
          <w:p>
            <w:pPr>
              <w:pStyle w:val="Contedodatabela"/>
              <w:widowControl w:val="false"/>
              <w:jc w:val="both"/>
              <w:rPr>
                <w:rFonts w:ascii="Arial" w:hAnsi="Arial" w:cs="Arial"/>
              </w:rPr>
            </w:pPr>
            <w:r>
              <w:rPr>
                <w:rFonts w:cs="Arial" w:ascii="Arial" w:hAnsi="Arial"/>
                <w:b w:val="false"/>
                <w:i w:val="false"/>
                <w:caps w:val="false"/>
                <w:smallCaps w:val="false"/>
                <w:spacing w:val="0"/>
              </w:rPr>
              <w:t>- Categoria A de energia</w:t>
            </w:r>
          </w:p>
          <w:p>
            <w:pPr>
              <w:pStyle w:val="Contedodatabela"/>
              <w:widowControl w:val="false"/>
              <w:jc w:val="both"/>
              <w:rPr>
                <w:rFonts w:ascii="Arial" w:hAnsi="Arial" w:cs="Arial"/>
              </w:rPr>
            </w:pPr>
            <w:r>
              <w:rPr>
                <w:rFonts w:cs="Arial" w:ascii="Arial" w:hAnsi="Arial"/>
                <w:b w:val="false"/>
                <w:i w:val="false"/>
                <w:caps w:val="false"/>
                <w:smallCaps w:val="false"/>
                <w:spacing w:val="0"/>
              </w:rPr>
              <w:t>- Garantia mínima: 12 meses</w:t>
            </w:r>
          </w:p>
          <w:p>
            <w:pPr>
              <w:pStyle w:val="Contedodatabela"/>
              <w:widowControl w:val="false"/>
              <w:jc w:val="both"/>
              <w:rPr>
                <w:rFonts w:ascii="Arial" w:hAnsi="Arial" w:cs="Arial"/>
              </w:rPr>
            </w:pPr>
            <w:r>
              <w:rPr>
                <w:rFonts w:cs="Arial" w:ascii="Arial" w:hAnsi="Arial"/>
                <w:b w:val="false"/>
                <w:i w:val="false"/>
                <w:caps w:val="false"/>
                <w:smallCaps w:val="false"/>
                <w:spacing w:val="0"/>
              </w:rPr>
              <w:t>Garantia:Marca</w:t>
            </w:r>
            <w:r>
              <w:rPr>
                <w:rFonts w:cs="Arial" w:ascii="Arial" w:hAnsi="Arial"/>
              </w:rPr>
              <w:t xml:space="preserve"> </w:t>
            </w:r>
          </w:p>
        </w:tc>
      </w:tr>
    </w:tbl>
    <w:p>
      <w:pPr>
        <w:pStyle w:val="Normal"/>
        <w:tabs>
          <w:tab w:val="clear" w:pos="709"/>
          <w:tab w:val="left" w:pos="284" w:leader="none"/>
        </w:tabs>
        <w:jc w:val="both"/>
        <w:rPr>
          <w:rFonts w:ascii="Arial" w:hAnsi="Arial" w:eastAsia="Arial" w:cs="Arial"/>
          <w:sz w:val="10"/>
          <w:szCs w:val="10"/>
        </w:rPr>
      </w:pPr>
      <w:r>
        <w:rPr/>
      </w:r>
    </w:p>
    <w:p>
      <w:pPr>
        <w:pStyle w:val="Normal"/>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rPr>
        <w:t>4. DA EMBALAGEM:</w:t>
      </w:r>
    </w:p>
    <w:p>
      <w:pPr>
        <w:pStyle w:val="ListParagraph"/>
        <w:numPr>
          <w:ilvl w:val="0"/>
          <w:numId w:val="7"/>
        </w:numPr>
        <w:tabs>
          <w:tab w:val="clear" w:pos="709"/>
          <w:tab w:val="left" w:pos="284" w:leader="none"/>
        </w:tabs>
        <w:spacing w:lineRule="auto" w:line="240" w:before="0" w:after="0"/>
        <w:ind w:left="0" w:hanging="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ListParagraph"/>
        <w:tabs>
          <w:tab w:val="clear" w:pos="709"/>
          <w:tab w:val="left" w:pos="284" w:leader="none"/>
        </w:tabs>
        <w:spacing w:lineRule="auto" w:line="240" w:before="0" w:after="0"/>
        <w:ind w:left="0" w:hanging="0"/>
        <w:jc w:val="both"/>
        <w:rPr>
          <w:rFonts w:ascii="Arial" w:hAnsi="Arial" w:cs="Arial"/>
          <w:sz w:val="20"/>
          <w:szCs w:val="20"/>
        </w:rPr>
      </w:pPr>
      <w:r>
        <w:rPr/>
      </w:r>
    </w:p>
    <w:p>
      <w:pPr>
        <w:pStyle w:val="Normal"/>
        <w:shd w:val="clear" w:color="auto" w:fill="CCCCCC"/>
        <w:tabs>
          <w:tab w:val="clear" w:pos="709"/>
          <w:tab w:val="left" w:pos="3450" w:leader="none"/>
        </w:tabs>
        <w:ind w:firstLine="567"/>
        <w:jc w:val="both"/>
        <w:rPr>
          <w:rFonts w:ascii="Arial" w:hAnsi="Arial" w:cs="Arial"/>
          <w:b/>
          <w:b/>
          <w:bCs/>
        </w:rPr>
      </w:pPr>
      <w:r>
        <w:rPr>
          <w:rFonts w:cs="Arial" w:ascii="Arial" w:hAnsi="Arial"/>
          <w:b/>
          <w:bCs/>
          <w:sz w:val="20"/>
          <w:szCs w:val="20"/>
        </w:rPr>
        <w:t>5.</w:t>
      </w:r>
      <w:r>
        <w:rPr>
          <w:rFonts w:cs="Arial" w:ascii="Arial" w:hAnsi="Arial"/>
          <w:b/>
          <w:bCs/>
          <w:sz w:val="20"/>
          <w:szCs w:val="20"/>
        </w:rPr>
        <w:t xml:space="preserve"> DA </w:t>
      </w:r>
      <w:r>
        <w:rPr>
          <w:rFonts w:cs="Arial" w:ascii="Arial" w:hAnsi="Arial"/>
          <w:b/>
          <w:bCs/>
          <w:sz w:val="20"/>
          <w:szCs w:val="20"/>
        </w:rPr>
        <w:t>SUSTENTABILIDADE:</w:t>
      </w:r>
    </w:p>
    <w:p>
      <w:pPr>
        <w:pStyle w:val="Normal"/>
        <w:jc w:val="both"/>
        <w:rPr/>
      </w:pPr>
      <w:r>
        <w:rPr>
          <w:rFonts w:eastAsia="Arial" w:cs="Arial" w:ascii="Arial" w:hAnsi="Arial"/>
          <w:b/>
          <w:bCs/>
        </w:rPr>
        <w:t xml:space="preserve">a) </w:t>
      </w:r>
      <w:r>
        <w:rPr>
          <w:rFonts w:ascii="Arial" w:hAnsi="Arial"/>
          <w:b w:val="false"/>
          <w:i w:val="false"/>
          <w:caps w:val="false"/>
          <w:smallCaps w:val="false"/>
          <w:spacing w:val="0"/>
          <w:sz w:val="20"/>
          <w:szCs w:val="20"/>
        </w:rPr>
        <w:t>Só será admitida a oferta de geladeira que possua a Etiqueta Nacional de Conservação de Energia – ENCE, na(s) classe(s) A, nos termos da Portaria INMETRO n° 20, de 01/02/2006, que aprova os Requisitos de Avaliação da Conformidade – RAC do produto e trata da etiquetagem compulsória.”</w:t>
      </w:r>
      <w:r>
        <w:rPr>
          <w:rFonts w:ascii="Arial" w:hAnsi="Arial"/>
          <w:sz w:val="20"/>
          <w:szCs w:val="20"/>
        </w:rPr>
        <w:t xml:space="preserve"> </w:t>
      </w:r>
    </w:p>
    <w:p>
      <w:pPr>
        <w:pStyle w:val="Normal"/>
        <w:jc w:val="both"/>
        <w:rPr>
          <w:rFonts w:ascii="Arial" w:hAnsi="Arial" w:eastAsia="Arial" w:cs="Arial"/>
          <w:sz w:val="20"/>
          <w:szCs w:val="20"/>
        </w:rPr>
      </w:pPr>
      <w:r>
        <w:rPr>
          <w:rFonts w:eastAsia="Arial" w:cs="Arial" w:ascii="Arial" w:hAnsi="Arial"/>
          <w:sz w:val="20"/>
          <w:szCs w:val="20"/>
        </w:rPr>
      </w:r>
    </w:p>
    <w:p>
      <w:pPr>
        <w:pStyle w:val="Normal"/>
        <w:shd w:val="clear" w:color="auto" w:fill="CCCCCC"/>
        <w:ind w:firstLine="567"/>
        <w:jc w:val="both"/>
        <w:rPr>
          <w:rFonts w:ascii="Arial" w:hAnsi="Arial" w:cs="Arial"/>
        </w:rPr>
      </w:pPr>
      <w:r>
        <w:rPr>
          <w:rFonts w:cs="Arial" w:ascii="Arial" w:hAnsi="Arial"/>
          <w:b/>
          <w:bCs/>
        </w:rPr>
        <w:t>6</w:t>
      </w:r>
      <w:r>
        <w:rPr>
          <w:rFonts w:cs="Arial" w:ascii="Arial" w:hAnsi="Arial"/>
          <w:b/>
          <w:bCs/>
        </w:rPr>
        <w:t>. DA ENTREGA:</w:t>
      </w:r>
    </w:p>
    <w:p>
      <w:pPr>
        <w:pStyle w:val="Normal"/>
        <w:numPr>
          <w:ilvl w:val="0"/>
          <w:numId w:val="27"/>
        </w:numPr>
        <w:tabs>
          <w:tab w:val="clear" w:pos="709"/>
          <w:tab w:val="left" w:pos="284" w:leader="none"/>
        </w:tabs>
        <w:jc w:val="both"/>
        <w:rPr>
          <w:rFonts w:ascii="Arial" w:hAnsi="Arial" w:cs="Arial"/>
          <w:lang w:eastAsia="pt-BR"/>
        </w:rPr>
      </w:pPr>
      <w:r>
        <w:rPr>
          <w:rFonts w:cs="Arial" w:ascii="Arial" w:hAnsi="Arial"/>
          <w:lang w:eastAsia="pt-BR"/>
        </w:rPr>
        <w:t xml:space="preserve">Prazo de entrega: até o máximo de </w:t>
      </w:r>
      <w:r>
        <w:rPr>
          <w:rFonts w:cs="Arial" w:ascii="Arial" w:hAnsi="Arial"/>
          <w:lang w:eastAsia="pt-BR"/>
        </w:rPr>
        <w:t>30</w:t>
      </w:r>
      <w:r>
        <w:rPr>
          <w:rFonts w:cs="Arial" w:ascii="Arial" w:hAnsi="Arial"/>
          <w:lang w:eastAsia="pt-BR"/>
        </w:rPr>
        <w:t xml:space="preserve"> (</w:t>
      </w:r>
      <w:r>
        <w:rPr>
          <w:rFonts w:cs="Arial" w:ascii="Arial" w:hAnsi="Arial"/>
          <w:lang w:eastAsia="pt-BR"/>
        </w:rPr>
        <w:t>trinta</w:t>
      </w:r>
      <w:r>
        <w:rPr>
          <w:rFonts w:cs="Arial" w:ascii="Arial" w:hAnsi="Arial"/>
          <w:lang w:eastAsia="pt-BR"/>
        </w:rPr>
        <w:t>) dias, a contar da Ordem de Fornecimento, emitida pela Unidade Requisitante.</w:t>
      </w:r>
    </w:p>
    <w:p>
      <w:pPr>
        <w:pStyle w:val="Normal"/>
        <w:numPr>
          <w:ilvl w:val="0"/>
          <w:numId w:val="28"/>
        </w:numPr>
        <w:tabs>
          <w:tab w:val="clear" w:pos="709"/>
          <w:tab w:val="left" w:pos="284" w:leader="none"/>
        </w:tabs>
        <w:jc w:val="both"/>
        <w:rPr>
          <w:rFonts w:ascii="Arial" w:hAnsi="Arial" w:cs="Arial"/>
        </w:rPr>
      </w:pPr>
      <w:r>
        <w:rPr>
          <w:rFonts w:cs="Arial" w:ascii="Arial" w:hAnsi="Arial"/>
          <w:lang w:eastAsia="pt-BR"/>
        </w:rPr>
        <w:t xml:space="preserve">Local de entrega: </w:t>
      </w:r>
      <w:r>
        <w:rPr>
          <w:rFonts w:cs="Arial" w:ascii="Arial" w:hAnsi="Arial"/>
          <w:b w:val="false"/>
          <w:i w:val="false"/>
          <w:caps w:val="false"/>
          <w:smallCaps w:val="false"/>
          <w:spacing w:val="0"/>
          <w:lang w:eastAsia="pt-BR"/>
        </w:rPr>
        <w:t>Secretaria Municipal de Finanças - Setor Núcleo de Apoio Administrativo</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lang w:eastAsia="pt-BR"/>
        </w:rPr>
        <w:t xml:space="preserve"> </w:t>
      </w:r>
      <w:r>
        <w:rPr>
          <w:rFonts w:cs="Arial" w:ascii="Arial" w:hAnsi="Arial"/>
          <w:b w:val="false"/>
          <w:i w:val="false"/>
          <w:caps w:val="false"/>
          <w:smallCaps w:val="false"/>
          <w:spacing w:val="0"/>
          <w:lang w:eastAsia="pt-BR"/>
        </w:rPr>
        <w:tab/>
        <w:tab/>
        <w:t xml:space="preserve">Rua Antônio Correa Barbosa, nº 2233 – 2° andar </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lang w:eastAsia="pt-BR"/>
        </w:rPr>
        <w:t xml:space="preserve"> </w:t>
      </w:r>
      <w:r>
        <w:rPr>
          <w:rFonts w:cs="Arial" w:ascii="Arial" w:hAnsi="Arial"/>
          <w:b w:val="false"/>
          <w:i w:val="false"/>
          <w:caps w:val="false"/>
          <w:smallCaps w:val="false"/>
          <w:spacing w:val="0"/>
          <w:lang w:eastAsia="pt-BR"/>
        </w:rPr>
        <w:tab/>
        <w:tab/>
        <w:t>Bairro: Chácara Nazareth – CEP: 13.400-900 – Piracicaba/SP</w:t>
      </w:r>
    </w:p>
    <w:p>
      <w:pPr>
        <w:pStyle w:val="Normal"/>
        <w:numPr>
          <w:ilvl w:val="0"/>
          <w:numId w:val="0"/>
        </w:numPr>
        <w:tabs>
          <w:tab w:val="clear" w:pos="709"/>
          <w:tab w:val="left" w:pos="284" w:leader="none"/>
        </w:tabs>
        <w:ind w:left="0" w:hanging="0"/>
        <w:jc w:val="both"/>
        <w:rPr>
          <w:rFonts w:ascii="Arial" w:hAnsi="Arial" w:cs="Arial"/>
        </w:rPr>
      </w:pPr>
      <w:r>
        <w:rPr>
          <w:rFonts w:cs="Arial" w:ascii="Arial" w:hAnsi="Arial"/>
          <w:b w:val="false"/>
          <w:i w:val="false"/>
          <w:caps w:val="false"/>
          <w:smallCaps w:val="false"/>
          <w:spacing w:val="0"/>
          <w:lang w:eastAsia="pt-BR"/>
        </w:rPr>
        <w:t xml:space="preserve"> </w:t>
      </w:r>
      <w:r>
        <w:rPr>
          <w:rFonts w:cs="Arial" w:ascii="Arial" w:hAnsi="Arial"/>
          <w:b w:val="false"/>
          <w:i w:val="false"/>
          <w:caps w:val="false"/>
          <w:smallCaps w:val="false"/>
          <w:spacing w:val="0"/>
          <w:lang w:eastAsia="pt-BR"/>
        </w:rPr>
        <w:tab/>
        <w:tab/>
        <w:t>Das 08h30 às 16h30 horas, de segunda a sexta-feira</w:t>
      </w:r>
      <w:r>
        <w:rPr>
          <w:rFonts w:cs="Arial" w:ascii="Arial" w:hAnsi="Arial"/>
          <w:lang w:eastAsia="pt-BR"/>
        </w:rPr>
        <w:t xml:space="preserve"> </w:t>
      </w:r>
    </w:p>
    <w:p>
      <w:pPr>
        <w:pStyle w:val="Normal"/>
        <w:keepLines/>
        <w:numPr>
          <w:ilvl w:val="0"/>
          <w:numId w:val="29"/>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keepLines/>
        <w:numPr>
          <w:ilvl w:val="0"/>
          <w:numId w:val="0"/>
        </w:numPr>
        <w:tabs>
          <w:tab w:val="clear" w:pos="709"/>
          <w:tab w:val="left" w:pos="284" w:leader="none"/>
        </w:tabs>
        <w:ind w:left="0" w:hanging="0"/>
        <w:jc w:val="both"/>
        <w:rPr>
          <w:rFonts w:ascii="Arial" w:hAnsi="Arial" w:cs="Arial"/>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7</w:t>
      </w:r>
      <w:r>
        <w:rPr>
          <w:rFonts w:cs="Arial" w:ascii="Arial" w:hAnsi="Arial"/>
          <w:b/>
          <w:bCs/>
        </w:rPr>
        <w:t>. DA GARANTIA E ASSISTÊNCIA TÉCNICA</w:t>
      </w:r>
      <w:r>
        <w:rPr>
          <w:rFonts w:eastAsia="Arial" w:cs="Arial" w:ascii="Arial" w:hAnsi="Arial"/>
          <w:b/>
          <w:color w:val="000000"/>
        </w:rPr>
        <w:t>:</w:t>
      </w:r>
    </w:p>
    <w:p>
      <w:pPr>
        <w:pStyle w:val="Normal"/>
        <w:numPr>
          <w:ilvl w:val="0"/>
          <w:numId w:val="18"/>
        </w:numPr>
        <w:tabs>
          <w:tab w:val="clear" w:pos="709"/>
          <w:tab w:val="left" w:pos="284" w:leader="none"/>
        </w:tabs>
        <w:jc w:val="both"/>
        <w:rPr>
          <w:rFonts w:ascii="Arial" w:hAnsi="Arial" w:cs="Arial"/>
        </w:rPr>
      </w:pPr>
      <w:r>
        <w:rPr>
          <w:rFonts w:cs="Arial" w:ascii="Arial" w:hAnsi="Arial"/>
          <w:b w:val="false"/>
          <w:i w:val="false"/>
          <w:caps w:val="false"/>
          <w:smallCaps w:val="false"/>
          <w:spacing w:val="0"/>
        </w:rPr>
        <w:t>A garantia deverá ser de no mínimo 12 (doze) meses, contados da data de recebimento</w:t>
      </w:r>
      <w:r>
        <w:rPr>
          <w:rFonts w:cs="Arial" w:ascii="Arial" w:hAnsi="Arial"/>
        </w:rPr>
        <w:t xml:space="preserve"> .</w:t>
      </w:r>
    </w:p>
    <w:p>
      <w:pPr>
        <w:pStyle w:val="Normal"/>
        <w:numPr>
          <w:ilvl w:val="0"/>
          <w:numId w:val="30"/>
        </w:numPr>
        <w:tabs>
          <w:tab w:val="clear" w:pos="709"/>
          <w:tab w:val="left" w:pos="284" w:leader="none"/>
        </w:tabs>
        <w:jc w:val="both"/>
        <w:rPr>
          <w:rFonts w:ascii="Arial" w:hAnsi="Arial" w:cs="Arial"/>
        </w:rPr>
      </w:pPr>
      <w:r>
        <w:rPr>
          <w:rFonts w:cs="Arial" w:ascii="Arial" w:hAnsi="Arial"/>
          <w:b w:val="false"/>
          <w:i w:val="false"/>
          <w:caps w:val="false"/>
          <w:smallCaps w:val="false"/>
          <w:spacing w:val="0"/>
        </w:rPr>
        <w:t>Durante a vigência da garantia, a contratada deverá substituir, sem nenhum ônus adicional, produtos defeituosos ou com desgaste anormal, no prazo máximo de 10 (dez) dias, a contar da notificação.</w:t>
      </w:r>
      <w:r>
        <w:rPr>
          <w:rFonts w:cs="Arial" w:ascii="Arial" w:hAnsi="Arial"/>
        </w:rPr>
        <w:t xml:space="preserve"> </w:t>
      </w:r>
    </w:p>
    <w:p>
      <w:pPr>
        <w:pStyle w:val="Normal"/>
        <w:numPr>
          <w:ilvl w:val="0"/>
          <w:numId w:val="0"/>
        </w:numPr>
        <w:tabs>
          <w:tab w:val="clear" w:pos="709"/>
          <w:tab w:val="left" w:pos="284" w:leader="none"/>
        </w:tabs>
        <w:ind w:left="0" w:hanging="0"/>
        <w:jc w:val="both"/>
        <w:rPr>
          <w:rFonts w:ascii="Arial" w:hAnsi="Arial" w:cs="Arial"/>
        </w:rPr>
      </w:pPr>
      <w:r>
        <w:rPr/>
      </w:r>
    </w:p>
    <w:p>
      <w:pPr>
        <w:pStyle w:val="Normal"/>
        <w:shd w:val="clear" w:color="auto" w:fill="DDDDDD"/>
        <w:ind w:firstLine="567"/>
        <w:jc w:val="both"/>
        <w:rPr>
          <w:rFonts w:ascii="Arial" w:hAnsi="Arial" w:cs="Arial"/>
        </w:rPr>
      </w:pPr>
      <w:r>
        <w:rPr>
          <w:rFonts w:cs="Arial" w:ascii="Arial" w:hAnsi="Arial"/>
          <w:b/>
          <w:bCs/>
        </w:rPr>
        <w:t>8</w:t>
      </w:r>
      <w:r>
        <w:rPr>
          <w:rFonts w:cs="Arial" w:ascii="Arial" w:hAnsi="Arial"/>
          <w:b/>
          <w:bCs/>
        </w:rPr>
        <w:t>.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8"/>
        </w:numPr>
        <w:tabs>
          <w:tab w:val="clear" w:pos="709"/>
          <w:tab w:val="left" w:pos="284" w:leader="none"/>
        </w:tabs>
        <w:jc w:val="both"/>
        <w:rPr>
          <w:rFonts w:ascii="Arial" w:hAnsi="Arial" w:cs="Arial"/>
        </w:rPr>
      </w:pPr>
      <w:bookmarkStart w:id="0" w:name="_GoBack"/>
      <w:r>
        <w:rPr>
          <w:rFonts w:cs="Arial" w:ascii="Arial" w:hAnsi="Arial"/>
        </w:rPr>
        <w:t>Caso haja alguma impossibilidade da Prefeitura responder dentro do prazo estipulado acima, a abertura será suspensa, e após a resposta da solicitação de esclarecimento, será marcada uma nova data.</w:t>
      </w:r>
      <w:bookmarkEnd w:id="0"/>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9</w:t>
      </w:r>
      <w:r>
        <w:rPr>
          <w:rFonts w:cs="Arial" w:ascii="Arial" w:hAnsi="Arial"/>
          <w:b/>
          <w:bCs/>
        </w:rPr>
        <w:t>.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10"/>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10"/>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10"/>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10"/>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10"/>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10"/>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10"/>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10"/>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10"/>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10"/>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10"/>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10"/>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10"/>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10"/>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10"/>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10"/>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10"/>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10"/>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10"/>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10"/>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10"/>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left="0" w:hanging="0"/>
        <w:jc w:val="both"/>
        <w:rPr>
          <w:rFonts w:ascii="Arial" w:hAnsi="Arial" w:cs="Arial"/>
        </w:rPr>
      </w:pPr>
      <w:r>
        <w:rPr>
          <w:rFonts w:cs="Arial" w:ascii="Arial" w:hAnsi="Arial"/>
        </w:rPr>
      </w:r>
    </w:p>
    <w:p>
      <w:pPr>
        <w:pStyle w:val="Normal"/>
        <w:numPr>
          <w:ilvl w:val="0"/>
          <w:numId w:val="10"/>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31"/>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32"/>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técnicos contendo o descritivo do produto ofertado, comprovando as especificações técnicas do edital, sob pena de desclassificação pelo não cumprimento.</w:t>
      </w:r>
    </w:p>
    <w:p>
      <w:pPr>
        <w:pStyle w:val="Normal"/>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t xml:space="preserve">Piracicaba, </w:t>
      </w:r>
      <w:r>
        <w:rPr>
          <w:rFonts w:cs="Arial" w:ascii="Arial" w:hAnsi="Arial"/>
        </w:rPr>
        <w:t>11 de outubro de 2024.</w:t>
      </w:r>
    </w:p>
    <w:p>
      <w:pPr>
        <w:pStyle w:val="Normal"/>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Thiago Luiz Araujo Santos</w:t>
      </w:r>
    </w:p>
    <w:p>
      <w:pPr>
        <w:pStyle w:val="Normal"/>
        <w:jc w:val="center"/>
        <w:rPr>
          <w:highlight w:val="yellow"/>
        </w:rPr>
      </w:pPr>
      <w:r>
        <w:rPr>
          <w:rFonts w:cs="Arial" w:ascii="Arial" w:hAnsi="Arial"/>
          <w:b/>
        </w:rPr>
        <w:t>Chef</w:t>
      </w:r>
      <w:bookmarkStart w:id="1" w:name="_GoBack_Copia_1"/>
      <w:bookmarkEnd w:id="1"/>
      <w:r>
        <w:rPr>
          <w:rFonts w:cs="Arial" w:ascii="Arial" w:hAnsi="Arial"/>
          <w:b/>
        </w:rPr>
        <w:t>e do Setor de Dispensa de Licitações</w:t>
      </w:r>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8"/>
        <w:gridCol w:w="851"/>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8"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1"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w:charset w:val="01"/>
    <w:family w:val="swiss"/>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4">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w:t>
    </w:r>
    <w:r>
      <w:rPr>
        <w:rFonts w:cs="Arial" w:ascii="Arial" w:hAnsi="Arial"/>
        <w:sz w:val="16"/>
      </w:rPr>
      <w:t>216/2024</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13</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13</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7">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4"/>
    <w:lvlOverride w:ilvl="0">
      <w:startOverride w:val="1"/>
    </w:lvlOverride>
  </w:num>
  <w:num w:numId="23">
    <w:abstractNumId w:val="4"/>
  </w:num>
  <w:num w:numId="24">
    <w:abstractNumId w:val="4"/>
  </w:num>
  <w:num w:numId="25">
    <w:abstractNumId w:val="4"/>
  </w:num>
  <w:num w:numId="26">
    <w:abstractNumId w:val="4"/>
  </w:num>
  <w:num w:numId="27">
    <w:abstractNumId w:val="17"/>
    <w:lvlOverride w:ilvl="0">
      <w:startOverride w:val="1"/>
    </w:lvlOverride>
  </w:num>
  <w:num w:numId="28">
    <w:abstractNumId w:val="17"/>
  </w:num>
  <w:num w:numId="29">
    <w:abstractNumId w:val="17"/>
  </w:num>
  <w:num w:numId="30">
    <w:abstractNumId w:val="18"/>
  </w:num>
  <w:num w:numId="31">
    <w:abstractNumId w:val="10"/>
    <w:lvlOverride w:ilvl="0"/>
    <w:lvlOverride w:ilvl="1">
      <w:startOverride w:val="1"/>
    </w:lvlOverride>
  </w:num>
  <w:num w:numId="32">
    <w:abstractNumId w:val="10"/>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FB6D16-9E19-4245-9F92-AF886A03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Application>LibreOffice/7.4.5.1$Windows_X86_64 LibreOffice_project/9c0871452b3918c1019dde9bfac75448afc4b57f</Application>
  <AppVersion>15.0000</AppVersion>
  <Pages>13</Pages>
  <Words>4754</Words>
  <Characters>27674</Characters>
  <CharactersWithSpaces>32204</CharactersWithSpaces>
  <Paragraphs>268</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2024-10-11T15:56:23Z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