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w:t>
      </w:r>
      <w:r>
        <w:rPr>
          <w:b/>
          <w:color w:val="000000"/>
          <w:sz w:val="20"/>
          <w:szCs w:val="20"/>
          <w:shd w:fill="auto" w:val="clear"/>
          <w:lang w:val="pt-BR"/>
        </w:rPr>
        <w:t xml:space="preserve">A nº </w:t>
      </w:r>
      <w:r>
        <w:rPr>
          <w:b/>
          <w:color w:val="000000"/>
          <w:sz w:val="20"/>
          <w:szCs w:val="20"/>
          <w:shd w:fill="auto" w:val="clear"/>
          <w:lang w:val="pt-BR"/>
        </w:rPr>
        <w:t>253</w:t>
      </w:r>
      <w:r>
        <w:rPr>
          <w:b/>
          <w:color w:val="000000"/>
          <w:sz w:val="20"/>
          <w:szCs w:val="20"/>
          <w:shd w:fill="auto" w:val="clear"/>
          <w:lang w:val="pt-BR"/>
        </w:rPr>
        <w:t>/2024</w:t>
      </w:r>
      <w:r>
        <w:rPr>
          <w:b/>
          <w:color w:val="000000"/>
          <w:sz w:val="20"/>
          <w:szCs w:val="20"/>
          <w:shd w:fill="FFFF00" w:val="clear"/>
        </w:rPr>
        <w:t xml:space="preserve"> </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000000"/>
          <w:sz w:val="20"/>
          <w:szCs w:val="20"/>
          <w:shd w:fill="auto" w:val="clear"/>
          <w:lang w:val="pt-BR"/>
        </w:rPr>
        <w:t xml:space="preserve">so: </w:t>
      </w:r>
      <w:r>
        <w:rPr>
          <w:b/>
          <w:bCs/>
          <w:color w:val="000000"/>
          <w:sz w:val="20"/>
          <w:szCs w:val="20"/>
          <w:shd w:fill="auto" w:val="clear"/>
          <w:lang w:val="pt-BR"/>
        </w:rPr>
        <w:t>154.348/2024</w:t>
      </w:r>
      <w:r>
        <w:rPr>
          <w:b/>
          <w:color w:val="000000"/>
          <w:sz w:val="20"/>
          <w:szCs w:val="20"/>
          <w:shd w:fill="auto" w:val="clear"/>
          <w:lang w:val="pt-BR"/>
        </w:rPr>
        <w:t xml:space="preserve">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13/12/2024 - 08h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13/12/2024 - 09h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Corpodotextorecuado"/>
        <w:widowControl w:val="false"/>
        <w:numPr>
          <w:ilvl w:val="0"/>
          <w:numId w:val="4"/>
        </w:numPr>
        <w:tabs>
          <w:tab w:val="clear" w:pos="709"/>
          <w:tab w:val="left" w:pos="284" w:leader="none"/>
        </w:tabs>
        <w:overflowPunct w:val="tru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Objeto</w:t>
      </w:r>
      <w:r>
        <w:rPr>
          <w:rFonts w:cs="Arial" w:ascii="Arial" w:hAnsi="Arial"/>
          <w:shd w:fill="auto" w:val="clear"/>
        </w:rPr>
        <w:t xml:space="preserve">: </w:t>
      </w:r>
      <w:r>
        <w:rPr>
          <w:rFonts w:cs="Arial" w:ascii="Arial" w:hAnsi="Arial"/>
          <w:b/>
          <w:shd w:fill="auto" w:val="clear"/>
        </w:rPr>
        <w:t>Aquisição de bolas de tênis de mesa.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Unidade Requisitante: Secretaria Municipal de Esportes, Lazer e Atividades Motoras.</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R$ 8.466,00 (oito mil, quatrocentos e sessenta e seis reais)</w:t>
      </w:r>
      <w:r>
        <w:rPr>
          <w:rFonts w:cs="Arial" w:ascii="Arial" w:hAnsi="Arial"/>
          <w:b/>
          <w:shd w:fill="auto" w:val="clear"/>
        </w:rPr>
        <w:t>.</w:t>
      </w:r>
    </w:p>
    <w:p>
      <w:pPr>
        <w:pStyle w:val="Normal"/>
        <w:numPr>
          <w:ilvl w:val="0"/>
          <w:numId w:val="6"/>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7"/>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8"/>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w:t>
      </w:r>
      <w:r>
        <w:rPr>
          <w:rFonts w:cs="Arial" w:ascii="Arial" w:hAnsi="Arial"/>
          <w:shd w:fill="auto" w:val="clear"/>
        </w:rPr>
        <w:t>nicipal Nº 17.640/18.</w:t>
      </w:r>
    </w:p>
    <w:p>
      <w:pPr>
        <w:pStyle w:val="ListParagraph"/>
        <w:numPr>
          <w:ilvl w:val="0"/>
          <w:numId w:val="29"/>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preço unitário e total</w:t>
      </w:r>
      <w:r>
        <w:rPr>
          <w:rFonts w:cs="Arial" w:ascii="Arial" w:hAnsi="Arial"/>
          <w:sz w:val="20"/>
          <w:szCs w:val="20"/>
          <w:shd w:fill="auto" w:val="clear"/>
        </w:rPr>
        <w:t xml:space="preserve"> 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0"/>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1"/>
        </w:numPr>
        <w:tabs>
          <w:tab w:val="clear" w:pos="709"/>
          <w:tab w:val="left" w:pos="284" w:leader="none"/>
        </w:tabs>
        <w:jc w:val="both"/>
        <w:rPr>
          <w:rFonts w:ascii="Arial" w:hAnsi="Arial" w:cs="Arial"/>
        </w:rPr>
      </w:pPr>
      <w:r>
        <w:rPr>
          <w:rFonts w:cs="Arial" w:ascii="Arial" w:hAnsi="Arial"/>
          <w:shd w:fill="auto" w:val="clear"/>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Descritivo</w:t>
            </w:r>
          </w:p>
        </w:tc>
      </w:tr>
      <w:tr>
        <w:trPr>
          <w:trHeight w:val="392"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highlight w:val="none"/>
                <w:shd w:fill="auto" w:val="clear"/>
              </w:rPr>
            </w:pPr>
            <w:r>
              <w:rPr>
                <w:rFonts w:cs="Arial" w:ascii="Arial" w:hAnsi="Arial"/>
                <w:shd w:fill="auto" w:val="clear"/>
              </w:rPr>
              <w:t>170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highlight w:val="none"/>
                <w:shd w:fill="auto" w:val="clear"/>
              </w:rPr>
            </w:pPr>
            <w:r>
              <w:rPr>
                <w:rFonts w:cs="Arial" w:ascii="Arial" w:hAnsi="Arial"/>
                <w:shd w:fill="auto" w:val="clear"/>
              </w:rPr>
              <w:t>Kits.</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highlight w:val="none"/>
                <w:shd w:fill="auto" w:val="clear"/>
              </w:rPr>
            </w:pPr>
            <w:r>
              <w:rPr>
                <w:rFonts w:cs="Arial" w:ascii="Arial" w:hAnsi="Arial"/>
                <w:shd w:fill="auto" w:val="clear"/>
              </w:rPr>
              <w:t>Kit com 6 (seis) unidades de bola de tênis de mesa.</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32"/>
        </w:numPr>
        <w:tabs>
          <w:tab w:val="clear" w:pos="709"/>
          <w:tab w:val="left" w:pos="284" w:leader="none"/>
        </w:tabs>
        <w:jc w:val="both"/>
        <w:rPr>
          <w:rFonts w:ascii="Arial" w:hAnsi="Arial" w:cs="Arial"/>
          <w:b w:val="false"/>
          <w:b w:val="false"/>
          <w:bCs w:val="false"/>
          <w:color w:val="000000"/>
        </w:rPr>
      </w:pPr>
      <w:r>
        <w:rPr>
          <w:rFonts w:cs="Arial" w:ascii="Arial" w:hAnsi="Arial"/>
          <w:b w:val="false"/>
          <w:bCs w:val="false"/>
          <w:color w:val="000000"/>
          <w:shd w:fill="auto" w:val="clear"/>
        </w:rPr>
        <w:t xml:space="preserve">Descritivo técnico: </w:t>
      </w:r>
    </w:p>
    <w:p>
      <w:pPr>
        <w:pStyle w:val="Normal"/>
        <w:numPr>
          <w:ilvl w:val="1"/>
          <w:numId w:val="33"/>
        </w:numPr>
        <w:tabs>
          <w:tab w:val="clear" w:pos="709"/>
          <w:tab w:val="left" w:pos="284" w:leader="none"/>
        </w:tabs>
        <w:jc w:val="both"/>
        <w:rPr/>
      </w:pPr>
      <w:r>
        <w:rPr>
          <w:rFonts w:ascii="Arial" w:hAnsi="Arial"/>
          <w:b w:val="false"/>
          <w:bCs w:val="false"/>
          <w:color w:val="000000"/>
          <w:shd w:fill="auto" w:val="clear"/>
        </w:rPr>
        <w:t>Kit com 6 (seis) unidades de bola de tênis de mesa 3 estrelas 40+. Fabricada em ABS de alta durabilidade, 40 mm de diâmetro, dentro dos</w:t>
      </w:r>
      <w:r>
        <w:rPr>
          <w:rFonts w:ascii="Arial" w:hAnsi="Arial"/>
          <w:b w:val="false"/>
          <w:bCs w:val="false"/>
          <w:color w:val="000000"/>
        </w:rPr>
        <w:t xml:space="preserve"> padrões exigidos pela Federação Internacional de Tênis de Mesa (ITTF), cor branca.</w:t>
      </w:r>
    </w:p>
    <w:p>
      <w:pPr>
        <w:pStyle w:val="Normal"/>
        <w:tabs>
          <w:tab w:val="clear" w:pos="709"/>
          <w:tab w:val="left" w:pos="284" w:leader="none"/>
        </w:tabs>
        <w:jc w:val="both"/>
        <w:rPr>
          <w:rFonts w:ascii="Arial" w:hAnsi="Arial"/>
          <w:b w:val="false"/>
          <w:b w:val="false"/>
          <w:bCs w:val="false"/>
          <w:color w:val="000000"/>
        </w:rPr>
      </w:pPr>
      <w:r>
        <w:rPr>
          <w:rFonts w:ascii="Arial" w:hAnsi="Arial"/>
          <w:b w:val="false"/>
          <w:bCs w:val="false"/>
          <w:color w:val="000000"/>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34"/>
        </w:numPr>
        <w:tabs>
          <w:tab w:val="clear" w:pos="709"/>
          <w:tab w:val="left" w:pos="284" w:leader="none"/>
        </w:tabs>
        <w:jc w:val="both"/>
        <w:rPr>
          <w:highlight w:val="none"/>
          <w:shd w:fill="auto" w:val="clear"/>
        </w:rPr>
      </w:pPr>
      <w:r>
        <w:rPr>
          <w:rFonts w:cs="Arial" w:ascii="Arial" w:hAnsi="Arial"/>
          <w:shd w:fill="auto" w:val="clear"/>
          <w:lang w:eastAsia="pt-BR"/>
        </w:rPr>
        <w:t>Prazo de entrega: até o máximo de 30 (trinta) dias, a contar da Ordem de Fornecimento, emitida pela Unidade Requisitante.</w:t>
      </w:r>
    </w:p>
    <w:p>
      <w:pPr>
        <w:pStyle w:val="Normal"/>
        <w:numPr>
          <w:ilvl w:val="0"/>
          <w:numId w:val="35"/>
        </w:numPr>
        <w:tabs>
          <w:tab w:val="clear" w:pos="709"/>
          <w:tab w:val="left" w:pos="284" w:leader="none"/>
        </w:tabs>
        <w:jc w:val="both"/>
        <w:rPr>
          <w:rFonts w:ascii="Arial" w:hAnsi="Arial" w:cs="Arial"/>
          <w:lang w:eastAsia="pt-BR"/>
        </w:rPr>
      </w:pPr>
      <w:r>
        <w:rPr>
          <w:rFonts w:cs="Arial" w:ascii="Arial" w:hAnsi="Arial"/>
          <w:shd w:fill="auto" w:val="clear"/>
          <w:lang w:eastAsia="pt-BR"/>
        </w:rPr>
        <w:t>Local de entrega: Secretaria Municipal de Esportes, Lazer e Atividades Motoras.</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Rua Treze de Maio, 2122 – Bairro Alto – Ginásio Municipal “Waldemar Blatkauskas”. CEP.13419-270.</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Horário de entrega: das 8:30 às 16:30 horas, de segunda a sexta-feira.</w:t>
      </w:r>
    </w:p>
    <w:p>
      <w:pPr>
        <w:pStyle w:val="Normal"/>
        <w:keepLines/>
        <w:numPr>
          <w:ilvl w:val="0"/>
          <w:numId w:val="36"/>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37"/>
        </w:numPr>
        <w:tabs>
          <w:tab w:val="clear" w:pos="709"/>
          <w:tab w:val="left" w:pos="284" w:leader="none"/>
        </w:tabs>
        <w:jc w:val="both"/>
        <w:rPr>
          <w:rFonts w:ascii="Arial" w:hAnsi="Arial" w:cs="Arial"/>
        </w:rPr>
      </w:pPr>
      <w:r>
        <w:rPr>
          <w:rFonts w:cs="Arial" w:ascii="Arial" w:hAnsi="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GARANTIA E ASSISTÊNCIA TÉCNICA</w:t>
      </w:r>
      <w:r>
        <w:rPr>
          <w:rFonts w:eastAsia="Arial" w:cs="Arial" w:ascii="Arial" w:hAnsi="Arial"/>
          <w:b/>
          <w:color w:val="000000"/>
        </w:rPr>
        <w:t>:</w:t>
      </w:r>
    </w:p>
    <w:p>
      <w:pPr>
        <w:pStyle w:val="Normal"/>
        <w:numPr>
          <w:ilvl w:val="0"/>
          <w:numId w:val="38"/>
        </w:numPr>
        <w:tabs>
          <w:tab w:val="clear" w:pos="709"/>
          <w:tab w:val="left" w:pos="284" w:leader="none"/>
        </w:tabs>
        <w:jc w:val="both"/>
        <w:rPr>
          <w:highlight w:val="none"/>
          <w:shd w:fill="auto" w:val="clear"/>
        </w:rPr>
      </w:pPr>
      <w:r>
        <w:rPr>
          <w:rFonts w:cs="Arial" w:ascii="Arial" w:hAnsi="Arial"/>
          <w:shd w:fill="auto" w:val="clear"/>
        </w:rPr>
        <w:t>A garantia do produto deverá ser de no mínimo 30 (trinta) dias, contados da data de recebimento.</w:t>
      </w:r>
    </w:p>
    <w:p>
      <w:pPr>
        <w:pStyle w:val="Normal"/>
        <w:numPr>
          <w:ilvl w:val="0"/>
          <w:numId w:val="39"/>
        </w:numPr>
        <w:tabs>
          <w:tab w:val="clear" w:pos="709"/>
          <w:tab w:val="left" w:pos="284" w:leader="none"/>
        </w:tabs>
        <w:jc w:val="both"/>
        <w:rPr>
          <w:rFonts w:ascii="Arial" w:hAnsi="Arial" w:cs="Arial"/>
        </w:rPr>
      </w:pPr>
      <w:r>
        <w:rPr>
          <w:rFonts w:cs="Arial" w:ascii="Arial" w:hAnsi="Arial"/>
          <w:shd w:fill="auto" w:val="clear"/>
        </w:rPr>
        <w:t>Durante a vigência da garantia, a contratada deverá substituir, sem nenhum ônus adicional, produtos defeituosos decorrentes de vício de fabricação ou desgaste anormal do produto.</w:t>
      </w:r>
    </w:p>
    <w:p>
      <w:pPr>
        <w:pStyle w:val="Normal"/>
        <w:numPr>
          <w:ilvl w:val="0"/>
          <w:numId w:val="40"/>
        </w:numPr>
        <w:tabs>
          <w:tab w:val="clear" w:pos="709"/>
          <w:tab w:val="left" w:pos="284" w:leader="none"/>
        </w:tabs>
        <w:jc w:val="both"/>
        <w:rPr>
          <w:rFonts w:ascii="Arial" w:hAnsi="Arial" w:cs="Arial"/>
        </w:rPr>
      </w:pPr>
      <w:r>
        <w:rPr>
          <w:rFonts w:cs="Arial" w:ascii="Arial" w:hAnsi="Arial"/>
          <w:shd w:fill="auto" w:val="clear"/>
        </w:rPr>
        <w:t>A contratada deverá indicar nome e endereço da assistência técnica. Quando esta não estiver estabelecida na cidade de Piracicaba, a Contratada se compromete a realizar o transporte do bem para a análise da assistência, sem custo adicional à Contratante.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w:t>
      </w:r>
      <w:r>
        <w:rPr>
          <w:rFonts w:cs="Arial" w:ascii="Arial" w:hAnsi="Arial"/>
          <w:shd w:fill="auto" w:val="clear"/>
        </w:rPr>
        <w:t xml:space="preserve">ao ICMS; </w:t>
      </w:r>
    </w:p>
    <w:p>
      <w:pPr>
        <w:pStyle w:val="Normal"/>
        <w:numPr>
          <w:ilvl w:val="2"/>
          <w:numId w:val="9"/>
        </w:numPr>
        <w:tabs>
          <w:tab w:val="clear" w:pos="709"/>
          <w:tab w:val="left" w:pos="284" w:leader="none"/>
          <w:tab w:val="left" w:pos="426" w:leader="none"/>
        </w:tabs>
        <w:jc w:val="both"/>
        <w:rPr>
          <w:rFonts w:ascii="Arial" w:hAnsi="Arial" w:cs="Arial"/>
          <w:color w:val="000000"/>
        </w:rPr>
      </w:pPr>
      <w:r>
        <w:rPr>
          <w:rFonts w:cs="Arial" w:ascii="Arial" w:hAnsi="Arial"/>
          <w:color w:val="000000"/>
          <w:shd w:fill="auto" w:val="clear"/>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 w:val="left" w:pos="567" w:leader="none"/>
        </w:tabs>
        <w:jc w:val="both"/>
        <w:rPr>
          <w:rFonts w:ascii="Arial" w:hAnsi="Arial" w:cs="Arial"/>
          <w:b/>
          <w:b/>
        </w:rPr>
      </w:pPr>
      <w:r>
        <w:rPr>
          <w:rFonts w:cs="Arial" w:ascii="Arial" w:hAnsi="Arial"/>
          <w:b/>
          <w:shd w:fill="auto" w:val="clear"/>
        </w:rPr>
        <w:t>CATÁLOGOS</w:t>
      </w:r>
    </w:p>
    <w:p>
      <w:pPr>
        <w:pStyle w:val="Normal"/>
        <w:numPr>
          <w:ilvl w:val="1"/>
          <w:numId w:val="41"/>
        </w:numPr>
        <w:tabs>
          <w:tab w:val="clear" w:pos="709"/>
          <w:tab w:val="left" w:pos="284" w:leader="none"/>
          <w:tab w:val="left" w:pos="426" w:leader="none"/>
          <w:tab w:val="left" w:pos="567" w:leader="none"/>
        </w:tabs>
        <w:jc w:val="both"/>
        <w:rPr>
          <w:rFonts w:ascii="Arial" w:hAnsi="Arial" w:cs="Arial"/>
        </w:rPr>
      </w:pPr>
      <w:r>
        <w:rPr>
          <w:rFonts w:cs="Arial" w:ascii="Arial" w:hAnsi="Arial"/>
          <w:shd w:fill="auto" w:val="clear"/>
        </w:rPr>
        <w:t>Deverá(ão) ser apresentado(s) junto com a proposta, sob pena de desclassificação pelo não cumprimento:</w:t>
      </w:r>
    </w:p>
    <w:p>
      <w:pPr>
        <w:pStyle w:val="Normal"/>
        <w:numPr>
          <w:ilvl w:val="2"/>
          <w:numId w:val="42"/>
        </w:numPr>
        <w:tabs>
          <w:tab w:val="clear" w:pos="709"/>
          <w:tab w:val="left" w:pos="284" w:leader="none"/>
          <w:tab w:val="left" w:pos="426" w:leader="none"/>
          <w:tab w:val="left" w:pos="567" w:leader="none"/>
        </w:tabs>
        <w:jc w:val="both"/>
        <w:rPr>
          <w:rFonts w:ascii="Arial" w:hAnsi="Arial" w:cs="Arial"/>
        </w:rPr>
      </w:pPr>
      <w:r>
        <w:rPr>
          <w:rFonts w:cs="Arial" w:ascii="Arial" w:hAnsi="Arial"/>
          <w:shd w:fill="auto" w:val="clear"/>
        </w:rPr>
        <w:t>Catálogos técnicos contendo o descritivo do produto ofertado, comprovando as especificações técnicas do edital, sob pena de desclassificação pelo não cumprimento.</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04 de Dezembro de 2024.</w:t>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Thiago Luiz Araujo Santos</w:t>
      </w:r>
    </w:p>
    <w:p>
      <w:pPr>
        <w:pStyle w:val="Normal"/>
        <w:jc w:val="center"/>
        <w:rPr>
          <w:rFonts w:ascii="Arial" w:hAnsi="Arial" w:cs="Arial"/>
          <w:b/>
          <w:b/>
        </w:rPr>
      </w:pPr>
      <w:r>
        <w:rPr>
          <w:rFonts w:cs="Arial" w:ascii="Arial" w:hAnsi="Arial"/>
          <w:b/>
          <w:shd w:fill="auto" w:val="clear"/>
        </w:rPr>
        <w:t>Chef</w:t>
      </w:r>
      <w:bookmarkStart w:id="0" w:name="_GoBack_Copia_1"/>
      <w:bookmarkEnd w:id="0"/>
      <w:r>
        <w:rPr>
          <w:rFonts w:cs="Arial" w:ascii="Arial" w:hAnsi="Arial"/>
          <w:b/>
          <w:shd w:fill="auto" w:val="clear"/>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bookmarkStart w:id="1" w:name="_GoBack"/>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bookmarkEnd w:id="1"/>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5"/>
        <w:gridCol w:w="854"/>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4">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highlight w:val="none"/>
        <w:shd w:fill="auto" w:val="clear"/>
      </w:rPr>
    </w:pPr>
    <w:r>
      <w:rPr>
        <w:rFonts w:cs="Arial" w:ascii="Arial" w:hAnsi="Arial"/>
        <w:sz w:val="16"/>
        <w:shd w:fill="auto" w:val="clear"/>
      </w:rPr>
      <w:t xml:space="preserve">Dispensa Eletrônica nº </w:t>
    </w:r>
    <w:r>
      <w:rPr>
        <w:rFonts w:cs="Arial" w:ascii="Arial" w:hAnsi="Arial"/>
        <w:sz w:val="16"/>
        <w:shd w:fill="auto" w:val="clear"/>
      </w:rPr>
      <w:t>253</w:t>
    </w:r>
    <w:r>
      <w:rPr>
        <w:rFonts w:cs="Arial" w:ascii="Arial" w:hAnsi="Arial"/>
        <w:sz w:val="16"/>
        <w:shd w:fill="auto" w:val="clear"/>
      </w:rPr>
      <w:t xml:space="preserve">/2024 - Página </w:t>
    </w:r>
    <w:r>
      <w:rPr>
        <w:rFonts w:cs="Arial" w:ascii="Arial" w:hAnsi="Arial"/>
        <w:b/>
        <w:sz w:val="16"/>
        <w:shd w:fill="auto" w:val="clear"/>
      </w:rPr>
      <w:fldChar w:fldCharType="begin"/>
    </w:r>
    <w:r>
      <w:rPr>
        <w:sz w:val="16"/>
        <w:b/>
        <w:shd w:fill="auto" w:val="clear"/>
        <w:rFonts w:cs="Arial" w:ascii="Arial" w:hAnsi="Arial"/>
      </w:rPr>
      <w:instrText xml:space="preserve"> PAGE </w:instrText>
    </w:r>
    <w:r>
      <w:rPr>
        <w:sz w:val="16"/>
        <w:b/>
        <w:shd w:fill="auto" w:val="clear"/>
        <w:rFonts w:cs="Arial" w:ascii="Arial" w:hAnsi="Arial"/>
      </w:rPr>
      <w:fldChar w:fldCharType="separate"/>
    </w:r>
    <w:r>
      <w:rPr>
        <w:sz w:val="16"/>
        <w:b/>
        <w:shd w:fill="auto" w:val="clear"/>
        <w:rFonts w:cs="Arial" w:ascii="Arial" w:hAnsi="Arial"/>
      </w:rPr>
      <w:t>13</w:t>
    </w:r>
    <w:r>
      <w:rPr>
        <w:sz w:val="16"/>
        <w:b/>
        <w:shd w:fill="auto" w:val="clear"/>
        <w:rFonts w:cs="Arial" w:ascii="Arial" w:hAnsi="Arial"/>
      </w:rPr>
      <w:fldChar w:fldCharType="end"/>
    </w:r>
    <w:r>
      <w:rPr>
        <w:rFonts w:cs="Arial" w:ascii="Arial" w:hAnsi="Arial"/>
        <w:sz w:val="16"/>
        <w:shd w:fill="auto" w:val="clear"/>
      </w:rPr>
      <w:t xml:space="preserve"> de </w:t>
    </w:r>
    <w:r>
      <w:rPr>
        <w:rFonts w:cs="Arial" w:ascii="Arial" w:hAnsi="Arial"/>
        <w:b/>
        <w:sz w:val="16"/>
        <w:shd w:fill="auto" w:val="clear"/>
      </w:rPr>
      <w:fldChar w:fldCharType="begin"/>
    </w:r>
    <w:r>
      <w:rPr>
        <w:sz w:val="16"/>
        <w:b/>
        <w:shd w:fill="auto" w:val="clear"/>
        <w:rFonts w:cs="Arial" w:ascii="Arial" w:hAnsi="Arial"/>
      </w:rPr>
      <w:instrText xml:space="preserve"> NUMPAGES </w:instrText>
    </w:r>
    <w:r>
      <w:rPr>
        <w:sz w:val="16"/>
        <w:b/>
        <w:shd w:fill="auto" w:val="clear"/>
        <w:rFonts w:cs="Arial" w:ascii="Arial" w:hAnsi="Arial"/>
      </w:rPr>
      <w:fldChar w:fldCharType="separate"/>
    </w:r>
    <w:r>
      <w:rPr>
        <w:sz w:val="16"/>
        <w:b/>
        <w:shd w:fill="auto" w:val="clear"/>
        <w:rFonts w:cs="Arial" w:ascii="Arial" w:hAnsi="Arial"/>
      </w:rPr>
      <w:t>13</w:t>
    </w:r>
    <w:r>
      <w:rPr>
        <w:sz w:val="16"/>
        <w:b/>
        <w:shd w:fill="auto" w:val="clear"/>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7">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4"/>
    <w:lvlOverride w:ilvl="0">
      <w:startOverride w:val="1"/>
    </w:lvlOverride>
  </w:num>
  <w:num w:numId="28">
    <w:abstractNumId w:val="4"/>
  </w:num>
  <w:num w:numId="29">
    <w:abstractNumId w:val="4"/>
  </w:num>
  <w:num w:numId="30">
    <w:abstractNumId w:val="4"/>
  </w:num>
  <w:num w:numId="31">
    <w:abstractNumId w:val="4"/>
  </w:num>
  <w:num w:numId="32">
    <w:abstractNumId w:val="4"/>
  </w:num>
  <w:num w:numId="33">
    <w:abstractNumId w:val="4"/>
  </w:num>
  <w:num w:numId="34">
    <w:abstractNumId w:val="17"/>
    <w:lvlOverride w:ilvl="0">
      <w:startOverride w:val="1"/>
    </w:lvlOverride>
  </w:num>
  <w:num w:numId="35">
    <w:abstractNumId w:val="17"/>
  </w:num>
  <w:num w:numId="36">
    <w:abstractNumId w:val="17"/>
  </w:num>
  <w:num w:numId="37">
    <w:abstractNumId w:val="17"/>
  </w:num>
  <w:num w:numId="38">
    <w:abstractNumId w:val="21"/>
    <w:lvlOverride w:ilvl="0">
      <w:startOverride w:val="1"/>
    </w:lvlOverride>
  </w:num>
  <w:num w:numId="39">
    <w:abstractNumId w:val="21"/>
  </w:num>
  <w:num w:numId="40">
    <w:abstractNumId w:val="21"/>
  </w:num>
  <w:num w:numId="41">
    <w:abstractNumId w:val="9"/>
    <w:lvlOverride w:ilvl="0"/>
    <w:lvlOverride w:ilvl="1">
      <w:startOverride w:val="1"/>
    </w:lvlOverride>
  </w:num>
  <w:num w:numId="42">
    <w:abstractNumId w:val="9"/>
  </w:num>
</w:numbering>
</file>

<file path=word/settings.xml><?xml version="1.0" encoding="utf-8"?>
<w:settings xmlns:w="http://schemas.openxmlformats.org/wordprocessingml/2006/main">
  <w:zoom w:percent="18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31776-2AE5-4508-BCE2-CC251AF4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Application>LibreOffice/7.4.5.1$Windows_X86_64 LibreOffice_project/9c0871452b3918c1019dde9bfac75448afc4b57f</Application>
  <AppVersion>15.0000</AppVersion>
  <Pages>13</Pages>
  <Words>4773</Words>
  <Characters>27734</Characters>
  <CharactersWithSpaces>32269</CharactersWithSpaces>
  <Paragraphs>260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2024-12-04T11:08:51Z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