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4.jpeg" ContentType="image/jpeg"/>
  <Override PartName="/word/media/image3.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true"/>
        <w:spacing w:lineRule="auto" w:line="240"/>
        <w:jc w:val="center"/>
        <w:rPr>
          <w:b/>
          <w:color w:val="auto"/>
          <w:sz w:val="20"/>
          <w:szCs w:val="20"/>
          <w:lang w:val="pt-BR"/>
        </w:rPr>
      </w:pPr>
      <w:r>
        <w:rPr>
          <w:b/>
          <w:color w:val="auto"/>
          <w:sz w:val="20"/>
          <w:szCs w:val="20"/>
          <w:lang w:val="pt-BR"/>
        </w:rPr>
      </w:r>
    </w:p>
    <w:p>
      <w:pPr>
        <w:pStyle w:val="BodyTextIndent"/>
        <w:widowControl w:val="false"/>
        <w:shd w:val="clear" w:color="auto" w:fill="CCCCCC"/>
        <w:overflowPunct w:val="true"/>
        <w:spacing w:lineRule="auto" w:line="240"/>
        <w:jc w:val="center"/>
        <w:rPr>
          <w:b/>
          <w:color w:val="auto"/>
          <w:sz w:val="20"/>
          <w:szCs w:val="20"/>
          <w:lang w:val="pt-BR"/>
        </w:rPr>
      </w:pPr>
      <w:r>
        <w:rPr>
          <w:b/>
          <w:color w:val="auto"/>
          <w:sz w:val="20"/>
          <w:szCs w:val="20"/>
        </w:rPr>
        <w:t xml:space="preserve">EDITAL DE </w:t>
      </w:r>
      <w:r>
        <w:rPr>
          <w:b/>
          <w:color w:val="auto"/>
          <w:sz w:val="20"/>
          <w:szCs w:val="20"/>
          <w:lang w:val="pt-BR"/>
        </w:rPr>
        <w:t>DISPENSA ELETRÔNICA nº 266/2024</w:t>
      </w:r>
    </w:p>
    <w:p>
      <w:pPr>
        <w:pStyle w:val="BodyTextIndent"/>
        <w:widowControl w:val="false"/>
        <w:overflowPunct w:val="true"/>
        <w:spacing w:lineRule="auto" w:line="240"/>
        <w:jc w:val="center"/>
        <w:rPr>
          <w:color w:val="auto"/>
          <w:sz w:val="20"/>
          <w:szCs w:val="20"/>
        </w:rPr>
      </w:pPr>
      <w:r>
        <w:rPr>
          <w:color w:val="auto"/>
          <w:sz w:val="20"/>
          <w:szCs w:val="20"/>
        </w:rPr>
      </w:r>
    </w:p>
    <w:p>
      <w:pPr>
        <w:pStyle w:val="BodyTextIndent"/>
        <w:widowControl w:val="false"/>
        <w:overflowPunct w:val="true"/>
        <w:spacing w:lineRule="auto" w:line="240"/>
        <w:jc w:val="center"/>
        <w:rPr>
          <w:sz w:val="20"/>
          <w:szCs w:val="20"/>
        </w:rPr>
      </w:pPr>
      <w:r>
        <w:rPr>
          <w:b/>
          <w:bCs/>
          <w:color w:val="auto"/>
          <w:sz w:val="20"/>
          <w:szCs w:val="20"/>
          <w:lang w:val="pt-BR"/>
        </w:rPr>
        <w:t>TERMO DE REFERÊNCIA</w:t>
      </w:r>
    </w:p>
    <w:p>
      <w:pPr>
        <w:pStyle w:val="BodyTextIndent"/>
        <w:widowControl w:val="false"/>
        <w:overflowPunct w:val="true"/>
        <w:spacing w:lineRule="auto" w:line="240"/>
        <w:jc w:val="center"/>
        <w:rPr>
          <w:color w:val="auto"/>
          <w:sz w:val="20"/>
          <w:szCs w:val="20"/>
        </w:rPr>
      </w:pPr>
      <w:r>
        <w:rPr>
          <w:color w:val="auto"/>
          <w:sz w:val="20"/>
          <w:szCs w:val="20"/>
        </w:rPr>
      </w:r>
    </w:p>
    <w:p>
      <w:pPr>
        <w:pStyle w:val="BodyTextIndent"/>
        <w:widowControl w:val="false"/>
        <w:shd w:val="clear" w:color="auto" w:fill="DDDDDD"/>
        <w:overflowPunct w:val="true"/>
        <w:spacing w:lineRule="auto" w:line="240"/>
        <w:ind w:firstLine="567"/>
        <w:rPr>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BodyTextIndent"/>
        <w:widowControl w:val="false"/>
        <w:numPr>
          <w:ilvl w:val="0"/>
          <w:numId w:val="4"/>
        </w:numPr>
        <w:tabs>
          <w:tab w:val="clear" w:pos="709"/>
          <w:tab w:val="left" w:pos="284" w:leader="none"/>
        </w:tabs>
        <w:overflowPunct w:val="true"/>
        <w:spacing w:lineRule="auto" w:line="240"/>
        <w:rPr>
          <w:color w:val="auto"/>
          <w:sz w:val="20"/>
          <w:szCs w:val="20"/>
          <w:lang w:val="pt-BR"/>
        </w:rPr>
      </w:pPr>
      <w:r>
        <w:rPr>
          <w:color w:val="auto"/>
          <w:sz w:val="20"/>
          <w:szCs w:val="20"/>
        </w:rPr>
        <w:t>Número do proces</w:t>
      </w:r>
      <w:r>
        <w:rPr>
          <w:color w:val="auto"/>
          <w:sz w:val="20"/>
          <w:szCs w:val="20"/>
          <w:lang w:val="pt-BR"/>
        </w:rPr>
        <w:t xml:space="preserve">so: </w:t>
      </w:r>
      <w:r>
        <w:rPr>
          <w:b/>
          <w:bCs/>
          <w:color w:val="auto"/>
          <w:sz w:val="20"/>
          <w:szCs w:val="20"/>
          <w:lang w:val="pt-BR"/>
        </w:rPr>
        <w:t>160.811/2024</w:t>
      </w:r>
      <w:r>
        <w:rPr>
          <w:b/>
          <w:color w:val="auto"/>
          <w:sz w:val="20"/>
          <w:szCs w:val="20"/>
          <w:lang w:val="pt-BR"/>
        </w:rPr>
        <w:t xml:space="preserve"> </w:t>
      </w:r>
    </w:p>
    <w:p>
      <w:pPr>
        <w:pStyle w:val="BodyTextIndent"/>
        <w:widowControl w:val="false"/>
        <w:numPr>
          <w:ilvl w:val="0"/>
          <w:numId w:val="4"/>
        </w:numPr>
        <w:tabs>
          <w:tab w:val="clear" w:pos="709"/>
          <w:tab w:val="left" w:pos="284" w:leader="none"/>
        </w:tabs>
        <w:spacing w:lineRule="auto" w:line="240"/>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27/12/2024 - 08h</w:t>
      </w:r>
    </w:p>
    <w:p>
      <w:pPr>
        <w:pStyle w:val="BodyTextIndent"/>
        <w:widowControl w:val="false"/>
        <w:numPr>
          <w:ilvl w:val="0"/>
          <w:numId w:val="4"/>
        </w:numPr>
        <w:tabs>
          <w:tab w:val="clear" w:pos="709"/>
          <w:tab w:val="left" w:pos="284" w:leader="none"/>
        </w:tabs>
        <w:spacing w:lineRule="auto" w:line="240"/>
        <w:rPr>
          <w:color w:val="auto"/>
          <w:sz w:val="20"/>
          <w:szCs w:val="20"/>
        </w:rPr>
      </w:pPr>
      <w:r>
        <w:rPr>
          <w:color w:val="auto"/>
          <w:sz w:val="20"/>
          <w:szCs w:val="20"/>
        </w:rPr>
        <w:t>Data de início de lances:</w:t>
      </w:r>
      <w:r>
        <w:rPr>
          <w:color w:val="auto"/>
          <w:sz w:val="20"/>
          <w:szCs w:val="20"/>
          <w:lang w:val="pt-BR"/>
        </w:rPr>
        <w:t xml:space="preserve"> 27/12/2024 - 09h</w:t>
      </w:r>
    </w:p>
    <w:p>
      <w:pPr>
        <w:pStyle w:val="BodyTextIndent"/>
        <w:widowControl w:val="false"/>
        <w:numPr>
          <w:ilvl w:val="0"/>
          <w:numId w:val="4"/>
        </w:numPr>
        <w:tabs>
          <w:tab w:val="clear" w:pos="709"/>
          <w:tab w:val="left" w:pos="284" w:leader="none"/>
        </w:tabs>
        <w:spacing w:lineRule="auto" w:line="240"/>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pPr>
        <w:pStyle w:val="BodyTextIndent"/>
        <w:widowControl w:val="false"/>
        <w:numPr>
          <w:ilvl w:val="0"/>
          <w:numId w:val="4"/>
        </w:numPr>
        <w:tabs>
          <w:tab w:val="clear" w:pos="709"/>
          <w:tab w:val="left" w:pos="284" w:leader="none"/>
        </w:tabs>
        <w:overflowPunct w:val="true"/>
        <w:spacing w:lineRule="auto" w:line="240"/>
        <w:rPr>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2">
        <w:r>
          <w:rPr>
            <w:rStyle w:val="ListLabel406"/>
            <w:color w:val="0000FF"/>
            <w:sz w:val="20"/>
            <w:szCs w:val="20"/>
            <w:u w:val="single"/>
            <w:lang w:val="pt-BR"/>
          </w:rPr>
          <w:t>https://bnccompras.com</w:t>
        </w:r>
      </w:hyperlink>
      <w:r>
        <w:rPr>
          <w:sz w:val="20"/>
          <w:szCs w:val="20"/>
          <w:lang w:val="pt-BR"/>
        </w:rPr>
        <w:t>.</w:t>
      </w:r>
    </w:p>
    <w:p>
      <w:pPr>
        <w:pStyle w:val="BodyTextIndent"/>
        <w:widowControl w:val="false"/>
        <w:tabs>
          <w:tab w:val="clear" w:pos="709"/>
          <w:tab w:val="left" w:pos="284" w:leader="none"/>
        </w:tabs>
        <w:overflowPunct w:val="true"/>
        <w:spacing w:lineRule="auto" w:line="240"/>
        <w:rPr>
          <w:b/>
          <w:bCs/>
          <w:color w:val="auto"/>
          <w:sz w:val="20"/>
          <w:szCs w:val="20"/>
          <w:highlight w:val="yellow"/>
        </w:rPr>
      </w:pPr>
      <w:r>
        <w:rPr>
          <w:b/>
          <w:bCs/>
          <w:color w:val="auto"/>
          <w:sz w:val="20"/>
          <w:szCs w:val="20"/>
          <w:highlight w:val="yellow"/>
        </w:rPr>
      </w:r>
    </w:p>
    <w:p>
      <w:pPr>
        <w:pStyle w:val="Normal"/>
        <w:shd w:val="clear" w:color="auto" w:fill="DDDDDD"/>
        <w:ind w:firstLine="567"/>
        <w:jc w:val="both"/>
        <w:rPr>
          <w:rFonts w:ascii="Arial" w:hAnsi="Arial" w:cs="Arial"/>
        </w:rPr>
      </w:pPr>
      <w:r>
        <w:rPr>
          <w:rFonts w:cs="Arial" w:ascii="Arial" w:hAnsi="Arial"/>
          <w:b/>
          <w:bCs/>
        </w:rPr>
        <w:t>2. DO OBJETO:</w:t>
      </w:r>
    </w:p>
    <w:p>
      <w:pPr>
        <w:pStyle w:val="Normal"/>
        <w:numPr>
          <w:ilvl w:val="0"/>
          <w:numId w:val="6"/>
        </w:numPr>
        <w:tabs>
          <w:tab w:val="clear" w:pos="709"/>
          <w:tab w:val="left" w:pos="284" w:leader="none"/>
        </w:tabs>
        <w:jc w:val="both"/>
        <w:rPr>
          <w:rFonts w:ascii="Arial" w:hAnsi="Arial" w:cs="Arial"/>
        </w:rPr>
      </w:pPr>
      <w:r>
        <w:rPr>
          <w:rFonts w:cs="Arial" w:ascii="Arial" w:hAnsi="Arial"/>
        </w:rPr>
        <w:t>Objeto: Contratação Emergencial de Empresa especializada para prestação de serviços de (i) Coleta; (ii)  transporte e (iii) disposição final ambientalmente adequada, de resíduos volumosos, entulhos, massa verde, outros materiais inservíveis e rejeitos, provenientes dos 07 ecopontos e do “Setor de Resíduos” do Município de Piracicaba.</w:t>
      </w:r>
    </w:p>
    <w:p>
      <w:pPr>
        <w:pStyle w:val="Normal"/>
        <w:numPr>
          <w:ilvl w:val="0"/>
          <w:numId w:val="6"/>
        </w:numPr>
        <w:tabs>
          <w:tab w:val="clear" w:pos="709"/>
          <w:tab w:val="left" w:pos="284" w:leader="none"/>
        </w:tabs>
        <w:jc w:val="both"/>
        <w:rPr>
          <w:b w:val="false"/>
          <w:bCs w:val="false"/>
        </w:rPr>
      </w:pPr>
      <w:r>
        <w:rPr>
          <w:rFonts w:cs="Arial" w:ascii="Arial" w:hAnsi="Arial"/>
          <w:b w:val="false"/>
          <w:bCs w:val="false"/>
        </w:rPr>
        <w:t>Unidade Requisitante: Secretaria Municipal de Infraestrutura e Meio Ambiente</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Fonte de recursos: 0101011000 </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Valor estimado da contratação: </w:t>
      </w:r>
      <w:r>
        <w:rPr>
          <w:rFonts w:cs="Arial" w:ascii="Arial" w:hAnsi="Arial"/>
          <w:b/>
          <w:bCs/>
        </w:rPr>
        <w:t>R$ 8.176,000,00</w:t>
      </w:r>
      <w:r>
        <w:rPr>
          <w:rFonts w:cs="Arial" w:ascii="Arial" w:hAnsi="Arial"/>
        </w:rPr>
        <w:t xml:space="preserve"> (oito milhões cento e setenta e seis mil reais).</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Prazo de contratação: </w:t>
      </w:r>
      <w:r>
        <w:rPr>
          <w:rFonts w:cs="Arial" w:ascii="Arial" w:hAnsi="Arial"/>
          <w:sz w:val="19"/>
          <w:szCs w:val="19"/>
        </w:rPr>
        <w:t>06 (seis) meses, contados da data de emissão da Ordem de Serviço, podendo ser prorrogado, ou até a conclusão do Certame Licitatório Pregão Presencial 461/2024 Processo PMP 2024/40.929, dentro do limite previsto no artigo 107 da Lei 14.133, de 2021.</w:t>
      </w:r>
    </w:p>
    <w:p>
      <w:pPr>
        <w:pStyle w:val="Normal"/>
        <w:numPr>
          <w:ilvl w:val="0"/>
          <w:numId w:val="6"/>
        </w:numPr>
        <w:tabs>
          <w:tab w:val="clear" w:pos="709"/>
          <w:tab w:val="left" w:pos="284" w:leader="none"/>
        </w:tabs>
        <w:jc w:val="both"/>
        <w:rPr>
          <w:rFonts w:ascii="Arial" w:hAnsi="Arial" w:cs="Arial"/>
        </w:rPr>
      </w:pPr>
      <w:r>
        <w:rPr>
          <w:rFonts w:cs="Arial" w:ascii="Arial" w:hAnsi="Arial"/>
        </w:rPr>
        <w:t>Amparo Legal: Art. 75, Inciso VIII</w:t>
      </w:r>
    </w:p>
    <w:p>
      <w:pPr>
        <w:pStyle w:val="Normal"/>
        <w:numPr>
          <w:ilvl w:val="0"/>
          <w:numId w:val="0"/>
        </w:numPr>
        <w:tabs>
          <w:tab w:val="clear" w:pos="709"/>
          <w:tab w:val="left" w:pos="284" w:leader="none"/>
        </w:tabs>
        <w:ind w:hanging="0" w:left="0"/>
        <w:jc w:val="both"/>
        <w:rPr>
          <w:sz w:val="18"/>
          <w:szCs w:val="18"/>
        </w:rPr>
      </w:pPr>
      <w:r>
        <w:rPr>
          <w:rFonts w:cs="Arial" w:ascii="Arial" w:hAnsi="Arial"/>
          <w:i/>
          <w:iCs/>
          <w:sz w:val="18"/>
          <w:szCs w:val="18"/>
        </w:rPr>
        <w:t>(por se tratar de solicitação de caráter emergencial, após a disputa e análise da documentação da licitante vencedora, será solicitado parecer da Procuradoria Geral do Município visando o enquadramento legal para esta contratação direta).</w:t>
      </w:r>
    </w:p>
    <w:p>
      <w:pPr>
        <w:pStyle w:val="Normal"/>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3. DA PROPOSTA:</w:t>
      </w:r>
    </w:p>
    <w:p>
      <w:pPr>
        <w:pStyle w:val="Normal"/>
        <w:numPr>
          <w:ilvl w:val="0"/>
          <w:numId w:val="29"/>
        </w:numPr>
        <w:tabs>
          <w:tab w:val="clear" w:pos="709"/>
          <w:tab w:val="left" w:pos="284" w:leader="none"/>
        </w:tabs>
        <w:jc w:val="both"/>
        <w:rPr>
          <w:rFonts w:ascii="Arial" w:hAnsi="Arial" w:cs="Arial"/>
        </w:rPr>
      </w:pPr>
      <w:r>
        <w:rPr>
          <w:rFonts w:cs="Arial" w:ascii="Arial" w:hAnsi="Arial"/>
        </w:rPr>
        <w:t>Prazo de validade: 60 (sessenta) dias.</w:t>
      </w:r>
    </w:p>
    <w:p>
      <w:pPr>
        <w:pStyle w:val="Normal"/>
        <w:numPr>
          <w:ilvl w:val="0"/>
          <w:numId w:val="30"/>
        </w:numPr>
        <w:tabs>
          <w:tab w:val="clear" w:pos="709"/>
          <w:tab w:val="left" w:pos="284" w:leader="none"/>
        </w:tabs>
        <w:jc w:val="both"/>
        <w:rPr>
          <w:rFonts w:ascii="Arial" w:hAnsi="Arial" w:cs="Arial"/>
          <w:b/>
          <w:u w:val="single"/>
        </w:rPr>
      </w:pPr>
      <w:r>
        <w:rPr>
          <w:rFonts w:cs="Arial" w:ascii="Arial" w:hAnsi="Arial"/>
        </w:rPr>
        <w:t>Prazo de Pagamento: 15 (quinze) dias úteis, contados da data do recebimento da nota fiscal, em atendimento ao Decreto Municipal Nº 17.640/18.</w:t>
      </w:r>
    </w:p>
    <w:p>
      <w:pPr>
        <w:pStyle w:val="Normal"/>
        <w:numPr>
          <w:ilvl w:val="1"/>
          <w:numId w:val="31"/>
        </w:numPr>
        <w:tabs>
          <w:tab w:val="clear" w:pos="709"/>
          <w:tab w:val="left" w:pos="284" w:leader="none"/>
        </w:tabs>
        <w:jc w:val="both"/>
        <w:rPr>
          <w:rFonts w:ascii="Arial" w:hAnsi="Arial" w:cs="Arial"/>
          <w:b/>
          <w:u w:val="single"/>
        </w:rPr>
      </w:pPr>
      <w:r>
        <w:rPr>
          <w:rFonts w:cs="Arial" w:ascii="Arial" w:hAnsi="Arial"/>
        </w:rPr>
        <w:t>O pagamento será realizado através de medições mensais.</w:t>
      </w:r>
    </w:p>
    <w:p>
      <w:pPr>
        <w:pStyle w:val="ListParagraph"/>
        <w:numPr>
          <w:ilvl w:val="0"/>
          <w:numId w:val="32"/>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 xml:space="preserve">Critério de Julgamento: </w:t>
      </w:r>
      <w:r>
        <w:rPr>
          <w:rFonts w:cs="Arial" w:ascii="Arial" w:hAnsi="Arial"/>
          <w:b/>
          <w:bCs/>
          <w:sz w:val="20"/>
          <w:szCs w:val="20"/>
        </w:rPr>
        <w:t>MENOR VALOR MENSAL</w:t>
      </w:r>
      <w:r>
        <w:rPr>
          <w:rFonts w:cs="Arial" w:ascii="Arial" w:hAnsi="Arial"/>
          <w:sz w:val="20"/>
          <w:szCs w:val="20"/>
        </w:rPr>
        <w:t>.</w:t>
      </w:r>
    </w:p>
    <w:p>
      <w:pPr>
        <w:pStyle w:val="Normal"/>
        <w:numPr>
          <w:ilvl w:val="0"/>
          <w:numId w:val="33"/>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numPr>
          <w:ilvl w:val="0"/>
          <w:numId w:val="0"/>
        </w:numPr>
        <w:tabs>
          <w:tab w:val="clear" w:pos="709"/>
          <w:tab w:val="left" w:pos="284" w:leader="none"/>
        </w:tabs>
        <w:ind w:hanging="0" w:left="0"/>
        <w:jc w:val="both"/>
        <w:rPr>
          <w:sz w:val="10"/>
          <w:szCs w:val="10"/>
        </w:rPr>
      </w:pPr>
      <w:r>
        <w:rPr>
          <w:sz w:val="10"/>
          <w:szCs w:val="10"/>
        </w:rPr>
      </w:r>
    </w:p>
    <w:tbl>
      <w:tblPr>
        <w:tblW w:w="9930" w:type="dxa"/>
        <w:jc w:val="center"/>
        <w:tblInd w:w="0" w:type="dxa"/>
        <w:tblLayout w:type="fixed"/>
        <w:tblCellMar>
          <w:top w:w="55" w:type="dxa"/>
          <w:left w:w="55" w:type="dxa"/>
          <w:bottom w:w="55" w:type="dxa"/>
          <w:right w:w="55" w:type="dxa"/>
        </w:tblCellMar>
        <w:tblLook w:firstRow="0" w:noVBand="0" w:lastRow="0" w:firstColumn="0" w:lastColumn="0" w:noHBand="0" w:val="0000"/>
      </w:tblPr>
      <w:tblGrid>
        <w:gridCol w:w="542"/>
        <w:gridCol w:w="1230"/>
        <w:gridCol w:w="938"/>
        <w:gridCol w:w="7219"/>
      </w:tblGrid>
      <w:tr>
        <w:trPr>
          <w:trHeight w:val="120" w:hRule="atLeast"/>
        </w:trPr>
        <w:tc>
          <w:tcPr>
            <w:tcW w:w="542" w:type="dxa"/>
            <w:tcBorders>
              <w:top w:val="single" w:sz="2" w:space="0" w:color="000000"/>
              <w:left w:val="single" w:sz="2" w:space="0" w:color="000000"/>
              <w:bottom w:val="single" w:sz="2" w:space="0" w:color="000000"/>
            </w:tcBorders>
            <w:shd w:color="auto" w:fill="auto" w:val="clear"/>
            <w:vAlign w:val="center"/>
          </w:tcPr>
          <w:p>
            <w:pPr>
              <w:pStyle w:val="Normal"/>
              <w:widowControl w:val="false"/>
              <w:jc w:val="center"/>
              <w:rPr>
                <w:rFonts w:ascii="Arial" w:hAnsi="Arial"/>
                <w:sz w:val="20"/>
                <w:szCs w:val="20"/>
              </w:rPr>
            </w:pPr>
            <w:r>
              <w:rPr>
                <w:rFonts w:cs="Arial" w:ascii="Arial" w:hAnsi="Arial"/>
                <w:b/>
                <w:bCs/>
                <w:sz w:val="20"/>
                <w:szCs w:val="20"/>
              </w:rPr>
              <w:t>Item</w:t>
            </w:r>
          </w:p>
        </w:tc>
        <w:tc>
          <w:tcPr>
            <w:tcW w:w="1230" w:type="dxa"/>
            <w:tcBorders>
              <w:top w:val="single" w:sz="2" w:space="0" w:color="000000"/>
              <w:left w:val="single" w:sz="2" w:space="0" w:color="000000"/>
              <w:bottom w:val="single" w:sz="2" w:space="0" w:color="000000"/>
            </w:tcBorders>
            <w:shd w:color="auto" w:fill="auto" w:val="clear"/>
            <w:vAlign w:val="center"/>
          </w:tcPr>
          <w:p>
            <w:pPr>
              <w:pStyle w:val="Normal"/>
              <w:widowControl w:val="false"/>
              <w:jc w:val="center"/>
              <w:rPr>
                <w:rFonts w:ascii="Arial" w:hAnsi="Arial"/>
                <w:sz w:val="20"/>
                <w:szCs w:val="20"/>
              </w:rPr>
            </w:pPr>
            <w:r>
              <w:rPr>
                <w:rFonts w:cs="Arial" w:ascii="Arial" w:hAnsi="Arial"/>
                <w:b/>
                <w:bCs/>
                <w:sz w:val="20"/>
                <w:szCs w:val="20"/>
              </w:rPr>
              <w:t>Quantidade</w:t>
            </w:r>
          </w:p>
          <w:p>
            <w:pPr>
              <w:pStyle w:val="Normal"/>
              <w:widowControl w:val="false"/>
              <w:jc w:val="center"/>
              <w:rPr>
                <w:rFonts w:ascii="Arial" w:hAnsi="Arial"/>
                <w:sz w:val="20"/>
                <w:szCs w:val="20"/>
              </w:rPr>
            </w:pPr>
            <w:r>
              <w:rPr>
                <w:rFonts w:cs="Arial" w:ascii="Arial" w:hAnsi="Arial"/>
                <w:b/>
                <w:bCs/>
                <w:sz w:val="20"/>
                <w:szCs w:val="20"/>
              </w:rPr>
              <w:t>Mensal</w:t>
            </w:r>
          </w:p>
        </w:tc>
        <w:tc>
          <w:tcPr>
            <w:tcW w:w="938" w:type="dxa"/>
            <w:tcBorders>
              <w:top w:val="single" w:sz="2" w:space="0" w:color="000000"/>
              <w:left w:val="single" w:sz="2" w:space="0" w:color="000000"/>
              <w:bottom w:val="single" w:sz="2" w:space="0" w:color="000000"/>
            </w:tcBorders>
            <w:shd w:color="auto" w:fill="auto" w:val="clear"/>
            <w:vAlign w:val="center"/>
          </w:tcPr>
          <w:p>
            <w:pPr>
              <w:pStyle w:val="Normal"/>
              <w:widowControl w:val="false"/>
              <w:jc w:val="center"/>
              <w:rPr>
                <w:rFonts w:ascii="Arial" w:hAnsi="Arial"/>
                <w:sz w:val="20"/>
                <w:szCs w:val="20"/>
              </w:rPr>
            </w:pPr>
            <w:r>
              <w:rPr>
                <w:rFonts w:cs="Arial" w:ascii="Arial" w:hAnsi="Arial"/>
                <w:b/>
                <w:bCs/>
                <w:sz w:val="20"/>
                <w:szCs w:val="20"/>
              </w:rPr>
              <w:t>Unid.</w:t>
            </w:r>
          </w:p>
        </w:tc>
        <w:tc>
          <w:tcPr>
            <w:tcW w:w="7219"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ascii="Arial" w:hAnsi="Arial"/>
                <w:sz w:val="20"/>
                <w:szCs w:val="20"/>
              </w:rPr>
            </w:pPr>
            <w:r>
              <w:rPr>
                <w:rFonts w:cs="Arial" w:ascii="Arial" w:hAnsi="Arial"/>
                <w:b/>
                <w:bCs/>
                <w:sz w:val="20"/>
                <w:szCs w:val="20"/>
              </w:rPr>
              <w:t>Descritivo</w:t>
            </w:r>
          </w:p>
        </w:tc>
      </w:tr>
      <w:tr>
        <w:trPr>
          <w:trHeight w:val="392" w:hRule="atLeast"/>
        </w:trPr>
        <w:tc>
          <w:tcPr>
            <w:tcW w:w="542" w:type="dxa"/>
            <w:tcBorders>
              <w:left w:val="single" w:sz="2" w:space="0" w:color="000000"/>
              <w:bottom w:val="single" w:sz="2" w:space="0" w:color="000000"/>
            </w:tcBorders>
            <w:shd w:color="auto" w:fill="auto" w:val="clear"/>
            <w:vAlign w:val="center"/>
          </w:tcPr>
          <w:p>
            <w:pPr>
              <w:pStyle w:val="Normal"/>
              <w:widowControl w:val="false"/>
              <w:jc w:val="center"/>
              <w:rPr>
                <w:rFonts w:ascii="Arial" w:hAnsi="Arial"/>
                <w:sz w:val="20"/>
                <w:szCs w:val="20"/>
              </w:rPr>
            </w:pPr>
            <w:r>
              <w:rPr>
                <w:rFonts w:cs="Arial" w:ascii="Arial" w:hAnsi="Arial"/>
                <w:sz w:val="20"/>
                <w:szCs w:val="20"/>
              </w:rPr>
              <w:t>1</w:t>
            </w:r>
          </w:p>
        </w:tc>
        <w:tc>
          <w:tcPr>
            <w:tcW w:w="1230" w:type="dxa"/>
            <w:tcBorders>
              <w:left w:val="single" w:sz="2" w:space="0" w:color="000000"/>
              <w:bottom w:val="single" w:sz="2" w:space="0" w:color="000000"/>
            </w:tcBorders>
            <w:shd w:color="auto" w:fill="auto" w:val="clear"/>
            <w:vAlign w:val="center"/>
          </w:tcPr>
          <w:p>
            <w:pPr>
              <w:pStyle w:val="Normal"/>
              <w:widowControl w:val="false"/>
              <w:jc w:val="center"/>
              <w:rPr>
                <w:rFonts w:ascii="Arial" w:hAnsi="Arial"/>
                <w:sz w:val="20"/>
                <w:szCs w:val="20"/>
              </w:rPr>
            </w:pPr>
            <w:r>
              <w:rPr>
                <w:rFonts w:cs="Arial" w:ascii="Arial" w:hAnsi="Arial"/>
                <w:sz w:val="20"/>
                <w:szCs w:val="20"/>
              </w:rPr>
              <w:t>4.000,00</w:t>
            </w:r>
          </w:p>
        </w:tc>
        <w:tc>
          <w:tcPr>
            <w:tcW w:w="938" w:type="dxa"/>
            <w:tcBorders>
              <w:left w:val="single" w:sz="2" w:space="0" w:color="000000"/>
              <w:bottom w:val="single" w:sz="2" w:space="0" w:color="000000"/>
            </w:tcBorders>
            <w:shd w:color="auto" w:fill="auto" w:val="clear"/>
            <w:vAlign w:val="center"/>
          </w:tcPr>
          <w:p>
            <w:pPr>
              <w:pStyle w:val="Normal"/>
              <w:widowControl w:val="false"/>
              <w:jc w:val="center"/>
              <w:rPr>
                <w:rFonts w:ascii="Arial" w:hAnsi="Arial"/>
                <w:sz w:val="20"/>
                <w:szCs w:val="20"/>
              </w:rPr>
            </w:pPr>
            <w:r>
              <w:rPr>
                <w:rFonts w:cs="Arial" w:ascii="Arial" w:hAnsi="Arial"/>
                <w:sz w:val="20"/>
                <w:szCs w:val="20"/>
              </w:rPr>
              <w:t>Tonelada</w:t>
            </w:r>
          </w:p>
        </w:tc>
        <w:tc>
          <w:tcPr>
            <w:tcW w:w="7219" w:type="dxa"/>
            <w:tcBorders>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ascii="Arial" w:hAnsi="Arial"/>
                <w:sz w:val="20"/>
                <w:szCs w:val="20"/>
              </w:rPr>
            </w:pPr>
            <w:r>
              <w:rPr>
                <w:rFonts w:cs="Arial" w:ascii="Arial" w:hAnsi="Arial"/>
                <w:color w:val="000000"/>
                <w:sz w:val="20"/>
                <w:szCs w:val="20"/>
                <w:lang w:val="x-none"/>
              </w:rPr>
              <w:t>Coleta, transporte e disposição final ambientalmente adequada de resíduos volumosos, entulhos, massa verde, outros materiais inservíveis e rejeitos</w:t>
            </w:r>
          </w:p>
        </w:tc>
      </w:tr>
    </w:tbl>
    <w:p>
      <w:pPr>
        <w:pStyle w:val="Normal"/>
        <w:numPr>
          <w:ilvl w:val="0"/>
          <w:numId w:val="0"/>
        </w:numPr>
        <w:tabs>
          <w:tab w:val="clear" w:pos="709"/>
          <w:tab w:val="left" w:pos="284" w:leader="none"/>
        </w:tabs>
        <w:ind w:hanging="0" w:left="0"/>
        <w:jc w:val="both"/>
        <w:rPr>
          <w:rFonts w:ascii="Arial" w:hAnsi="Arial" w:cs="Arial"/>
          <w:sz w:val="30"/>
          <w:szCs w:val="30"/>
          <w:highlight w:val="yellow"/>
        </w:rPr>
      </w:pPr>
      <w:r>
        <w:rPr>
          <w:rFonts w:cs="Arial" w:ascii="Arial" w:hAnsi="Arial"/>
          <w:sz w:val="30"/>
          <w:szCs w:val="30"/>
          <w:highlight w:val="yellow"/>
        </w:rPr>
      </w:r>
    </w:p>
    <w:p>
      <w:pPr>
        <w:pStyle w:val="Normal"/>
        <w:shd w:val="clear" w:color="auto" w:fill="CCCCCC"/>
        <w:ind w:firstLine="567"/>
        <w:jc w:val="both"/>
        <w:rPr>
          <w:rFonts w:ascii="Arial" w:hAnsi="Arial" w:cs="Arial"/>
        </w:rPr>
      </w:pPr>
      <w:r>
        <w:rPr>
          <w:rFonts w:cs="Arial" w:ascii="Arial" w:hAnsi="Arial"/>
          <w:b/>
          <w:bCs/>
        </w:rPr>
        <w:t>4. DA EXECUÇÃO DOS SERVIÇOS:</w:t>
      </w:r>
    </w:p>
    <w:p>
      <w:pPr>
        <w:pStyle w:val="Normal"/>
        <w:numPr>
          <w:ilvl w:val="0"/>
          <w:numId w:val="34"/>
        </w:numPr>
        <w:tabs>
          <w:tab w:val="clear" w:pos="709"/>
          <w:tab w:val="left" w:pos="284" w:leader="none"/>
        </w:tabs>
        <w:jc w:val="both"/>
        <w:rPr>
          <w:rFonts w:ascii="Arial" w:hAnsi="Arial"/>
        </w:rPr>
      </w:pPr>
      <w:r>
        <w:rPr>
          <w:rFonts w:ascii="Arial" w:hAnsi="Arial"/>
        </w:rPr>
        <w:t xml:space="preserve">Início dos serviços: Imediato, a contar da data da Ordem de Serviço emitida pela Unidade Requisitante. </w:t>
      </w:r>
    </w:p>
    <w:p>
      <w:pPr>
        <w:pStyle w:val="Normal"/>
        <w:numPr>
          <w:ilvl w:val="0"/>
          <w:numId w:val="35"/>
        </w:numPr>
        <w:tabs>
          <w:tab w:val="clear" w:pos="709"/>
          <w:tab w:val="left" w:pos="284" w:leader="none"/>
        </w:tabs>
        <w:jc w:val="both"/>
        <w:rPr>
          <w:rFonts w:ascii="Arial" w:hAnsi="Arial"/>
        </w:rPr>
      </w:pPr>
      <w:r>
        <w:rPr>
          <w:rFonts w:ascii="Arial" w:hAnsi="Arial"/>
        </w:rPr>
        <w:t xml:space="preserve">Local e horário para execução dos serviços: O recolhimento deve ser feito das 07 horas às 18 horas de segunda à sexta-feira e aos sábados das 7 horas às 16 horas, no Setor de Resíduos localizado na Estrada Engenheiro Alberto Morato Krahenbuhl e nos ecopontos que estão localizados nos seguintes locais: </w:t>
      </w:r>
    </w:p>
    <w:p>
      <w:pPr>
        <w:pStyle w:val="Normal"/>
        <w:numPr>
          <w:ilvl w:val="1"/>
          <w:numId w:val="36"/>
        </w:numPr>
        <w:tabs>
          <w:tab w:val="clear" w:pos="709"/>
          <w:tab w:val="left" w:pos="284" w:leader="none"/>
        </w:tabs>
        <w:spacing w:lineRule="auto" w:line="276"/>
        <w:jc w:val="both"/>
        <w:rPr/>
      </w:pPr>
      <w:r>
        <w:rPr>
          <w:rFonts w:ascii="Arial" w:hAnsi="Arial"/>
        </w:rPr>
        <w:t>ÁRTEMIS - Rua Fioravante Cenedese</w:t>
      </w:r>
    </w:p>
    <w:p>
      <w:pPr>
        <w:pStyle w:val="Normal"/>
        <w:numPr>
          <w:ilvl w:val="1"/>
          <w:numId w:val="37"/>
        </w:numPr>
        <w:tabs>
          <w:tab w:val="clear" w:pos="709"/>
          <w:tab w:val="left" w:pos="284" w:leader="none"/>
        </w:tabs>
        <w:spacing w:lineRule="auto" w:line="276"/>
        <w:jc w:val="both"/>
        <w:rPr/>
      </w:pPr>
      <w:r>
        <w:rPr>
          <w:rFonts w:ascii="Arial" w:hAnsi="Arial"/>
        </w:rPr>
        <w:t>BOSQUES DO LENHEIRO    -   Rua Sapucaia </w:t>
      </w:r>
    </w:p>
    <w:p>
      <w:pPr>
        <w:pStyle w:val="Normal"/>
        <w:numPr>
          <w:ilvl w:val="1"/>
          <w:numId w:val="38"/>
        </w:numPr>
        <w:tabs>
          <w:tab w:val="clear" w:pos="709"/>
          <w:tab w:val="left" w:pos="284" w:leader="none"/>
        </w:tabs>
        <w:spacing w:lineRule="auto" w:line="276"/>
        <w:jc w:val="both"/>
        <w:rPr/>
      </w:pPr>
      <w:r>
        <w:rPr>
          <w:rFonts w:ascii="Arial" w:hAnsi="Arial"/>
        </w:rPr>
        <w:t>MÁRIO DEDINI I - Rua Antônio Franco de Lima </w:t>
      </w:r>
    </w:p>
    <w:p>
      <w:pPr>
        <w:pStyle w:val="Normal"/>
        <w:numPr>
          <w:ilvl w:val="1"/>
          <w:numId w:val="39"/>
        </w:numPr>
        <w:tabs>
          <w:tab w:val="clear" w:pos="709"/>
          <w:tab w:val="left" w:pos="284" w:leader="none"/>
        </w:tabs>
        <w:spacing w:lineRule="auto" w:line="276"/>
        <w:jc w:val="both"/>
        <w:rPr/>
      </w:pPr>
      <w:r>
        <w:rPr>
          <w:rFonts w:ascii="Arial" w:hAnsi="Arial"/>
        </w:rPr>
        <w:t>MÁRIO DEDINI II - Rua dos Topázios</w:t>
      </w:r>
    </w:p>
    <w:p>
      <w:pPr>
        <w:pStyle w:val="Normal"/>
        <w:numPr>
          <w:ilvl w:val="1"/>
          <w:numId w:val="40"/>
        </w:numPr>
        <w:tabs>
          <w:tab w:val="clear" w:pos="709"/>
          <w:tab w:val="left" w:pos="284" w:leader="none"/>
        </w:tabs>
        <w:spacing w:lineRule="auto" w:line="276"/>
        <w:jc w:val="both"/>
        <w:rPr/>
      </w:pPr>
      <w:r>
        <w:rPr>
          <w:rFonts w:ascii="Arial" w:hAnsi="Arial"/>
        </w:rPr>
        <w:t>MONTE REY - Rua Giovanni Ferrazo</w:t>
      </w:r>
    </w:p>
    <w:p>
      <w:pPr>
        <w:pStyle w:val="Normal"/>
        <w:numPr>
          <w:ilvl w:val="1"/>
          <w:numId w:val="41"/>
        </w:numPr>
        <w:tabs>
          <w:tab w:val="clear" w:pos="709"/>
          <w:tab w:val="left" w:pos="284" w:leader="none"/>
        </w:tabs>
        <w:spacing w:lineRule="auto" w:line="276"/>
        <w:jc w:val="both"/>
        <w:rPr/>
      </w:pPr>
      <w:r>
        <w:rPr>
          <w:rFonts w:ascii="Arial" w:hAnsi="Arial"/>
        </w:rPr>
        <w:t xml:space="preserve">ORIENTE - Rua Profª. Maria Isabel Teixeira </w:t>
      </w:r>
    </w:p>
    <w:p>
      <w:pPr>
        <w:pStyle w:val="Normal"/>
        <w:numPr>
          <w:ilvl w:val="1"/>
          <w:numId w:val="42"/>
        </w:numPr>
        <w:tabs>
          <w:tab w:val="clear" w:pos="709"/>
          <w:tab w:val="left" w:pos="284" w:leader="none"/>
        </w:tabs>
        <w:spacing w:lineRule="auto" w:line="276"/>
        <w:jc w:val="both"/>
        <w:rPr/>
      </w:pPr>
      <w:r>
        <w:rPr>
          <w:rFonts w:ascii="Arial" w:hAnsi="Arial"/>
        </w:rPr>
        <w:t xml:space="preserve">SANTO ANTÔNIO - R. João Laurelli </w:t>
      </w:r>
    </w:p>
    <w:p>
      <w:pPr>
        <w:pStyle w:val="Normal"/>
        <w:numPr>
          <w:ilvl w:val="0"/>
          <w:numId w:val="43"/>
        </w:numPr>
        <w:tabs>
          <w:tab w:val="clear" w:pos="709"/>
          <w:tab w:val="left" w:pos="284" w:leader="none"/>
        </w:tabs>
        <w:jc w:val="both"/>
        <w:rPr>
          <w:rFonts w:ascii="Arial" w:hAnsi="Arial"/>
        </w:rPr>
      </w:pPr>
      <w:r>
        <w:rPr>
          <w:rFonts w:ascii="Arial" w:hAnsi="Arial"/>
        </w:rPr>
        <w:t xml:space="preserve">Para a execução dos serviços, a Contratada deverá apresentar no Serviço Especializado em Engenharia de Segurança e em Medicina do Trabalho – SESMT, </w:t>
      </w:r>
      <w:r>
        <w:rPr>
          <w:rFonts w:ascii="Arial" w:hAnsi="Arial"/>
          <w:sz w:val="19"/>
          <w:szCs w:val="19"/>
        </w:rPr>
        <w:t xml:space="preserve">na Rua da Freguesia, 165, Jardim Monumento, toda documentação solicitada no </w:t>
      </w:r>
      <w:r>
        <w:rPr>
          <w:rFonts w:ascii="Arial" w:hAnsi="Arial"/>
          <w:b/>
          <w:bCs/>
          <w:sz w:val="19"/>
          <w:szCs w:val="19"/>
        </w:rPr>
        <w:t>Memorial de Segurança</w:t>
      </w:r>
      <w:r>
        <w:rPr>
          <w:rFonts w:ascii="Arial" w:hAnsi="Arial"/>
          <w:sz w:val="19"/>
          <w:szCs w:val="19"/>
        </w:rPr>
        <w:t>, anexo ao Edital, para avaliação, parecer e enquadramento dos Programas de Segurança que deverão ser apresentados para assegurar a plena execução do contrato.</w:t>
      </w:r>
    </w:p>
    <w:p>
      <w:pPr>
        <w:pStyle w:val="Normal"/>
        <w:numPr>
          <w:ilvl w:val="0"/>
          <w:numId w:val="44"/>
        </w:numPr>
        <w:tabs>
          <w:tab w:val="clear" w:pos="709"/>
          <w:tab w:val="left" w:pos="284" w:leader="none"/>
        </w:tabs>
        <w:jc w:val="both"/>
        <w:rPr>
          <w:rFonts w:ascii="Arial" w:hAnsi="Arial"/>
        </w:rPr>
      </w:pPr>
      <w:r>
        <w:rPr>
          <w:rFonts w:ascii="Arial" w:hAnsi="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shd w:val="clear" w:color="auto" w:fill="CCCCCC"/>
        <w:tabs>
          <w:tab w:val="clear" w:pos="709"/>
          <w:tab w:val="left" w:pos="284" w:leader="none"/>
        </w:tabs>
        <w:ind w:firstLine="567"/>
        <w:jc w:val="both"/>
        <w:rPr>
          <w:rFonts w:ascii="Arial" w:hAnsi="Arial" w:cs="Arial"/>
        </w:rPr>
      </w:pPr>
      <w:r>
        <w:rPr>
          <w:rFonts w:cs="Arial" w:ascii="Arial" w:hAnsi="Arial"/>
          <w:b/>
          <w:bCs/>
        </w:rPr>
        <w:t xml:space="preserve">5. DA </w:t>
      </w:r>
      <w:r>
        <w:rPr>
          <w:rFonts w:eastAsia="Arial" w:cs="Arial" w:ascii="Arial" w:hAnsi="Arial"/>
          <w:b/>
          <w:bCs/>
          <w:color w:val="000000"/>
        </w:rPr>
        <w:t>SUBCONTRATAÇÃO</w:t>
      </w:r>
    </w:p>
    <w:p>
      <w:pPr>
        <w:pStyle w:val="ListParagraph"/>
        <w:numPr>
          <w:ilvl w:val="0"/>
          <w:numId w:val="9"/>
        </w:numPr>
        <w:tabs>
          <w:tab w:val="clear" w:pos="709"/>
          <w:tab w:val="left" w:pos="284" w:leader="none"/>
        </w:tabs>
        <w:spacing w:lineRule="auto" w:line="240" w:before="0" w:after="0"/>
        <w:ind w:hanging="0" w:left="0"/>
        <w:jc w:val="both"/>
        <w:rPr>
          <w:rFonts w:ascii="Arial" w:hAnsi="Arial" w:cs="Arial"/>
          <w:sz w:val="20"/>
          <w:szCs w:val="20"/>
        </w:rPr>
      </w:pPr>
      <w:r>
        <w:rPr>
          <w:rFonts w:cs="Arial" w:ascii="Arial" w:hAnsi="Arial"/>
          <w:sz w:val="20"/>
          <w:szCs w:val="20"/>
        </w:rPr>
        <w:t>É admitida a subcontratação parcial do objeto, nas seguintes condições:</w:t>
      </w:r>
    </w:p>
    <w:p>
      <w:pPr>
        <w:pStyle w:val="ListParagraph"/>
        <w:numPr>
          <w:ilvl w:val="0"/>
          <w:numId w:val="0"/>
        </w:numPr>
        <w:tabs>
          <w:tab w:val="clear" w:pos="709"/>
          <w:tab w:val="left" w:pos="284" w:leader="none"/>
        </w:tabs>
        <w:spacing w:lineRule="auto" w:line="240" w:before="0" w:after="0"/>
        <w:ind w:hanging="0" w:left="0"/>
        <w:jc w:val="both"/>
        <w:rPr>
          <w:rFonts w:ascii="Arial" w:hAnsi="Arial" w:cs="Arial"/>
          <w:sz w:val="20"/>
          <w:szCs w:val="20"/>
        </w:rPr>
      </w:pPr>
      <w:r>
        <w:rPr>
          <w:rFonts w:cs="Arial" w:ascii="Arial" w:hAnsi="Arial"/>
          <w:b/>
          <w:bCs/>
          <w:sz w:val="20"/>
          <w:szCs w:val="20"/>
        </w:rPr>
        <w:t xml:space="preserve">1. </w:t>
      </w:r>
      <w:r>
        <w:rPr>
          <w:rFonts w:cs="Arial" w:ascii="Arial" w:hAnsi="Arial"/>
          <w:sz w:val="20"/>
          <w:szCs w:val="20"/>
        </w:rPr>
        <w:t>A subcontratação fica limitada ao transporte.</w:t>
      </w:r>
    </w:p>
    <w:p>
      <w:pPr>
        <w:pStyle w:val="ListParagraph"/>
        <w:widowControl/>
        <w:numPr>
          <w:ilvl w:val="0"/>
          <w:numId w:val="9"/>
        </w:numPr>
        <w:tabs>
          <w:tab w:val="clear" w:pos="709"/>
          <w:tab w:val="left" w:pos="284" w:leader="none"/>
        </w:tabs>
        <w:suppressAutoHyphens w:val="true"/>
        <w:bidi w:val="0"/>
        <w:spacing w:lineRule="auto" w:line="240" w:before="0" w:after="0"/>
        <w:ind w:hanging="0" w:left="0" w:right="-227"/>
        <w:jc w:val="both"/>
        <w:rPr>
          <w:sz w:val="19"/>
          <w:szCs w:val="19"/>
        </w:rPr>
      </w:pPr>
      <w:r>
        <w:rPr>
          <w:rFonts w:cs="Arial" w:ascii="Arial" w:hAnsi="Arial"/>
          <w:sz w:val="19"/>
          <w:szCs w:val="19"/>
        </w:rPr>
        <w:t xml:space="preserve">O contrato oferece maior detalhamento das regras que serão aplicadas em relação à subcontratação, caso admitida. </w:t>
      </w:r>
    </w:p>
    <w:p>
      <w:pPr>
        <w:pStyle w:val="ListParagraph"/>
        <w:numPr>
          <w:ilvl w:val="0"/>
          <w:numId w:val="0"/>
        </w:numPr>
        <w:tabs>
          <w:tab w:val="clear" w:pos="709"/>
          <w:tab w:val="left" w:pos="284" w:leader="none"/>
        </w:tabs>
        <w:spacing w:lineRule="auto" w:line="240" w:before="0" w:after="0"/>
        <w:ind w:hanging="0" w:left="0"/>
        <w:jc w:val="both"/>
        <w:rPr>
          <w:rFonts w:ascii="Arial" w:hAnsi="Arial" w:cs="Arial"/>
          <w:sz w:val="20"/>
          <w:szCs w:val="20"/>
        </w:rPr>
      </w:pPr>
      <w:r>
        <w:rPr>
          <w:rFonts w:cs="Arial" w:ascii="Arial" w:hAnsi="Arial"/>
          <w:sz w:val="20"/>
          <w:szCs w:val="20"/>
        </w:rPr>
      </w:r>
    </w:p>
    <w:p>
      <w:pPr>
        <w:pStyle w:val="Normal"/>
        <w:shd w:val="clear" w:color="auto" w:fill="CCCCCC"/>
        <w:tabs>
          <w:tab w:val="clear" w:pos="709"/>
          <w:tab w:val="left" w:pos="284" w:leader="none"/>
        </w:tabs>
        <w:ind w:firstLine="567"/>
        <w:jc w:val="both"/>
        <w:rPr>
          <w:rFonts w:ascii="Arial" w:hAnsi="Arial" w:cs="Arial"/>
        </w:rPr>
      </w:pPr>
      <w:r>
        <w:rPr>
          <w:rFonts w:cs="Arial" w:ascii="Arial" w:hAnsi="Arial"/>
          <w:b/>
          <w:bCs/>
        </w:rPr>
        <w:t>6. DA VISITA TÉCNICA</w:t>
      </w:r>
      <w:r>
        <w:rPr>
          <w:rFonts w:eastAsia="Arial" w:cs="Arial" w:ascii="Arial" w:hAnsi="Arial"/>
          <w:b/>
          <w:color w:val="000000"/>
        </w:rPr>
        <w:t>:</w:t>
      </w:r>
    </w:p>
    <w:p>
      <w:pPr>
        <w:pStyle w:val="Normal"/>
        <w:numPr>
          <w:ilvl w:val="0"/>
          <w:numId w:val="45"/>
        </w:numPr>
        <w:tabs>
          <w:tab w:val="clear" w:pos="709"/>
          <w:tab w:val="left" w:pos="284" w:leader="none"/>
        </w:tabs>
        <w:ind w:hanging="0" w:left="0"/>
        <w:jc w:val="both"/>
        <w:rPr>
          <w:rFonts w:ascii="Arial" w:hAnsi="Arial" w:cs="Arial"/>
        </w:rPr>
      </w:pPr>
      <w:r>
        <w:rPr>
          <w:rFonts w:cs="Arial" w:ascii="Arial" w:hAnsi="Arial"/>
        </w:rPr>
        <w:t xml:space="preserve">As empresas interessadas poderão realizar </w:t>
      </w:r>
      <w:r>
        <w:rPr>
          <w:rFonts w:cs="Arial" w:ascii="Arial" w:hAnsi="Arial"/>
          <w:b/>
        </w:rPr>
        <w:t>visita técnica</w:t>
      </w:r>
      <w:r>
        <w:rPr>
          <w:rFonts w:cs="Arial" w:ascii="Arial" w:hAnsi="Arial"/>
        </w:rPr>
        <w:t xml:space="preserve"> nos locais onde serão executados os serviços, de forma que tenham conhecimento pleno das condições técnicas para a sua efetiva realização. </w:t>
      </w:r>
    </w:p>
    <w:p>
      <w:pPr>
        <w:pStyle w:val="ListParagraph"/>
        <w:numPr>
          <w:ilvl w:val="0"/>
          <w:numId w:val="9"/>
        </w:numPr>
        <w:tabs>
          <w:tab w:val="clear" w:pos="709"/>
          <w:tab w:val="left" w:pos="284" w:leader="none"/>
        </w:tabs>
        <w:spacing w:lineRule="auto" w:line="240" w:before="0" w:after="0"/>
        <w:ind w:hanging="0" w:left="0"/>
        <w:jc w:val="both"/>
        <w:rPr>
          <w:rFonts w:ascii="Arial" w:hAnsi="Arial" w:cs="Arial"/>
          <w:sz w:val="20"/>
          <w:szCs w:val="20"/>
        </w:rPr>
      </w:pPr>
      <w:r>
        <w:rPr>
          <w:rFonts w:cs="Arial" w:ascii="Arial" w:hAnsi="Arial"/>
          <w:sz w:val="20"/>
          <w:szCs w:val="20"/>
        </w:rPr>
        <w:t xml:space="preserve">A visita técnica é </w:t>
      </w:r>
      <w:r>
        <w:rPr>
          <w:rFonts w:cs="Arial" w:ascii="Arial" w:hAnsi="Arial"/>
          <w:b/>
          <w:bCs/>
          <w:sz w:val="20"/>
          <w:szCs w:val="20"/>
        </w:rPr>
        <w:t>facultativa</w:t>
      </w:r>
      <w:r>
        <w:rPr>
          <w:rFonts w:cs="Arial" w:ascii="Arial" w:hAnsi="Arial"/>
          <w:sz w:val="20"/>
          <w:szCs w:val="20"/>
        </w:rPr>
        <w:t xml:space="preserve"> e será realizada em horário de expediente, por representante devidamente credenciado pela empresa interessada, devendo ser agendada junto a Secretaria Municipal de Infraestrutura e Meio Ambiente, através do telefone (19) 3402-3122 ou endereço eletrônico </w:t>
      </w:r>
      <w:hyperlink r:id="rId3">
        <w:r>
          <w:rPr>
            <w:rStyle w:val="Hyperlink"/>
            <w:rFonts w:cs="Arial" w:ascii="Arial" w:hAnsi="Arial"/>
            <w:sz w:val="20"/>
            <w:szCs w:val="20"/>
          </w:rPr>
          <w:t>fcruz@piracicaba.sp.gov.br</w:t>
        </w:r>
      </w:hyperlink>
      <w:r>
        <w:rPr>
          <w:rFonts w:cs="Arial" w:ascii="Arial" w:hAnsi="Arial"/>
          <w:sz w:val="20"/>
          <w:szCs w:val="20"/>
        </w:rPr>
        <w:t>, com o funcionário Fernando Oliveira da Cruz</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shd w:val="clear" w:color="auto" w:fill="DDDDDD"/>
        <w:ind w:firstLine="567"/>
        <w:jc w:val="both"/>
        <w:rPr>
          <w:rFonts w:ascii="Arial" w:hAnsi="Arial" w:cs="Arial"/>
        </w:rPr>
      </w:pPr>
      <w:r>
        <w:rPr>
          <w:rFonts w:cs="Arial" w:ascii="Arial" w:hAnsi="Arial"/>
          <w:b/>
          <w:bCs/>
        </w:rPr>
        <w:t>7. DO FORNECIMENTO DE INFORMAÇÕES:</w:t>
      </w:r>
    </w:p>
    <w:p>
      <w:pPr>
        <w:pStyle w:val="Normal"/>
        <w:numPr>
          <w:ilvl w:val="0"/>
          <w:numId w:val="7"/>
        </w:numPr>
        <w:tabs>
          <w:tab w:val="clear" w:pos="709"/>
          <w:tab w:val="left" w:pos="284" w:leader="none"/>
          <w:tab w:val="left" w:pos="567"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4">
        <w:r>
          <w:rPr>
            <w:rStyle w:val="ListLabel408"/>
            <w:rFonts w:cs="Arial" w:ascii="Arial" w:hAnsi="Arial"/>
            <w:color w:val="0000FF"/>
            <w:u w:val="single"/>
          </w:rPr>
          <w:t>https://bnccompras.com</w:t>
        </w:r>
      </w:hyperlink>
      <w:r>
        <w:rPr>
          <w:rFonts w:cs="Arial" w:ascii="Arial" w:hAnsi="Arial"/>
        </w:rPr>
        <w:t>.</w:t>
      </w:r>
    </w:p>
    <w:p>
      <w:pPr>
        <w:pStyle w:val="Normal"/>
        <w:numPr>
          <w:ilvl w:val="1"/>
          <w:numId w:val="7"/>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7"/>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7"/>
        </w:numPr>
        <w:tabs>
          <w:tab w:val="clear" w:pos="709"/>
          <w:tab w:val="left" w:pos="284" w:leader="none"/>
        </w:tabs>
        <w:jc w:val="both"/>
        <w:rPr>
          <w:rFonts w:ascii="Arial" w:hAnsi="Arial" w:cs="Arial"/>
        </w:rPr>
      </w:pPr>
      <w:r>
        <w:rPr>
          <w:rFonts w:cs="Arial" w:ascii="Arial" w:hAnsi="Arial"/>
          <w:shd w:fill="FFFFFF" w:val="clear"/>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CCCCCC"/>
        <w:ind w:firstLine="567"/>
        <w:jc w:val="both"/>
        <w:rPr>
          <w:rFonts w:ascii="Arial" w:hAnsi="Arial" w:cs="Arial"/>
        </w:rPr>
      </w:pPr>
      <w:r>
        <w:rPr>
          <w:rFonts w:cs="Arial" w:ascii="Arial" w:hAnsi="Arial"/>
          <w:b/>
          <w:bCs/>
        </w:rPr>
        <w:t>8. EXIGÊNCIA PARA HABILITAÇÃO:</w:t>
      </w:r>
    </w:p>
    <w:p>
      <w:pPr>
        <w:pStyle w:val="Normal"/>
        <w:tabs>
          <w:tab w:val="clear" w:pos="709"/>
          <w:tab w:val="left" w:pos="284" w:leader="none"/>
        </w:tabs>
        <w:jc w:val="both"/>
        <w:rPr>
          <w:rFonts w:ascii="Arial" w:hAnsi="Arial" w:cs="Arial"/>
          <w:b/>
          <w:bCs/>
        </w:rPr>
      </w:pPr>
      <w:r>
        <w:rPr>
          <w:rFonts w:cs="Arial" w:ascii="Arial" w:hAnsi="Arial"/>
          <w:b/>
          <w:bCs/>
        </w:rPr>
      </w:r>
    </w:p>
    <w:p>
      <w:pPr>
        <w:pStyle w:val="Normal"/>
        <w:tabs>
          <w:tab w:val="clear" w:pos="709"/>
          <w:tab w:val="left" w:pos="284" w:leader="none"/>
        </w:tabs>
        <w:jc w:val="both"/>
        <w:rPr>
          <w:rFonts w:ascii="Arial" w:hAnsi="Arial" w:cs="Arial"/>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8"/>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8"/>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8"/>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8"/>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8"/>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8"/>
        </w:numPr>
        <w:tabs>
          <w:tab w:val="clear" w:pos="709"/>
          <w:tab w:val="left" w:pos="284" w:leader="none"/>
        </w:tabs>
        <w:jc w:val="both"/>
        <w:rPr>
          <w:rFonts w:ascii="Arial" w:hAnsi="Arial" w:cs="Arial"/>
        </w:rPr>
      </w:pPr>
      <w:r>
        <w:rPr>
          <w:rFonts w:cs="Arial" w:ascii="Arial" w:hAnsi="Arial"/>
        </w:rPr>
        <w:t>Certidão negativa de regularidade Débitos ou Positiva com Efeito de Negativa de Tributos Estaduais relativos ao ICMS, com validade em vigor.</w:t>
      </w:r>
    </w:p>
    <w:p>
      <w:pPr>
        <w:pStyle w:val="Normal"/>
        <w:numPr>
          <w:ilvl w:val="2"/>
          <w:numId w:val="8"/>
        </w:numPr>
        <w:tabs>
          <w:tab w:val="clear" w:pos="709"/>
          <w:tab w:val="left" w:pos="284" w:leader="none"/>
          <w:tab w:val="left" w:pos="426" w:leader="none"/>
        </w:tabs>
        <w:jc w:val="both"/>
        <w:rPr>
          <w:rFonts w:ascii="Arial" w:hAnsi="Arial" w:cs="Arial"/>
        </w:rPr>
      </w:pPr>
      <w:r>
        <w:rPr>
          <w:rFonts w:cs="Arial" w:ascii="Arial" w:hAnsi="Arial"/>
          <w:color w:val="000000"/>
        </w:rPr>
        <w:t>Será exigida comprovação somente sobre débitos inscritos em dívida ativa;</w:t>
      </w:r>
    </w:p>
    <w:p>
      <w:pPr>
        <w:pStyle w:val="Normal"/>
        <w:numPr>
          <w:ilvl w:val="1"/>
          <w:numId w:val="8"/>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 Débitos com a Fazenda Municipal de débito, relativa à sede ou do domicílio do licitante, com relação aos tributos mobiliários (ISS);</w:t>
      </w:r>
    </w:p>
    <w:p>
      <w:pPr>
        <w:pStyle w:val="Normal"/>
        <w:numPr>
          <w:ilvl w:val="1"/>
          <w:numId w:val="8"/>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8"/>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8"/>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8"/>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falência e concordata, recuperação judicial ou extrajudicial</w:t>
      </w:r>
      <w:r>
        <w:rPr>
          <w:rFonts w:cs="Arial" w:ascii="Arial" w:hAnsi="Arial"/>
        </w:rPr>
        <w:t xml:space="preserve"> expedida pelo distribuidor da sede da pessoa jurídica, com data não superior a 180 (cento e oitenta) dias, da data limite para o recebimento das propostas da presente licitação.</w:t>
      </w:r>
    </w:p>
    <w:p>
      <w:pPr>
        <w:pStyle w:val="Normal"/>
        <w:numPr>
          <w:ilvl w:val="2"/>
          <w:numId w:val="8"/>
        </w:numPr>
        <w:tabs>
          <w:tab w:val="clear" w:pos="709"/>
          <w:tab w:val="left" w:pos="284" w:leader="none"/>
          <w:tab w:val="left" w:pos="426" w:leader="none"/>
        </w:tabs>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numPr>
          <w:ilvl w:val="1"/>
          <w:numId w:val="8"/>
        </w:numPr>
        <w:tabs>
          <w:tab w:val="clear" w:pos="709"/>
          <w:tab w:val="left" w:pos="284" w:leader="none"/>
          <w:tab w:val="left" w:pos="426" w:leader="none"/>
        </w:tabs>
        <w:jc w:val="both"/>
        <w:rPr>
          <w:rFonts w:ascii="Arial" w:hAnsi="Arial" w:cs="Arial"/>
        </w:rPr>
      </w:pPr>
      <w:r>
        <w:rPr>
          <w:rFonts w:cs="Arial" w:ascii="Arial" w:hAnsi="Arial"/>
          <w:b/>
        </w:rPr>
        <w:t>Comprovação Capital mínimo ou de patrimônio líquido mínimo equivalente a 10% (dez por cento) do valor estimado da contratação.</w:t>
      </w:r>
    </w:p>
    <w:p>
      <w:pPr>
        <w:pStyle w:val="Normal"/>
        <w:numPr>
          <w:ilvl w:val="1"/>
          <w:numId w:val="8"/>
        </w:numPr>
        <w:tabs>
          <w:tab w:val="clear" w:pos="709"/>
          <w:tab w:val="left" w:pos="284" w:leader="none"/>
          <w:tab w:val="left" w:pos="426" w:leader="none"/>
        </w:tabs>
        <w:jc w:val="both"/>
        <w:rPr>
          <w:rFonts w:ascii="Arial" w:hAnsi="Arial" w:cs="Arial"/>
        </w:rPr>
      </w:pPr>
      <w:r>
        <w:rPr>
          <w:rFonts w:cs="Arial" w:ascii="Arial" w:hAnsi="Arial"/>
        </w:rPr>
        <w:t>Balanço patrimonial e demonstrações contábeis dos últimos dois exercícios sociais,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pPr>
        <w:pStyle w:val="Normal"/>
        <w:numPr>
          <w:ilvl w:val="2"/>
          <w:numId w:val="8"/>
        </w:numPr>
        <w:tabs>
          <w:tab w:val="clear" w:pos="709"/>
          <w:tab w:val="left" w:pos="284" w:leader="none"/>
          <w:tab w:val="left" w:pos="426" w:leader="none"/>
          <w:tab w:val="left" w:pos="993" w:leader="none"/>
        </w:tabs>
        <w:jc w:val="both"/>
        <w:rPr>
          <w:rFonts w:ascii="Arial" w:hAnsi="Arial" w:cs="Arial"/>
        </w:rPr>
      </w:pPr>
      <w:r>
        <w:rPr>
          <w:rFonts w:cs="Arial" w:ascii="Arial" w:hAnsi="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Prefeitura Municipal de Piracicaba os índices abaixo:</w:t>
      </w:r>
    </w:p>
    <w:p>
      <w:pPr>
        <w:pStyle w:val="ListParagraph"/>
        <w:spacing w:lineRule="auto" w:line="240" w:before="0" w:after="0"/>
        <w:ind w:hanging="0" w:left="709"/>
        <w:jc w:val="both"/>
        <w:rPr>
          <w:rFonts w:ascii="Arial" w:hAnsi="Arial" w:cs="Arial"/>
          <w:b/>
          <w:bCs/>
          <w:sz w:val="20"/>
          <w:szCs w:val="20"/>
        </w:rPr>
      </w:pPr>
      <w:r>
        <w:rPr>
          <w:rFonts w:cs="Arial" w:ascii="Arial" w:hAnsi="Arial"/>
          <w:b/>
          <w:bCs/>
          <w:sz w:val="20"/>
          <w:szCs w:val="20"/>
        </w:rPr>
        <w:t>a)  Índice de Liquidez Geral (LG) = (AC+RLP) / (PC+PNC)</w:t>
      </w:r>
    </w:p>
    <w:p>
      <w:pPr>
        <w:pStyle w:val="ListParagraph"/>
        <w:spacing w:lineRule="auto" w:line="240" w:before="0" w:after="0"/>
        <w:ind w:hanging="0" w:left="709"/>
        <w:jc w:val="both"/>
        <w:rPr>
          <w:rFonts w:ascii="Arial" w:hAnsi="Arial" w:cs="Arial"/>
          <w:b/>
          <w:bCs/>
          <w:sz w:val="20"/>
          <w:szCs w:val="20"/>
        </w:rPr>
      </w:pPr>
      <w:r>
        <w:rPr>
          <w:rFonts w:cs="Arial" w:ascii="Arial" w:hAnsi="Arial"/>
          <w:b/>
          <w:bCs/>
          <w:sz w:val="20"/>
          <w:szCs w:val="20"/>
        </w:rPr>
        <w:t>b)  Índice de Liquidez Corrente (LC) = AC / PC</w:t>
      </w:r>
    </w:p>
    <w:p>
      <w:pPr>
        <w:pStyle w:val="ListParagraph"/>
        <w:spacing w:lineRule="auto" w:line="240" w:before="0" w:after="0"/>
        <w:ind w:hanging="0" w:left="709"/>
        <w:jc w:val="both"/>
        <w:rPr>
          <w:rFonts w:ascii="Arial" w:hAnsi="Arial" w:cs="Arial"/>
          <w:b/>
          <w:bCs/>
          <w:sz w:val="20"/>
          <w:szCs w:val="20"/>
        </w:rPr>
      </w:pPr>
      <w:r>
        <w:rPr>
          <w:rFonts w:cs="Arial" w:ascii="Arial" w:hAnsi="Arial"/>
          <w:b/>
          <w:bCs/>
          <w:sz w:val="20"/>
          <w:szCs w:val="20"/>
        </w:rPr>
        <w:t>Onde:</w:t>
      </w:r>
    </w:p>
    <w:p>
      <w:pPr>
        <w:pStyle w:val="ListParagraph"/>
        <w:spacing w:lineRule="auto" w:line="240" w:before="0" w:after="0"/>
        <w:ind w:hanging="0" w:left="851"/>
        <w:jc w:val="both"/>
        <w:rPr>
          <w:rFonts w:ascii="Arial" w:hAnsi="Arial" w:cs="Arial"/>
          <w:b/>
          <w:bCs/>
          <w:sz w:val="20"/>
          <w:szCs w:val="20"/>
        </w:rPr>
      </w:pPr>
      <w:r>
        <w:rPr>
          <w:rFonts w:cs="Arial" w:ascii="Arial" w:hAnsi="Arial"/>
          <w:b/>
          <w:bCs/>
          <w:sz w:val="20"/>
          <w:szCs w:val="20"/>
        </w:rPr>
        <w:t>AC = Ativo Circulante</w:t>
      </w:r>
    </w:p>
    <w:p>
      <w:pPr>
        <w:pStyle w:val="ListParagraph"/>
        <w:spacing w:lineRule="auto" w:line="240" w:before="0" w:after="0"/>
        <w:ind w:hanging="0" w:left="851"/>
        <w:jc w:val="both"/>
        <w:rPr>
          <w:rFonts w:ascii="Arial" w:hAnsi="Arial" w:cs="Arial"/>
          <w:b/>
          <w:bCs/>
          <w:sz w:val="20"/>
          <w:szCs w:val="20"/>
        </w:rPr>
      </w:pPr>
      <w:r>
        <w:rPr>
          <w:rFonts w:cs="Arial" w:ascii="Arial" w:hAnsi="Arial"/>
          <w:b/>
          <w:bCs/>
          <w:sz w:val="20"/>
          <w:szCs w:val="20"/>
        </w:rPr>
        <w:t xml:space="preserve">RLP = Realizável a Longo Prazo </w:t>
      </w:r>
    </w:p>
    <w:p>
      <w:pPr>
        <w:pStyle w:val="ListParagraph"/>
        <w:spacing w:lineRule="auto" w:line="240" w:before="0" w:after="0"/>
        <w:ind w:hanging="0" w:left="851"/>
        <w:jc w:val="both"/>
        <w:rPr>
          <w:rFonts w:ascii="Arial" w:hAnsi="Arial" w:cs="Arial"/>
          <w:b/>
          <w:bCs/>
          <w:sz w:val="20"/>
          <w:szCs w:val="20"/>
        </w:rPr>
      </w:pPr>
      <w:r>
        <w:rPr>
          <w:rFonts w:cs="Arial" w:ascii="Arial" w:hAnsi="Arial"/>
          <w:b/>
          <w:bCs/>
          <w:sz w:val="20"/>
          <w:szCs w:val="20"/>
        </w:rPr>
        <w:t>PC = Passivo Circulante</w:t>
      </w:r>
    </w:p>
    <w:p>
      <w:pPr>
        <w:pStyle w:val="ListParagraph"/>
        <w:spacing w:lineRule="auto" w:line="240" w:before="0" w:after="0"/>
        <w:ind w:hanging="0" w:left="851"/>
        <w:jc w:val="both"/>
        <w:rPr>
          <w:rFonts w:ascii="Arial" w:hAnsi="Arial" w:cs="Arial"/>
          <w:b/>
          <w:bCs/>
          <w:sz w:val="20"/>
          <w:szCs w:val="20"/>
        </w:rPr>
      </w:pPr>
      <w:r>
        <w:rPr>
          <w:rFonts w:cs="Arial" w:ascii="Arial" w:hAnsi="Arial"/>
          <w:b/>
          <w:bCs/>
          <w:sz w:val="20"/>
          <w:szCs w:val="20"/>
        </w:rPr>
        <w:t>PNC = Passivo Não Circulante</w:t>
      </w:r>
    </w:p>
    <w:p>
      <w:pPr>
        <w:pStyle w:val="ListParagraph"/>
        <w:spacing w:lineRule="auto" w:line="240" w:before="0" w:after="0"/>
        <w:ind w:hanging="0" w:left="851"/>
        <w:jc w:val="both"/>
        <w:rPr>
          <w:rFonts w:ascii="Arial" w:hAnsi="Arial" w:cs="Arial"/>
          <w:b/>
          <w:bCs/>
          <w:sz w:val="20"/>
          <w:szCs w:val="20"/>
        </w:rPr>
      </w:pPr>
      <w:r>
        <w:rPr>
          <w:rFonts w:cs="Arial" w:ascii="Arial" w:hAnsi="Arial"/>
          <w:b/>
          <w:bCs/>
          <w:sz w:val="20"/>
          <w:szCs w:val="20"/>
        </w:rPr>
        <w:t xml:space="preserve">AT = Ativo Total </w:t>
      </w:r>
    </w:p>
    <w:p>
      <w:pPr>
        <w:pStyle w:val="ListParagraph"/>
        <w:spacing w:lineRule="auto" w:line="240" w:before="0" w:after="0"/>
        <w:ind w:hanging="0" w:left="709"/>
        <w:jc w:val="both"/>
        <w:rPr>
          <w:rFonts w:ascii="Arial" w:hAnsi="Arial" w:cs="Arial"/>
          <w:b/>
          <w:bCs/>
          <w:sz w:val="20"/>
          <w:szCs w:val="20"/>
        </w:rPr>
      </w:pPr>
      <w:r>
        <w:rPr>
          <w:rFonts w:cs="Arial" w:ascii="Arial" w:hAnsi="Arial"/>
          <w:b/>
          <w:bCs/>
          <w:sz w:val="20"/>
          <w:szCs w:val="20"/>
        </w:rPr>
        <w:t>Os valores mínimos exigidos para os índices indicados serão:</w:t>
      </w:r>
    </w:p>
    <w:p>
      <w:pPr>
        <w:pStyle w:val="ListParagraph"/>
        <w:spacing w:lineRule="auto" w:line="240" w:before="0" w:after="0"/>
        <w:ind w:hanging="0" w:left="851"/>
        <w:jc w:val="both"/>
        <w:rPr>
          <w:rFonts w:ascii="Arial" w:hAnsi="Arial" w:cs="Arial"/>
          <w:b/>
          <w:bCs/>
          <w:sz w:val="20"/>
          <w:szCs w:val="20"/>
        </w:rPr>
      </w:pPr>
      <w:r>
        <w:rPr>
          <w:rFonts w:cs="Arial" w:ascii="Arial" w:hAnsi="Arial"/>
          <w:b/>
          <w:bCs/>
          <w:sz w:val="20"/>
          <w:szCs w:val="20"/>
        </w:rPr>
        <w:t xml:space="preserve"> </w:t>
      </w:r>
      <w:r>
        <w:rPr>
          <w:rFonts w:cs="Arial" w:ascii="Arial" w:hAnsi="Arial"/>
          <w:b/>
          <w:bCs/>
          <w:sz w:val="20"/>
          <w:szCs w:val="20"/>
        </w:rPr>
        <w:t>LG &gt; 1,0; LC &gt; 1,0</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8"/>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8"/>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8"/>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8"/>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8"/>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8"/>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8"/>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8"/>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8"/>
        </w:numPr>
        <w:tabs>
          <w:tab w:val="clear" w:pos="709"/>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8"/>
        </w:numPr>
        <w:tabs>
          <w:tab w:val="clear" w:pos="709"/>
          <w:tab w:val="left" w:pos="284" w:leader="none"/>
          <w:tab w:val="left" w:pos="426" w:leader="none"/>
          <w:tab w:val="left" w:pos="567" w:leader="none"/>
        </w:tabs>
        <w:jc w:val="both"/>
        <w:rPr>
          <w:rFonts w:ascii="Arial" w:hAnsi="Arial" w:cs="Arial"/>
        </w:rPr>
      </w:pPr>
      <w:r>
        <w:rPr>
          <w:rFonts w:cs="Arial" w:ascii="Arial" w:hAnsi="Arial"/>
          <w:b/>
          <w:bCs/>
        </w:rPr>
        <w:t>QUALIFICAÇÃO TÉCNICA</w:t>
      </w:r>
    </w:p>
    <w:p>
      <w:pPr>
        <w:pStyle w:val="Normal"/>
        <w:numPr>
          <w:ilvl w:val="1"/>
          <w:numId w:val="8"/>
        </w:numPr>
        <w:tabs>
          <w:tab w:val="clear" w:pos="709"/>
          <w:tab w:val="left" w:pos="284" w:leader="none"/>
          <w:tab w:val="left" w:pos="426" w:leader="none"/>
          <w:tab w:val="left" w:pos="567" w:leader="none"/>
        </w:tabs>
        <w:jc w:val="both"/>
        <w:rPr/>
      </w:pPr>
      <w:r>
        <w:rPr>
          <w:rFonts w:cs="Arial" w:ascii="Arial" w:hAnsi="Arial"/>
          <w:color w:val="000000"/>
        </w:rPr>
        <w:t>Licença de Instalação, emitida pela Companhia Ambiental do Estado de São Paulo – CETESB, ou outro órgão de licenciamento ambiental – para as atividades do objeto do contrato.</w:t>
      </w:r>
    </w:p>
    <w:p>
      <w:pPr>
        <w:pStyle w:val="Normal"/>
        <w:numPr>
          <w:ilvl w:val="1"/>
          <w:numId w:val="8"/>
        </w:numPr>
        <w:tabs>
          <w:tab w:val="clear" w:pos="709"/>
          <w:tab w:val="left" w:pos="284" w:leader="none"/>
          <w:tab w:val="left" w:pos="426" w:leader="none"/>
          <w:tab w:val="left" w:pos="567" w:leader="none"/>
        </w:tabs>
        <w:jc w:val="both"/>
        <w:rPr/>
      </w:pPr>
      <w:r>
        <w:rPr>
          <w:rFonts w:cs="Arial" w:ascii="Arial" w:hAnsi="Arial"/>
          <w:color w:val="000000"/>
        </w:rPr>
        <w:t>Licença de operação com validade em vigor, emitida pela Companhia Ambiental do Estado de São Paulo – Cetesb, ou outro órgão de licenciamento ambiental – para as atividades do objeto do contrato;</w:t>
      </w:r>
    </w:p>
    <w:p>
      <w:pPr>
        <w:pStyle w:val="Normal"/>
        <w:numPr>
          <w:ilvl w:val="1"/>
          <w:numId w:val="8"/>
        </w:numPr>
        <w:tabs>
          <w:tab w:val="clear" w:pos="709"/>
          <w:tab w:val="left" w:pos="284" w:leader="none"/>
          <w:tab w:val="left" w:pos="426" w:leader="none"/>
          <w:tab w:val="left" w:pos="567" w:leader="none"/>
        </w:tabs>
        <w:jc w:val="both"/>
        <w:rPr/>
      </w:pPr>
      <w:r>
        <w:rPr>
          <w:rFonts w:cs="Arial" w:ascii="Arial" w:hAnsi="Arial"/>
          <w:color w:val="000000"/>
        </w:rPr>
        <w:t>Alvará municipal de funcionamento;</w:t>
      </w:r>
    </w:p>
    <w:p>
      <w:pPr>
        <w:pStyle w:val="Normal"/>
        <w:numPr>
          <w:ilvl w:val="1"/>
          <w:numId w:val="8"/>
        </w:numPr>
        <w:tabs>
          <w:tab w:val="clear" w:pos="709"/>
          <w:tab w:val="left" w:pos="284" w:leader="none"/>
          <w:tab w:val="left" w:pos="426" w:leader="none"/>
          <w:tab w:val="left" w:pos="567" w:leader="none"/>
        </w:tabs>
        <w:jc w:val="both"/>
        <w:rPr/>
      </w:pPr>
      <w:r>
        <w:rPr>
          <w:rFonts w:cs="Arial" w:ascii="Arial" w:hAnsi="Arial"/>
          <w:color w:val="000000"/>
        </w:rPr>
        <w:t xml:space="preserve">Carta de anuência declarando a capacidade para recebimento e disposição final ambientalmente adequada de 24.000,00 (vinte e quatro mil) toneladas em 180 dias, de resíduos Classe II gerados no MUNICÍPIO DE PIRACICABA </w:t>
      </w:r>
    </w:p>
    <w:p>
      <w:pPr>
        <w:pStyle w:val="Normal"/>
        <w:numPr>
          <w:ilvl w:val="1"/>
          <w:numId w:val="8"/>
        </w:numPr>
        <w:tabs>
          <w:tab w:val="clear" w:pos="709"/>
          <w:tab w:val="left" w:pos="284" w:leader="none"/>
          <w:tab w:val="left" w:pos="426" w:leader="none"/>
          <w:tab w:val="left" w:pos="567" w:leader="none"/>
        </w:tabs>
        <w:jc w:val="both"/>
        <w:rPr/>
      </w:pPr>
      <w:r>
        <w:rPr>
          <w:rFonts w:cs="Arial" w:ascii="Arial" w:hAnsi="Arial"/>
          <w:color w:val="000000"/>
        </w:rPr>
        <w:t xml:space="preserve">Carta de anuência para disposição final do rejeito em quantidade de 10.000,00 mil (dez mil) toneladas para um prazo de 180 dias </w:t>
      </w:r>
    </w:p>
    <w:p>
      <w:pPr>
        <w:pStyle w:val="Normal"/>
        <w:numPr>
          <w:ilvl w:val="1"/>
          <w:numId w:val="8"/>
        </w:numPr>
        <w:tabs>
          <w:tab w:val="clear" w:pos="709"/>
          <w:tab w:val="left" w:pos="284" w:leader="none"/>
          <w:tab w:val="left" w:pos="426" w:leader="none"/>
          <w:tab w:val="left" w:pos="567" w:leader="none"/>
        </w:tabs>
        <w:jc w:val="both"/>
        <w:rPr>
          <w:b/>
          <w:bCs/>
        </w:rPr>
      </w:pPr>
      <w:r>
        <w:rPr>
          <w:rFonts w:cs="Arial" w:ascii="Arial" w:hAnsi="Arial"/>
          <w:b/>
          <w:bCs/>
          <w:color w:val="000000"/>
        </w:rPr>
        <w:t>Planilha com composição do preço apresentado.</w:t>
      </w:r>
    </w:p>
    <w:p>
      <w:pPr>
        <w:pStyle w:val="Normal"/>
        <w:jc w:val="both"/>
        <w:rPr>
          <w:rFonts w:ascii="Arial" w:hAnsi="Arial" w:cs="Arial"/>
        </w:rPr>
      </w:pPr>
      <w:r>
        <w:rPr>
          <w:rFonts w:cs="Arial" w:ascii="Arial" w:hAnsi="Arial"/>
        </w:rPr>
      </w:r>
    </w:p>
    <w:p>
      <w:pPr>
        <w:pStyle w:val="Normal"/>
        <w:ind w:firstLine="567"/>
        <w:jc w:val="both"/>
        <w:rPr>
          <w:rFonts w:ascii="Arial" w:hAnsi="Arial" w:cs="Arial"/>
        </w:rPr>
      </w:pPr>
      <w:r>
        <w:rPr>
          <w:rFonts w:cs="Arial" w:ascii="Arial" w:hAnsi="Arial"/>
        </w:rPr>
        <w:t>Piracicaba, 19 de dezembro de 2024.</w:t>
      </w:r>
    </w:p>
    <w:p>
      <w:pPr>
        <w:pStyle w:val="Normal"/>
        <w:rPr>
          <w:rFonts w:ascii="Arial" w:hAnsi="Arial" w:cs="Arial"/>
        </w:rPr>
      </w:pPr>
      <w:r>
        <w:rPr>
          <w:rFonts w:cs="Arial" w:ascii="Arial" w:hAnsi="Arial"/>
        </w:rPr>
      </w:r>
    </w:p>
    <w:p>
      <w:pPr>
        <w:pStyle w:val="Normal"/>
        <w:jc w:val="center"/>
        <w:rPr>
          <w:rFonts w:ascii="Arial" w:hAnsi="Arial" w:cs="Arial"/>
          <w:b/>
        </w:rPr>
      </w:pPr>
      <w:r>
        <w:rPr>
          <w:rFonts w:cs="Arial" w:ascii="Arial" w:hAnsi="Arial"/>
          <w:b/>
        </w:rPr>
        <w:t>Thiago Luiz Araujo Santos</w:t>
      </w:r>
    </w:p>
    <w:p>
      <w:pPr>
        <w:pStyle w:val="Normal"/>
        <w:jc w:val="center"/>
        <w:rPr>
          <w:rFonts w:ascii="Arial" w:hAnsi="Arial" w:eastAsia="Times New Roman" w:cs="Arial"/>
          <w:color w:val="auto"/>
          <w:kern w:val="2"/>
          <w:sz w:val="20"/>
          <w:szCs w:val="20"/>
          <w:lang w:val="pt-BR" w:eastAsia="zh-CN" w:bidi="ar-SA"/>
        </w:rPr>
      </w:pPr>
      <w:r>
        <w:rPr>
          <w:rFonts w:eastAsia="Times New Roman" w:cs="Arial" w:ascii="Arial" w:hAnsi="Arial"/>
          <w:color w:val="auto"/>
          <w:kern w:val="2"/>
          <w:sz w:val="20"/>
          <w:szCs w:val="20"/>
          <w:lang w:val="pt-BR" w:eastAsia="zh-CN" w:bidi="ar-SA"/>
        </w:rPr>
        <w:t>Chef</w:t>
      </w:r>
      <w:bookmarkStart w:id="0" w:name="_GoBack_Copia_1"/>
      <w:bookmarkEnd w:id="0"/>
      <w:r>
        <w:rPr>
          <w:rFonts w:eastAsia="Times New Roman" w:cs="Arial" w:ascii="Arial" w:hAnsi="Arial"/>
          <w:color w:val="auto"/>
          <w:kern w:val="2"/>
          <w:sz w:val="20"/>
          <w:szCs w:val="20"/>
          <w:lang w:val="pt-BR" w:eastAsia="zh-CN" w:bidi="ar-SA"/>
        </w:rPr>
        <w:t>e do Setor de Dispensa de Licitações</w:t>
      </w:r>
      <w:r>
        <w:br w:type="page"/>
      </w:r>
    </w:p>
    <w:p>
      <w:pPr>
        <w:pStyle w:val="Normal"/>
        <w:spacing w:lineRule="auto" w:line="360" w:before="0" w:after="0"/>
        <w:jc w:val="center"/>
        <w:rPr>
          <w:rFonts w:ascii="Univia Pro Book" w:hAnsi="Univia Pro Book"/>
          <w:b/>
          <w:bCs/>
        </w:rPr>
      </w:pPr>
      <w:r>
        <w:rPr>
          <w:rFonts w:ascii="Univia Pro Book" w:hAnsi="Univia Pro Book"/>
          <w:b/>
          <w:bCs/>
        </w:rPr>
        <w:t>ANEXO I</w:t>
      </w:r>
    </w:p>
    <w:p>
      <w:pPr>
        <w:pStyle w:val="Normal"/>
        <w:spacing w:lineRule="auto" w:line="360"/>
        <w:jc w:val="center"/>
        <w:rPr>
          <w:rFonts w:ascii="Univia Pro Book" w:hAnsi="Univia Pro Book"/>
          <w:b/>
          <w:bCs/>
        </w:rPr>
      </w:pPr>
      <w:r>
        <w:rPr>
          <w:rFonts w:ascii="Univia Pro Book" w:hAnsi="Univia Pro Book"/>
          <w:b/>
          <w:bCs/>
        </w:rPr>
        <w:t xml:space="preserve">MEMORIAL DESCRITIVO </w:t>
      </w:r>
    </w:p>
    <w:p>
      <w:pPr>
        <w:pStyle w:val="ListParagraph"/>
        <w:spacing w:lineRule="auto" w:line="360"/>
        <w:ind w:hanging="0" w:left="0"/>
        <w:jc w:val="both"/>
        <w:rPr>
          <w:rFonts w:ascii="Univia Pro Book" w:hAnsi="Univia Pro Book"/>
          <w:sz w:val="20"/>
          <w:szCs w:val="20"/>
        </w:rPr>
      </w:pPr>
      <w:r>
        <w:rPr>
          <w:rFonts w:ascii="Univia Pro Book" w:hAnsi="Univia Pro Book"/>
          <w:sz w:val="20"/>
          <w:szCs w:val="20"/>
        </w:rPr>
      </w:r>
    </w:p>
    <w:p>
      <w:pPr>
        <w:pStyle w:val="ListParagraph"/>
        <w:spacing w:lineRule="auto" w:line="360"/>
        <w:ind w:hanging="0" w:left="0"/>
        <w:jc w:val="both"/>
        <w:rPr>
          <w:rFonts w:ascii="Univia Pro Book" w:hAnsi="Univia Pro Book"/>
          <w:b/>
          <w:bCs/>
          <w:sz w:val="20"/>
          <w:szCs w:val="20"/>
        </w:rPr>
      </w:pPr>
      <w:r>
        <w:rPr>
          <w:rFonts w:ascii="Univia Pro Book" w:hAnsi="Univia Pro Book"/>
          <w:b/>
          <w:bCs/>
          <w:sz w:val="20"/>
          <w:szCs w:val="20"/>
        </w:rPr>
        <w:t xml:space="preserve">1. </w:t>
      </w:r>
      <w:bookmarkStart w:id="1" w:name="_Hlk131598425"/>
      <w:r>
        <w:rPr>
          <w:rFonts w:ascii="Univia Pro Book" w:hAnsi="Univia Pro Book"/>
          <w:b/>
          <w:bCs/>
          <w:sz w:val="20"/>
          <w:szCs w:val="20"/>
        </w:rPr>
        <w:t xml:space="preserve">DESCRIÇÃO DOS SERVIÇOS </w:t>
      </w:r>
      <w:bookmarkEnd w:id="1"/>
    </w:p>
    <w:p>
      <w:pPr>
        <w:pStyle w:val="ListParagraph"/>
        <w:spacing w:lineRule="auto" w:line="360"/>
        <w:ind w:hanging="0" w:left="0"/>
        <w:jc w:val="both"/>
        <w:rPr>
          <w:rFonts w:ascii="Univia Pro Book" w:hAnsi="Univia Pro Book"/>
          <w:sz w:val="20"/>
          <w:szCs w:val="20"/>
        </w:rPr>
      </w:pPr>
      <w:r>
        <w:rPr>
          <w:rFonts w:ascii="Univia Pro Book" w:hAnsi="Univia Pro Book"/>
          <w:b/>
          <w:bCs/>
          <w:sz w:val="20"/>
          <w:szCs w:val="20"/>
        </w:rPr>
        <w:t>1.1</w:t>
      </w:r>
      <w:r>
        <w:rPr>
          <w:rFonts w:ascii="Univia Pro Book" w:hAnsi="Univia Pro Book"/>
          <w:sz w:val="20"/>
          <w:szCs w:val="20"/>
        </w:rPr>
        <w:t xml:space="preserve"> Os serviços referem-se a Contratação Emergencial de Empresa especializada para prestação de serviços de (i) Coleta; (ii) transporte e (iii) disposição final ambientalmente adequada, de resíduos volumosos, entulhos, massa verde, outros materiais inservíveis e rejeitos, provenientes dos 07 ecopontos e do “Setor de Resíduos” do Município de Piracicaba.</w:t>
      </w:r>
    </w:p>
    <w:p>
      <w:pPr>
        <w:pStyle w:val="ListParagraph"/>
        <w:numPr>
          <w:ilvl w:val="2"/>
          <w:numId w:val="10"/>
        </w:numPr>
        <w:spacing w:lineRule="auto" w:line="360" w:before="0" w:after="0"/>
        <w:ind w:hanging="720" w:left="1134"/>
        <w:contextualSpacing/>
        <w:jc w:val="both"/>
        <w:rPr>
          <w:rFonts w:ascii="Univia Pro Book" w:hAnsi="Univia Pro Book"/>
          <w:sz w:val="20"/>
          <w:szCs w:val="20"/>
        </w:rPr>
      </w:pPr>
      <w:r>
        <w:rPr>
          <w:rFonts w:ascii="Univia Pro Book" w:hAnsi="Univia Pro Book"/>
          <w:sz w:val="20"/>
          <w:szCs w:val="20"/>
        </w:rPr>
        <w:t xml:space="preserve">Define-se “COLETA E TRANSPORTE” de materiais, o recolhimento de materiais, nos 07 ECOPONTOS E “SETOR DE RESIDUOS” sob a responsabilidade da Prefeitura Municipal de PIRACICABA, através de carga manual/mecânica a ser realizada pela CONTRATANTE, para o devido transporte. </w:t>
      </w:r>
    </w:p>
    <w:p>
      <w:pPr>
        <w:pStyle w:val="ListParagraph"/>
        <w:numPr>
          <w:ilvl w:val="2"/>
          <w:numId w:val="10"/>
        </w:numPr>
        <w:spacing w:lineRule="auto" w:line="360" w:before="0" w:after="0"/>
        <w:ind w:hanging="720" w:left="1134"/>
        <w:contextualSpacing/>
        <w:jc w:val="both"/>
        <w:rPr>
          <w:rFonts w:ascii="Univia Pro Book" w:hAnsi="Univia Pro Book"/>
          <w:sz w:val="20"/>
          <w:szCs w:val="20"/>
        </w:rPr>
      </w:pPr>
      <w:r>
        <w:rPr>
          <w:rFonts w:ascii="Univia Pro Book" w:hAnsi="Univia Pro Book"/>
          <w:sz w:val="20"/>
          <w:szCs w:val="20"/>
        </w:rPr>
        <w:t xml:space="preserve">Define-se como DISPOSIÇÃO FINAL ambientalmente adequada, distribuição ordenada de rejeitos em aterros, observando normas operacionais específicas de modo a evitar danos ou riscos à saúde pública e à segurança e a minimizar os impactos ambientais adversos, conforme lei 12.305/2010. É o depósito controlado de rejeitos em locais específicos, para materiais que não podem ser reciclados, reutilizados ou tratados de outra forma. </w:t>
      </w:r>
    </w:p>
    <w:p>
      <w:pPr>
        <w:pStyle w:val="ListParagraph"/>
        <w:spacing w:lineRule="auto" w:line="360"/>
        <w:ind w:hanging="0" w:left="0"/>
        <w:jc w:val="both"/>
        <w:rPr>
          <w:highlight w:val="yellow"/>
        </w:rPr>
      </w:pPr>
      <w:r>
        <w:rPr>
          <w:highlight w:val="yellow"/>
        </w:rPr>
      </w:r>
    </w:p>
    <w:p>
      <w:pPr>
        <w:pStyle w:val="ListParagraph"/>
        <w:spacing w:lineRule="auto" w:line="360"/>
        <w:ind w:hanging="0" w:left="0"/>
        <w:jc w:val="both"/>
        <w:rPr>
          <w:rFonts w:ascii="Univia Pro Book" w:hAnsi="Univia Pro Book"/>
          <w:sz w:val="20"/>
          <w:szCs w:val="20"/>
        </w:rPr>
      </w:pPr>
      <w:r>
        <w:rPr>
          <w:rFonts w:ascii="Univia Pro Book" w:hAnsi="Univia Pro Book"/>
          <w:b/>
          <w:bCs/>
          <w:sz w:val="20"/>
          <w:szCs w:val="20"/>
        </w:rPr>
        <w:t>1.2</w:t>
      </w:r>
      <w:r>
        <w:rPr>
          <w:rFonts w:ascii="Univia Pro Book" w:hAnsi="Univia Pro Book"/>
          <w:sz w:val="20"/>
          <w:szCs w:val="20"/>
        </w:rPr>
        <w:t xml:space="preserve"> Compete à Prefeitura Municipal a implementação da política de limpeza urbana e gerenciamento de resíduos sólidos urbanos, garantindo à população do município o acesso a esses serviços de saneamento básico em condições ambientalmente adequadas. Os serviços de limpeza urbana e gerenciamento de resíduos sólidos urbanos atualmente têm sua execução terceirizada, assim é necessária a realização de novo certame licitatório, uma vez que, face a natureza continuada dos serviços, sua interrupção poderia acarretar sérios transtornos ao município.</w:t>
      </w:r>
    </w:p>
    <w:p>
      <w:pPr>
        <w:pStyle w:val="ListParagraph"/>
        <w:spacing w:lineRule="auto" w:line="360"/>
        <w:ind w:hanging="0" w:left="0"/>
        <w:jc w:val="both"/>
        <w:rPr>
          <w:rFonts w:ascii="Univia Pro Book" w:hAnsi="Univia Pro Book"/>
          <w:sz w:val="20"/>
          <w:szCs w:val="20"/>
        </w:rPr>
      </w:pPr>
      <w:r>
        <w:rPr>
          <w:rFonts w:ascii="Univia Pro Book" w:hAnsi="Univia Pro Book"/>
          <w:b/>
          <w:bCs/>
          <w:sz w:val="20"/>
          <w:szCs w:val="20"/>
        </w:rPr>
        <w:t>1.3</w:t>
      </w:r>
      <w:r>
        <w:rPr>
          <w:rFonts w:ascii="Univia Pro Book" w:hAnsi="Univia Pro Book"/>
          <w:sz w:val="20"/>
          <w:szCs w:val="20"/>
        </w:rPr>
        <w:t xml:space="preserve"> Os serviços contratados apresentam relevância para a promoção do desenvolvimento sustentável, minimizando os efeitos ambientais negativos decorrentes da geração de resíduos e maximizando os benefícios ambientais, sociais e econômicos para o município, em consonância com a Lei Municipal nº 2.794/16 bem como para as diretrizes estabelecidas pela Lei Federal nº 12.305/2010, que institui a Política Nacional dos Resíduos Sólidos.</w:t>
      </w:r>
    </w:p>
    <w:p>
      <w:pPr>
        <w:pStyle w:val="Normal"/>
        <w:spacing w:lineRule="auto" w:line="360"/>
        <w:jc w:val="both"/>
        <w:rPr>
          <w:rFonts w:ascii="Univia Pro Book" w:hAnsi="Univia Pro Book"/>
        </w:rPr>
      </w:pPr>
      <w:r>
        <w:rPr>
          <w:rFonts w:ascii="Univia Pro Book" w:hAnsi="Univia Pro Book"/>
        </w:rPr>
        <w:t xml:space="preserve"> </w:t>
      </w:r>
      <w:r>
        <w:rPr>
          <w:rFonts w:ascii="Univia Pro Book" w:hAnsi="Univia Pro Book"/>
          <w:b/>
          <w:bCs/>
        </w:rPr>
        <w:t>1.4</w:t>
      </w:r>
      <w:r>
        <w:rPr>
          <w:rFonts w:ascii="Univia Pro Book" w:hAnsi="Univia Pro Book"/>
        </w:rPr>
        <w:t xml:space="preserve"> Os carregamentos serão efetuados por conta da Prefeitura no qual os operadores portarão um smartfone onde serão inseridos as informações, nome do operador, local de carregamento georreferenciado pelo app, tipo do material, fotos do material a ser carregado, foto do caminhão carregado e foto da placa do caminhão carregado, O motorista de posse do Manifesto de Transporte de Resíduos seguirá até o local de descarga onde a empresa registrará a entrada, emitirá o ticket de comprovação da balança, com  peso, tara e peso liquido, onde as informações deverão ser idênticas ao registrado no MTR, a empresa terá acesso ao aplicativo para registrar o peso, anexar o comprovante da balança em PDF e relatar no campo de observação se houve alguma divergência na informação do tipo de material. </w:t>
      </w:r>
    </w:p>
    <w:p>
      <w:pPr>
        <w:pStyle w:val="ListParagraph"/>
        <w:spacing w:lineRule="auto" w:line="360"/>
        <w:ind w:hanging="0" w:left="0"/>
        <w:jc w:val="both"/>
        <w:rPr>
          <w:rFonts w:ascii="Univia Pro Book" w:hAnsi="Univia Pro Book"/>
          <w:b/>
          <w:bCs/>
          <w:sz w:val="20"/>
          <w:szCs w:val="20"/>
        </w:rPr>
      </w:pPr>
      <w:r>
        <w:rPr>
          <w:rFonts w:ascii="Univia Pro Book" w:hAnsi="Univia Pro Book"/>
          <w:b/>
          <w:bCs/>
          <w:sz w:val="20"/>
          <w:szCs w:val="20"/>
        </w:rPr>
      </w:r>
    </w:p>
    <w:p>
      <w:pPr>
        <w:pStyle w:val="ListParagraph"/>
        <w:spacing w:lineRule="auto" w:line="360"/>
        <w:ind w:hanging="0" w:left="0"/>
        <w:jc w:val="both"/>
        <w:rPr>
          <w:rFonts w:ascii="Univia Pro Book" w:hAnsi="Univia Pro Book"/>
          <w:sz w:val="20"/>
          <w:szCs w:val="20"/>
        </w:rPr>
      </w:pPr>
      <w:r>
        <w:rPr>
          <w:rFonts w:ascii="Univia Pro Book" w:hAnsi="Univia Pro Book"/>
          <w:b/>
          <w:bCs/>
          <w:sz w:val="20"/>
          <w:szCs w:val="20"/>
        </w:rPr>
        <w:t xml:space="preserve">1.5 </w:t>
      </w:r>
      <w:r>
        <w:rPr>
          <w:rFonts w:ascii="Univia Pro Book" w:hAnsi="Univia Pro Book"/>
          <w:sz w:val="20"/>
          <w:szCs w:val="20"/>
        </w:rPr>
        <w:t>A coleta será realizada no Setor de Resíduos e nos 07 (sete) ecopontos localizados neste Município;</w:t>
      </w:r>
    </w:p>
    <w:p>
      <w:pPr>
        <w:pStyle w:val="Normal"/>
        <w:tabs>
          <w:tab w:val="clear" w:pos="709"/>
          <w:tab w:val="left" w:pos="567" w:leader="none"/>
        </w:tabs>
        <w:spacing w:lineRule="auto" w:line="360"/>
        <w:ind w:firstLine="142"/>
        <w:jc w:val="both"/>
        <w:rPr>
          <w:rFonts w:ascii="Univia Pro Book" w:hAnsi="Univia Pro Book"/>
          <w:b/>
          <w:bCs/>
        </w:rPr>
      </w:pPr>
      <w:r>
        <w:rPr>
          <w:rFonts w:ascii="Univia Pro Book" w:hAnsi="Univia Pro Book"/>
        </w:rPr>
        <w:tab/>
      </w:r>
      <w:r>
        <w:rPr>
          <w:rFonts w:ascii="Univia Pro Book" w:hAnsi="Univia Pro Book"/>
          <w:b/>
          <w:bCs/>
        </w:rPr>
        <w:t>1.5.1 O “Setor de Resíduos” é um ponto de transbordo dos materiais recolhidos de descarte irregular em vários pontos da cidade com grande quantidade de rejeitos.</w:t>
      </w:r>
    </w:p>
    <w:p>
      <w:pPr>
        <w:pStyle w:val="ListParagraph"/>
        <w:spacing w:lineRule="auto" w:line="360"/>
        <w:ind w:firstLine="567" w:left="0"/>
        <w:jc w:val="both"/>
        <w:rPr>
          <w:rFonts w:ascii="Univia Pro Book" w:hAnsi="Univia Pro Book"/>
          <w:sz w:val="20"/>
          <w:szCs w:val="20"/>
        </w:rPr>
      </w:pPr>
      <w:r>
        <w:rPr>
          <w:rFonts w:ascii="Univia Pro Book" w:hAnsi="Univia Pro Book"/>
          <w:sz w:val="20"/>
          <w:szCs w:val="20"/>
        </w:rPr>
        <w:t xml:space="preserve">O “Setor de Resíduos” está localizado na Estrada Engenheiro Alberto Morato Krahenbuhl, os ecopontos estão localizados nos seguintes locais: </w:t>
      </w:r>
    </w:p>
    <w:p>
      <w:pPr>
        <w:pStyle w:val="Normal"/>
        <w:spacing w:lineRule="auto" w:line="360"/>
        <w:ind w:firstLine="567"/>
        <w:jc w:val="both"/>
        <w:rPr>
          <w:rFonts w:ascii="Univia Pro Book" w:hAnsi="Univia Pro Book"/>
        </w:rPr>
      </w:pPr>
      <w:r>
        <w:rPr>
          <w:rFonts w:ascii="Univia Pro Book" w:hAnsi="Univia Pro Book"/>
          <w:b/>
          <w:bCs/>
        </w:rPr>
        <w:t>1.      ÁRTEMIS -</w:t>
      </w:r>
      <w:r>
        <w:rPr>
          <w:rFonts w:cs="Calibri" w:ascii="Calibri" w:hAnsi="Calibri"/>
          <w:b/>
          <w:bCs/>
        </w:rPr>
        <w:t> </w:t>
      </w:r>
      <w:r>
        <w:rPr>
          <w:rFonts w:ascii="Univia Pro Book" w:hAnsi="Univia Pro Book"/>
        </w:rPr>
        <w:t>Rua Fioravante Cenedese</w:t>
      </w:r>
    </w:p>
    <w:p>
      <w:pPr>
        <w:pStyle w:val="Normal"/>
        <w:spacing w:lineRule="auto" w:line="360"/>
        <w:ind w:firstLine="567"/>
        <w:jc w:val="both"/>
        <w:rPr>
          <w:rFonts w:ascii="Univia Pro Book" w:hAnsi="Univia Pro Book"/>
          <w:b/>
          <w:bCs/>
        </w:rPr>
      </w:pPr>
      <w:r>
        <w:rPr>
          <w:rFonts w:ascii="Univia Pro Book" w:hAnsi="Univia Pro Book"/>
          <w:b/>
          <w:bCs/>
        </w:rPr>
        <w:t>2.     BOSQUES DO LENHEIRO</w:t>
      </w:r>
      <w:r>
        <w:rPr>
          <w:rFonts w:cs="Calibri" w:ascii="Calibri" w:hAnsi="Calibri"/>
          <w:b/>
          <w:bCs/>
        </w:rPr>
        <w:t>  </w:t>
      </w:r>
      <w:r>
        <w:rPr>
          <w:rFonts w:ascii="Univia Pro Book" w:hAnsi="Univia Pro Book"/>
          <w:b/>
          <w:bCs/>
        </w:rPr>
        <w:t xml:space="preserve"> </w:t>
      </w:r>
      <w:r>
        <w:rPr>
          <w:rFonts w:cs="Calibri" w:ascii="Calibri" w:hAnsi="Calibri"/>
          <w:b/>
          <w:bCs/>
        </w:rPr>
        <w:t> </w:t>
      </w:r>
      <w:r>
        <w:rPr>
          <w:rFonts w:ascii="Univia Pro Book" w:hAnsi="Univia Pro Book"/>
          <w:b/>
          <w:bCs/>
        </w:rPr>
        <w:t xml:space="preserve">- </w:t>
      </w:r>
      <w:r>
        <w:rPr>
          <w:rFonts w:cs="Calibri" w:ascii="Calibri" w:hAnsi="Calibri"/>
          <w:b/>
          <w:bCs/>
        </w:rPr>
        <w:t> </w:t>
      </w:r>
      <w:r>
        <w:rPr>
          <w:rFonts w:ascii="Univia Pro Book" w:hAnsi="Univia Pro Book"/>
          <w:b/>
          <w:bCs/>
        </w:rPr>
        <w:t xml:space="preserve"> </w:t>
      </w:r>
      <w:r>
        <w:rPr>
          <w:rFonts w:ascii="Univia Pro Book" w:hAnsi="Univia Pro Book"/>
        </w:rPr>
        <w:t>Rua Sapucaia</w:t>
      </w:r>
      <w:r>
        <w:rPr>
          <w:rFonts w:cs="Calibri" w:ascii="Calibri" w:hAnsi="Calibri"/>
          <w:b/>
          <w:bCs/>
        </w:rPr>
        <w:t> </w:t>
      </w:r>
    </w:p>
    <w:p>
      <w:pPr>
        <w:pStyle w:val="Normal"/>
        <w:spacing w:lineRule="auto" w:line="360"/>
        <w:ind w:firstLine="567"/>
        <w:jc w:val="both"/>
        <w:rPr>
          <w:rFonts w:ascii="Univia Pro Book" w:hAnsi="Univia Pro Book"/>
          <w:b/>
          <w:bCs/>
        </w:rPr>
      </w:pPr>
      <w:r>
        <w:rPr>
          <w:rFonts w:ascii="Univia Pro Book" w:hAnsi="Univia Pro Book"/>
          <w:b/>
          <w:bCs/>
        </w:rPr>
        <w:t>3.     MÁRIO DEDINI I</w:t>
      </w:r>
      <w:r>
        <w:rPr>
          <w:rFonts w:cs="Calibri" w:ascii="Calibri" w:hAnsi="Calibri"/>
          <w:b/>
          <w:bCs/>
        </w:rPr>
        <w:t> </w:t>
      </w:r>
      <w:r>
        <w:rPr>
          <w:rFonts w:ascii="Univia Pro Book" w:hAnsi="Univia Pro Book"/>
          <w:b/>
          <w:bCs/>
        </w:rPr>
        <w:t xml:space="preserve">- </w:t>
      </w:r>
      <w:r>
        <w:rPr>
          <w:rFonts w:ascii="Univia Pro Book" w:hAnsi="Univia Pro Book"/>
        </w:rPr>
        <w:t>Rua Ant</w:t>
      </w:r>
      <w:r>
        <w:rPr>
          <w:rFonts w:cs="Univia Pro Book" w:ascii="Univia Pro Book" w:hAnsi="Univia Pro Book"/>
        </w:rPr>
        <w:t>ô</w:t>
      </w:r>
      <w:r>
        <w:rPr>
          <w:rFonts w:ascii="Univia Pro Book" w:hAnsi="Univia Pro Book"/>
        </w:rPr>
        <w:t>nio Franco de Lima</w:t>
      </w:r>
      <w:r>
        <w:rPr>
          <w:rFonts w:cs="Calibri" w:ascii="Calibri" w:hAnsi="Calibri"/>
          <w:b/>
          <w:bCs/>
        </w:rPr>
        <w:t> </w:t>
      </w:r>
    </w:p>
    <w:p>
      <w:pPr>
        <w:pStyle w:val="Normal"/>
        <w:spacing w:lineRule="auto" w:line="360"/>
        <w:ind w:firstLine="567"/>
        <w:jc w:val="both"/>
        <w:rPr>
          <w:rFonts w:ascii="Univia Pro Book" w:hAnsi="Univia Pro Book"/>
          <w:b/>
          <w:bCs/>
        </w:rPr>
      </w:pPr>
      <w:r>
        <w:rPr>
          <w:rFonts w:ascii="Univia Pro Book" w:hAnsi="Univia Pro Book"/>
          <w:b/>
          <w:bCs/>
        </w:rPr>
        <w:t>4.     MÁRIO DEDINI II</w:t>
      </w:r>
      <w:r>
        <w:rPr>
          <w:rFonts w:cs="Calibri" w:ascii="Calibri" w:hAnsi="Calibri"/>
          <w:b/>
          <w:bCs/>
        </w:rPr>
        <w:t> </w:t>
      </w:r>
      <w:r>
        <w:rPr>
          <w:rFonts w:ascii="Univia Pro Book" w:hAnsi="Univia Pro Book"/>
          <w:b/>
          <w:bCs/>
        </w:rPr>
        <w:t xml:space="preserve">- </w:t>
      </w:r>
      <w:r>
        <w:rPr>
          <w:rFonts w:ascii="Univia Pro Book" w:hAnsi="Univia Pro Book"/>
        </w:rPr>
        <w:t>Rua dos Top</w:t>
      </w:r>
      <w:r>
        <w:rPr>
          <w:rFonts w:cs="Univia Pro Book" w:ascii="Univia Pro Book" w:hAnsi="Univia Pro Book"/>
        </w:rPr>
        <w:t>á</w:t>
      </w:r>
      <w:r>
        <w:rPr>
          <w:rFonts w:ascii="Univia Pro Book" w:hAnsi="Univia Pro Book"/>
        </w:rPr>
        <w:t>zios</w:t>
      </w:r>
    </w:p>
    <w:p>
      <w:pPr>
        <w:pStyle w:val="Normal"/>
        <w:spacing w:lineRule="auto" w:line="360"/>
        <w:ind w:firstLine="567"/>
        <w:jc w:val="both"/>
        <w:rPr>
          <w:rFonts w:ascii="Univia Pro Book" w:hAnsi="Univia Pro Book"/>
          <w:b/>
          <w:bCs/>
          <w:lang w:val="it-IT"/>
        </w:rPr>
      </w:pPr>
      <w:r>
        <w:rPr>
          <w:rFonts w:ascii="Univia Pro Book" w:hAnsi="Univia Pro Book"/>
          <w:b/>
          <w:bCs/>
          <w:lang w:val="it-IT"/>
        </w:rPr>
        <w:t>5.     MONTE REY -</w:t>
      </w:r>
      <w:r>
        <w:rPr>
          <w:rFonts w:cs="Calibri" w:ascii="Calibri" w:hAnsi="Calibri"/>
          <w:b/>
          <w:bCs/>
          <w:lang w:val="it-IT"/>
        </w:rPr>
        <w:t> </w:t>
      </w:r>
      <w:r>
        <w:rPr>
          <w:rFonts w:ascii="Univia Pro Book" w:hAnsi="Univia Pro Book"/>
          <w:lang w:val="it-IT"/>
        </w:rPr>
        <w:t>Rua Giovanni Ferrazo</w:t>
      </w:r>
    </w:p>
    <w:p>
      <w:pPr>
        <w:pStyle w:val="Normal"/>
        <w:spacing w:lineRule="auto" w:line="360"/>
        <w:ind w:firstLine="567"/>
        <w:jc w:val="both"/>
        <w:rPr>
          <w:rFonts w:ascii="Univia Pro Book" w:hAnsi="Univia Pro Book"/>
          <w:b/>
          <w:bCs/>
        </w:rPr>
      </w:pPr>
      <w:r>
        <w:rPr>
          <w:rFonts w:ascii="Univia Pro Book" w:hAnsi="Univia Pro Book"/>
          <w:b/>
          <w:bCs/>
          <w:lang w:val="it-IT"/>
        </w:rPr>
        <w:t xml:space="preserve">6.     </w:t>
      </w:r>
      <w:r>
        <w:rPr>
          <w:rFonts w:ascii="Univia Pro Book" w:hAnsi="Univia Pro Book"/>
          <w:b/>
          <w:bCs/>
        </w:rPr>
        <w:t>ORIENTE</w:t>
      </w:r>
      <w:r>
        <w:rPr>
          <w:rFonts w:cs="Calibri" w:ascii="Calibri" w:hAnsi="Calibri"/>
          <w:b/>
          <w:bCs/>
        </w:rPr>
        <w:t> </w:t>
      </w:r>
      <w:r>
        <w:rPr>
          <w:rFonts w:ascii="Univia Pro Book" w:hAnsi="Univia Pro Book"/>
          <w:b/>
          <w:bCs/>
        </w:rPr>
        <w:t>-</w:t>
      </w:r>
      <w:r>
        <w:rPr>
          <w:rFonts w:cs="Calibri" w:ascii="Calibri" w:hAnsi="Calibri"/>
          <w:b/>
          <w:bCs/>
        </w:rPr>
        <w:t> </w:t>
      </w:r>
      <w:r>
        <w:rPr>
          <w:rFonts w:ascii="Univia Pro Book" w:hAnsi="Univia Pro Book"/>
        </w:rPr>
        <w:t>Rua Prof</w:t>
      </w:r>
      <w:r>
        <w:rPr>
          <w:rFonts w:cs="Univia Pro Book" w:ascii="Univia Pro Book" w:hAnsi="Univia Pro Book"/>
        </w:rPr>
        <w:t>ª</w:t>
      </w:r>
      <w:r>
        <w:rPr>
          <w:rFonts w:ascii="Univia Pro Book" w:hAnsi="Univia Pro Book"/>
        </w:rPr>
        <w:t>. Maria Isabel Teixeira Mendes X Dr. Raul Machado Filho</w:t>
      </w:r>
    </w:p>
    <w:p>
      <w:pPr>
        <w:pStyle w:val="Normal"/>
        <w:spacing w:lineRule="auto" w:line="360"/>
        <w:ind w:firstLine="567"/>
        <w:jc w:val="both"/>
        <w:rPr>
          <w:rFonts w:ascii="Univia Pro Book" w:hAnsi="Univia Pro Book"/>
        </w:rPr>
      </w:pPr>
      <w:r>
        <w:rPr>
          <w:rFonts w:ascii="Univia Pro Book" w:hAnsi="Univia Pro Book"/>
          <w:b/>
          <w:bCs/>
        </w:rPr>
        <w:t>7.</w:t>
      </w:r>
      <w:r>
        <w:rPr>
          <w:rFonts w:ascii="Univia Pro Book" w:hAnsi="Univia Pro Book"/>
        </w:rPr>
        <w:t xml:space="preserve">     </w:t>
      </w:r>
      <w:r>
        <w:rPr>
          <w:rFonts w:ascii="Univia Pro Book" w:hAnsi="Univia Pro Book"/>
          <w:b/>
          <w:bCs/>
        </w:rPr>
        <w:t>SANTO ANTÔNIO</w:t>
      </w:r>
      <w:r>
        <w:rPr>
          <w:rFonts w:cs="Calibri" w:ascii="Calibri" w:hAnsi="Calibri"/>
        </w:rPr>
        <w:t> </w:t>
      </w:r>
      <w:r>
        <w:rPr>
          <w:rFonts w:ascii="Univia Pro Book" w:hAnsi="Univia Pro Book"/>
        </w:rPr>
        <w:t>-</w:t>
      </w:r>
      <w:r>
        <w:rPr>
          <w:rFonts w:cs="Calibri" w:ascii="Calibri" w:hAnsi="Calibri"/>
        </w:rPr>
        <w:t> </w:t>
      </w:r>
      <w:r>
        <w:rPr>
          <w:rFonts w:ascii="Univia Pro Book" w:hAnsi="Univia Pro Book"/>
        </w:rPr>
        <w:t>R. Jo</w:t>
      </w:r>
      <w:r>
        <w:rPr>
          <w:rFonts w:cs="Univia Pro Book" w:ascii="Univia Pro Book" w:hAnsi="Univia Pro Book"/>
        </w:rPr>
        <w:t>ã</w:t>
      </w:r>
      <w:r>
        <w:rPr>
          <w:rFonts w:ascii="Univia Pro Book" w:hAnsi="Univia Pro Book"/>
        </w:rPr>
        <w:t>o Laurelli</w:t>
      </w:r>
    </w:p>
    <w:p>
      <w:pPr>
        <w:pStyle w:val="Normal"/>
        <w:spacing w:lineRule="auto" w:line="360"/>
        <w:ind w:firstLine="567"/>
        <w:jc w:val="both"/>
        <w:rPr>
          <w:rFonts w:ascii="Univia Pro Book" w:hAnsi="Univia Pro Book"/>
        </w:rPr>
      </w:pPr>
      <w:r>
        <w:rPr>
          <w:rFonts w:ascii="Univia Pro Book" w:hAnsi="Univia Pro Book"/>
        </w:rPr>
      </w:r>
    </w:p>
    <w:p>
      <w:pPr>
        <w:pStyle w:val="ListParagraph"/>
        <w:spacing w:lineRule="auto" w:line="360"/>
        <w:ind w:hanging="0" w:left="0"/>
        <w:jc w:val="both"/>
        <w:rPr>
          <w:rFonts w:ascii="Univia Pro Book" w:hAnsi="Univia Pro Book"/>
          <w:strike/>
          <w:sz w:val="20"/>
          <w:szCs w:val="20"/>
        </w:rPr>
      </w:pPr>
      <w:r>
        <w:rPr>
          <w:rFonts w:ascii="Univia Pro Book" w:hAnsi="Univia Pro Book"/>
          <w:b/>
          <w:bCs/>
          <w:sz w:val="20"/>
          <w:szCs w:val="20"/>
        </w:rPr>
        <w:t>1.6</w:t>
      </w:r>
      <w:r>
        <w:rPr>
          <w:rFonts w:ascii="Univia Pro Book" w:hAnsi="Univia Pro Book"/>
          <w:sz w:val="20"/>
          <w:szCs w:val="20"/>
        </w:rPr>
        <w:t xml:space="preserve"> Todos os custos com recolhimento nos pontos citados, bem como, transporte e disposição final serão de responsabilidade exclusiva da CONTRATADA;</w:t>
      </w:r>
    </w:p>
    <w:p>
      <w:pPr>
        <w:pStyle w:val="ListParagraph"/>
        <w:spacing w:lineRule="auto" w:line="360"/>
        <w:ind w:hanging="0" w:left="0"/>
        <w:jc w:val="both"/>
        <w:rPr>
          <w:rFonts w:ascii="Univia Pro Book" w:hAnsi="Univia Pro Book"/>
          <w:sz w:val="20"/>
          <w:szCs w:val="20"/>
        </w:rPr>
      </w:pPr>
      <w:r>
        <w:rPr>
          <w:rFonts w:ascii="Univia Pro Book" w:hAnsi="Univia Pro Book"/>
          <w:b/>
          <w:bCs/>
          <w:sz w:val="20"/>
          <w:szCs w:val="20"/>
        </w:rPr>
        <w:t>1.7</w:t>
      </w:r>
      <w:r>
        <w:rPr>
          <w:rFonts w:ascii="Univia Pro Book" w:hAnsi="Univia Pro Book"/>
          <w:sz w:val="20"/>
          <w:szCs w:val="20"/>
        </w:rPr>
        <w:t xml:space="preserve"> Deverá ser apresentado mensalmente relatórios dos resíduos coletados com as informações pertinentes sobre monitoramento ambiental e disposição final dos materiais recebidos, assim como o Certificado de Disposição final; </w:t>
      </w:r>
    </w:p>
    <w:p>
      <w:pPr>
        <w:pStyle w:val="ListParagraph"/>
        <w:spacing w:lineRule="auto" w:line="360"/>
        <w:ind w:hanging="0" w:left="0"/>
        <w:jc w:val="both"/>
        <w:rPr>
          <w:rFonts w:ascii="Univia Pro Book" w:hAnsi="Univia Pro Book"/>
          <w:sz w:val="20"/>
          <w:szCs w:val="20"/>
        </w:rPr>
      </w:pPr>
      <w:r>
        <w:rPr>
          <w:rFonts w:ascii="Univia Pro Book" w:hAnsi="Univia Pro Book"/>
          <w:b/>
          <w:bCs/>
          <w:sz w:val="20"/>
          <w:szCs w:val="20"/>
        </w:rPr>
        <w:t>1.8</w:t>
      </w:r>
      <w:r>
        <w:rPr>
          <w:rFonts w:ascii="Univia Pro Book" w:hAnsi="Univia Pro Book"/>
          <w:sz w:val="20"/>
          <w:szCs w:val="20"/>
        </w:rPr>
        <w:t xml:space="preserve"> Deverá ser dada destinação correta para todos os tipos de resíduos de acordo com a legislação vigente, acondicionando temporariamente os mesmos de forma ambientalmente adequada de acordo com as normativas vigentes;</w:t>
      </w:r>
    </w:p>
    <w:p>
      <w:pPr>
        <w:pStyle w:val="ListParagraph"/>
        <w:spacing w:lineRule="auto" w:line="360"/>
        <w:ind w:hanging="0" w:left="0"/>
        <w:jc w:val="both"/>
        <w:rPr>
          <w:rFonts w:ascii="Univia Pro Book" w:hAnsi="Univia Pro Book"/>
          <w:sz w:val="20"/>
          <w:szCs w:val="20"/>
        </w:rPr>
      </w:pPr>
      <w:r>
        <w:rPr>
          <w:rFonts w:ascii="Univia Pro Book" w:hAnsi="Univia Pro Book"/>
          <w:b/>
          <w:bCs/>
          <w:sz w:val="20"/>
          <w:szCs w:val="20"/>
        </w:rPr>
        <w:t>1.9</w:t>
      </w:r>
      <w:r>
        <w:rPr>
          <w:rFonts w:ascii="Univia Pro Book" w:hAnsi="Univia Pro Book"/>
          <w:sz w:val="20"/>
          <w:szCs w:val="20"/>
        </w:rPr>
        <w:t xml:space="preserve"> Deverá atender os dispositivos da legislação ambiental vigente, e especificamente, sobre a atividade exercida; n  </w:t>
      </w:r>
    </w:p>
    <w:p>
      <w:pPr>
        <w:pStyle w:val="ListParagraph"/>
        <w:spacing w:lineRule="auto" w:line="360"/>
        <w:ind w:hanging="0" w:left="0"/>
        <w:jc w:val="both"/>
        <w:rPr>
          <w:rFonts w:ascii="Univia Pro Book" w:hAnsi="Univia Pro Book"/>
          <w:sz w:val="20"/>
          <w:szCs w:val="20"/>
        </w:rPr>
      </w:pPr>
      <w:r>
        <w:rPr>
          <w:rFonts w:ascii="Univia Pro Book" w:hAnsi="Univia Pro Book"/>
          <w:b/>
          <w:bCs/>
          <w:sz w:val="20"/>
          <w:szCs w:val="20"/>
        </w:rPr>
        <w:t>1.10</w:t>
      </w:r>
      <w:r>
        <w:rPr>
          <w:rFonts w:ascii="Univia Pro Book" w:hAnsi="Univia Pro Book"/>
          <w:sz w:val="20"/>
          <w:szCs w:val="20"/>
        </w:rPr>
        <w:t xml:space="preserve"> Na </w:t>
      </w:r>
      <w:bookmarkStart w:id="2" w:name="_Hlk131692047"/>
      <w:r>
        <w:rPr>
          <w:rFonts w:ascii="Univia Pro Book" w:hAnsi="Univia Pro Book"/>
          <w:sz w:val="20"/>
          <w:szCs w:val="20"/>
        </w:rPr>
        <w:t>instalação e operação, a CONTRATADA deverá seguir todas as condições e diretrizes estabelecidas nas Licenças Prévia (LP), de Instalação (LI) e de Operação (LO)</w:t>
      </w:r>
      <w:bookmarkEnd w:id="2"/>
      <w:r>
        <w:rPr>
          <w:rFonts w:ascii="Univia Pro Book" w:hAnsi="Univia Pro Book"/>
          <w:sz w:val="20"/>
          <w:szCs w:val="20"/>
        </w:rPr>
        <w:t>;</w:t>
      </w:r>
    </w:p>
    <w:p>
      <w:pPr>
        <w:pStyle w:val="ListParagraph"/>
        <w:spacing w:lineRule="auto" w:line="360"/>
        <w:ind w:hanging="0" w:left="0"/>
        <w:jc w:val="both"/>
        <w:rPr>
          <w:rFonts w:ascii="Univia Pro Book" w:hAnsi="Univia Pro Book"/>
          <w:sz w:val="20"/>
          <w:szCs w:val="20"/>
        </w:rPr>
      </w:pPr>
      <w:r>
        <w:rPr>
          <w:rFonts w:ascii="Univia Pro Book" w:hAnsi="Univia Pro Book"/>
          <w:b/>
          <w:bCs/>
          <w:sz w:val="20"/>
          <w:szCs w:val="20"/>
        </w:rPr>
        <w:t>1.11</w:t>
      </w:r>
      <w:r>
        <w:rPr>
          <w:rFonts w:ascii="Univia Pro Book" w:hAnsi="Univia Pro Book"/>
          <w:sz w:val="20"/>
          <w:szCs w:val="20"/>
        </w:rPr>
        <w:t xml:space="preserve"> A CONTRATADA será responsável por toda e qualquer irregularidade ou dano ambiental causado;</w:t>
      </w:r>
    </w:p>
    <w:p>
      <w:pPr>
        <w:pStyle w:val="ListParagraph"/>
        <w:spacing w:lineRule="auto" w:line="360"/>
        <w:ind w:hanging="0" w:left="0"/>
        <w:jc w:val="both"/>
        <w:rPr>
          <w:rFonts w:ascii="Univia Pro Book" w:hAnsi="Univia Pro Book"/>
          <w:sz w:val="20"/>
          <w:szCs w:val="20"/>
        </w:rPr>
      </w:pPr>
      <w:r>
        <w:rPr>
          <w:rFonts w:ascii="Univia Pro Book" w:hAnsi="Univia Pro Book"/>
          <w:b/>
          <w:bCs/>
          <w:sz w:val="20"/>
          <w:szCs w:val="20"/>
        </w:rPr>
        <w:t xml:space="preserve">1.12 </w:t>
      </w:r>
      <w:r>
        <w:rPr>
          <w:rFonts w:ascii="Univia Pro Book" w:hAnsi="Univia Pro Book"/>
          <w:sz w:val="20"/>
          <w:szCs w:val="20"/>
        </w:rPr>
        <w:t>O recolhimento deve ser feito das 07 horas às 18horas de segunda à sexta-feira e aos sábados das 7 horas às 16 horas, mediante solicitação da CONTRATANTE;</w:t>
      </w:r>
    </w:p>
    <w:p>
      <w:pPr>
        <w:pStyle w:val="ListParagraph"/>
        <w:spacing w:lineRule="auto" w:line="360"/>
        <w:ind w:hanging="0" w:left="0"/>
        <w:jc w:val="both"/>
        <w:rPr>
          <w:rFonts w:ascii="Univia Pro Book" w:hAnsi="Univia Pro Book"/>
          <w:sz w:val="20"/>
          <w:szCs w:val="20"/>
        </w:rPr>
      </w:pPr>
      <w:r>
        <w:rPr>
          <w:rFonts w:ascii="Univia Pro Book" w:hAnsi="Univia Pro Book"/>
          <w:b/>
          <w:bCs/>
          <w:sz w:val="20"/>
          <w:szCs w:val="20"/>
        </w:rPr>
        <w:t xml:space="preserve">1.11 </w:t>
      </w:r>
      <w:r>
        <w:rPr>
          <w:rFonts w:ascii="Univia Pro Book" w:hAnsi="Univia Pro Book"/>
          <w:sz w:val="20"/>
          <w:szCs w:val="20"/>
        </w:rPr>
        <w:t>A CONTRATADA deverá utilizar área em conformidade com o estabelecido no licenciamento ambiental emitido pela CETESB para as atividades desenvolvidas, atuando de acordo com as normas ambientais vigente.</w:t>
      </w:r>
    </w:p>
    <w:p>
      <w:pPr>
        <w:pStyle w:val="ListParagraph"/>
        <w:spacing w:lineRule="auto" w:line="360"/>
        <w:ind w:hanging="0" w:left="0"/>
        <w:jc w:val="both"/>
        <w:rPr>
          <w:rFonts w:ascii="Univia Pro Book" w:hAnsi="Univia Pro Book"/>
          <w:sz w:val="20"/>
          <w:szCs w:val="20"/>
        </w:rPr>
      </w:pPr>
      <w:r>
        <w:rPr>
          <w:rFonts w:ascii="Univia Pro Book" w:hAnsi="Univia Pro Book"/>
          <w:b/>
          <w:bCs/>
          <w:sz w:val="20"/>
          <w:szCs w:val="20"/>
        </w:rPr>
        <w:t xml:space="preserve">1.12 </w:t>
      </w:r>
      <w:r>
        <w:rPr>
          <w:rFonts w:ascii="Univia Pro Book" w:hAnsi="Univia Pro Book"/>
          <w:sz w:val="20"/>
          <w:szCs w:val="20"/>
        </w:rPr>
        <w:t>Caberá a CONTRATADA fazer a disposição correta e legal para cada tipo de resíduo e seus respectivos rejeitos, nos termos da legislação específica e apresentar mensalmente a devida CERTIDÃO DE DISPOSIÇÃO FINAL AMBIENTALMENTE ADEQUADA;</w:t>
      </w:r>
    </w:p>
    <w:p>
      <w:pPr>
        <w:pStyle w:val="ListParagraph"/>
        <w:spacing w:lineRule="auto" w:line="360"/>
        <w:ind w:hanging="0" w:left="0"/>
        <w:jc w:val="both"/>
        <w:rPr>
          <w:rFonts w:ascii="Univia Pro Book" w:hAnsi="Univia Pro Book"/>
          <w:sz w:val="20"/>
          <w:szCs w:val="20"/>
        </w:rPr>
      </w:pPr>
      <w:r>
        <w:rPr>
          <w:rFonts w:ascii="Univia Pro Book" w:hAnsi="Univia Pro Book"/>
          <w:b/>
          <w:bCs/>
          <w:sz w:val="20"/>
          <w:szCs w:val="20"/>
        </w:rPr>
        <w:t xml:space="preserve">1.13 </w:t>
      </w:r>
      <w:r>
        <w:rPr>
          <w:rFonts w:ascii="Univia Pro Book" w:hAnsi="Univia Pro Book"/>
          <w:sz w:val="20"/>
          <w:szCs w:val="20"/>
        </w:rPr>
        <w:t xml:space="preserve">A CONTRATADA se compromete em seguir todas as diretrizes de gestão impostas pela Política Nacional de Resíduos Sólidos assim como as demais Leis e Resoluções Ambientais no âmbito Federal, Estadual e Municipal. </w:t>
      </w:r>
    </w:p>
    <w:p>
      <w:pPr>
        <w:pStyle w:val="ListParagraph"/>
        <w:spacing w:lineRule="auto" w:line="360"/>
        <w:ind w:hanging="0" w:left="0"/>
        <w:jc w:val="both"/>
        <w:rPr>
          <w:rFonts w:ascii="Univia Pro Book" w:hAnsi="Univia Pro Book"/>
          <w:b/>
          <w:bCs/>
          <w:sz w:val="20"/>
          <w:szCs w:val="20"/>
        </w:rPr>
      </w:pPr>
      <w:r>
        <w:rPr>
          <w:rFonts w:ascii="Univia Pro Book" w:hAnsi="Univia Pro Book"/>
          <w:b/>
          <w:bCs/>
          <w:sz w:val="20"/>
          <w:szCs w:val="20"/>
        </w:rPr>
        <w:t>2. RESÍDUOS</w:t>
      </w:r>
    </w:p>
    <w:p>
      <w:pPr>
        <w:pStyle w:val="Normal"/>
        <w:suppressAutoHyphens w:val="false"/>
        <w:spacing w:lineRule="auto" w:line="276" w:before="0" w:after="160"/>
        <w:jc w:val="both"/>
        <w:rPr>
          <w:rFonts w:ascii="Univia Pro Book" w:hAnsi="Univia Pro Book"/>
        </w:rPr>
      </w:pPr>
      <w:r>
        <w:rPr>
          <w:rFonts w:ascii="Univia Pro Book" w:hAnsi="Univia Pro Book"/>
          <w:b/>
          <w:bCs/>
        </w:rPr>
        <w:t>2.1 Rejeitos:</w:t>
      </w:r>
      <w:r>
        <w:rPr>
          <w:rFonts w:ascii="Univia Pro Book" w:hAnsi="Univia Pro Book"/>
        </w:rPr>
        <w:t xml:space="preserve"> resíduos sólidos que, depois de esgotadas todas as possibilidades de tratamento e recuperação por processos tecnológicos disponíveis e economicamente viáveis, não apresentem outra possibilidade que não a disposição final ambientalmente adequada;</w:t>
      </w:r>
    </w:p>
    <w:p>
      <w:pPr>
        <w:pStyle w:val="Normal"/>
        <w:suppressAutoHyphens w:val="false"/>
        <w:spacing w:lineRule="auto" w:line="276" w:before="0" w:after="160"/>
        <w:jc w:val="both"/>
        <w:rPr>
          <w:rFonts w:ascii="Univia Pro Book" w:hAnsi="Univia Pro Book"/>
        </w:rPr>
      </w:pPr>
      <w:r>
        <w:rPr>
          <w:rFonts w:ascii="Univia Pro Book" w:hAnsi="Univia Pro Book"/>
          <w:b/>
          <w:bCs/>
        </w:rPr>
        <w:t>2.2 Entulho</w:t>
      </w:r>
      <w:r>
        <w:rPr>
          <w:rFonts w:ascii="Univia Pro Book" w:hAnsi="Univia Pro Book"/>
        </w:rPr>
        <w:t>: Resíduos provenientes de construções, demolições, reformas e reparos de pavimentação. Incluem materiais como concreto, tijolos, cerâmicas, metais e restos de argamassa.</w:t>
      </w:r>
    </w:p>
    <w:p>
      <w:pPr>
        <w:pStyle w:val="Normal"/>
        <w:suppressAutoHyphens w:val="false"/>
        <w:spacing w:lineRule="auto" w:line="276" w:before="0" w:after="160"/>
        <w:jc w:val="both"/>
        <w:rPr>
          <w:rFonts w:ascii="Univia Pro Book" w:hAnsi="Univia Pro Book"/>
        </w:rPr>
      </w:pPr>
      <w:r>
        <w:rPr>
          <w:rFonts w:ascii="Univia Pro Book" w:hAnsi="Univia Pro Book"/>
          <w:b/>
          <w:bCs/>
        </w:rPr>
        <w:t>2.3 Massa Verde:</w:t>
      </w:r>
      <w:r>
        <w:rPr>
          <w:rFonts w:ascii="Univia Pro Book" w:hAnsi="Univia Pro Book"/>
        </w:rPr>
        <w:t xml:space="preserve"> Resíduos orgânicos de origem vegetal, como folhas, galhos, grama e restos de poda de árvores e jardinagem.</w:t>
      </w:r>
    </w:p>
    <w:p>
      <w:pPr>
        <w:pStyle w:val="Normal"/>
        <w:suppressAutoHyphens w:val="false"/>
        <w:spacing w:lineRule="auto" w:line="276" w:before="0" w:after="160"/>
        <w:jc w:val="both"/>
        <w:rPr>
          <w:rFonts w:ascii="Univia Pro Book" w:hAnsi="Univia Pro Book"/>
        </w:rPr>
      </w:pPr>
      <w:r>
        <w:rPr>
          <w:rFonts w:ascii="Univia Pro Book" w:hAnsi="Univia Pro Book"/>
          <w:b/>
          <w:bCs/>
        </w:rPr>
        <w:t>2.4 Volumosos:</w:t>
      </w:r>
      <w:r>
        <w:rPr>
          <w:rFonts w:ascii="Univia Pro Book" w:hAnsi="Univia Pro Book"/>
        </w:rPr>
        <w:t xml:space="preserve"> Resíduos de grande volume que não podem ser coletados pelo serviço regular de coleta de lixo, como móveis velhos, eletrodomésticos e colchões.</w:t>
      </w:r>
    </w:p>
    <w:p>
      <w:pPr>
        <w:pStyle w:val="Normal"/>
        <w:suppressAutoHyphens w:val="false"/>
        <w:spacing w:lineRule="auto" w:line="276" w:before="0" w:after="160"/>
        <w:jc w:val="both"/>
        <w:rPr>
          <w:rFonts w:ascii="Univia Pro Book" w:hAnsi="Univia Pro Book"/>
        </w:rPr>
      </w:pPr>
      <w:r>
        <w:rPr>
          <w:rFonts w:ascii="Univia Pro Book" w:hAnsi="Univia Pro Book"/>
          <w:b/>
          <w:bCs/>
        </w:rPr>
        <w:t>2.5 Inservíveis:</w:t>
      </w:r>
      <w:r>
        <w:rPr>
          <w:rFonts w:ascii="Univia Pro Book" w:hAnsi="Univia Pro Book"/>
        </w:rPr>
        <w:t xml:space="preserve"> Resíduos que não têm mais utilidade ou valor econômico, como equipamentos eletrônicos quebrados, móveis danificados e outros itens que não podem ser reparados ou reutilizados.</w:t>
      </w:r>
    </w:p>
    <w:p>
      <w:pPr>
        <w:pStyle w:val="Normal"/>
        <w:suppressAutoHyphens w:val="false"/>
        <w:spacing w:lineRule="auto" w:line="276" w:before="0" w:after="160"/>
        <w:jc w:val="both"/>
        <w:rPr>
          <w:rFonts w:ascii="Univia Pro Book" w:hAnsi="Univia Pro Book"/>
          <w:b/>
          <w:bCs/>
        </w:rPr>
      </w:pPr>
      <w:r>
        <w:rPr>
          <w:rFonts w:ascii="Univia Pro Book" w:hAnsi="Univia Pro Book"/>
          <w:b/>
          <w:bCs/>
        </w:rPr>
      </w:r>
    </w:p>
    <w:p>
      <w:pPr>
        <w:pStyle w:val="Normal"/>
        <w:spacing w:lineRule="auto" w:line="360"/>
        <w:jc w:val="both"/>
        <w:rPr>
          <w:rFonts w:ascii="Univia Pro Book" w:hAnsi="Univia Pro Book"/>
        </w:rPr>
      </w:pPr>
      <w:r>
        <w:rPr>
          <w:rFonts w:ascii="Univia Pro Book" w:hAnsi="Univia Pro Book"/>
        </w:rPr>
        <w:t>Distribuídos abaixo através de planilhas e gráficos, os dados históricos obtidos das medições do ano de 2024 (janeiro a setembro), os tipos de resíduos oriundos dos ecopontos e “setor de resíduos” e quantitativos mensais.</w:t>
      </w:r>
    </w:p>
    <w:p>
      <w:pPr>
        <w:pStyle w:val="Normal"/>
        <w:spacing w:lineRule="auto" w:line="360"/>
        <w:jc w:val="both"/>
        <w:rPr>
          <w:rFonts w:ascii="Univia Pro Book" w:hAnsi="Univia Pro Book"/>
        </w:rPr>
      </w:pPr>
      <w:r>
        <w:rPr>
          <w:rFonts w:ascii="Univia Pro Book" w:hAnsi="Univia Pro Book"/>
        </w:rPr>
      </w:r>
    </w:p>
    <w:p>
      <w:pPr>
        <w:pStyle w:val="Normal"/>
        <w:spacing w:lineRule="auto" w:line="360"/>
        <w:jc w:val="both"/>
        <w:rPr>
          <w:rFonts w:ascii="Univia Pro Book" w:hAnsi="Univia Pro Book"/>
        </w:rPr>
      </w:pPr>
      <w:r>
        <w:rPr>
          <w:rFonts w:ascii="Univia Pro Book" w:hAnsi="Univia Pro Book"/>
        </w:rPr>
      </w:r>
    </w:p>
    <w:p>
      <w:pPr>
        <w:pStyle w:val="Normal"/>
        <w:spacing w:lineRule="auto" w:line="360"/>
        <w:ind w:firstLine="708"/>
        <w:jc w:val="both"/>
        <w:rPr>
          <w:rFonts w:ascii="Calibri Light" w:hAnsi="Calibri Light" w:cs="Calibri Light" w:asciiTheme="majorHAnsi" w:cstheme="majorHAnsi" w:hAnsiTheme="majorHAnsi"/>
        </w:rPr>
      </w:pPr>
      <w:r>
        <w:rPr>
          <w:rFonts w:cs="Calibri Light" w:cstheme="majorHAnsi" w:ascii="Calibri Light" w:hAnsi="Calibri Light"/>
        </w:rPr>
      </w:r>
    </w:p>
    <w:tbl>
      <w:tblPr>
        <w:tblW w:w="5000" w:type="pct"/>
        <w:jc w:val="left"/>
        <w:tblInd w:w="75" w:type="dxa"/>
        <w:tblLayout w:type="fixed"/>
        <w:tblCellMar>
          <w:top w:w="0" w:type="dxa"/>
          <w:left w:w="70" w:type="dxa"/>
          <w:bottom w:w="0" w:type="dxa"/>
          <w:right w:w="70" w:type="dxa"/>
        </w:tblCellMar>
        <w:tblLook w:firstRow="1" w:noVBand="1" w:lastRow="0" w:firstColumn="1" w:lastColumn="0" w:noHBand="0" w:val="04a0"/>
      </w:tblPr>
      <w:tblGrid>
        <w:gridCol w:w="970"/>
        <w:gridCol w:w="2173"/>
        <w:gridCol w:w="2113"/>
        <w:gridCol w:w="2536"/>
        <w:gridCol w:w="2130"/>
      </w:tblGrid>
      <w:tr>
        <w:trPr>
          <w:trHeight w:val="300" w:hRule="atLeast"/>
        </w:trPr>
        <w:tc>
          <w:tcPr>
            <w:tcW w:w="9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rPr>
                <w:rFonts w:ascii="Calibri Light" w:hAnsi="Calibri Light" w:cs="Calibri Light" w:asciiTheme="majorHAnsi" w:cstheme="majorHAnsi" w:hAnsiTheme="majorHAnsi"/>
                <w:sz w:val="18"/>
                <w:szCs w:val="18"/>
                <w:lang w:eastAsia="pt-BR"/>
              </w:rPr>
            </w:pPr>
            <w:r>
              <w:rPr>
                <w:rFonts w:cs="Calibri Light" w:cstheme="majorHAnsi" w:ascii="Calibri Light" w:hAnsi="Calibri Light"/>
                <w:sz w:val="18"/>
                <w:szCs w:val="18"/>
                <w:lang w:eastAsia="pt-BR"/>
              </w:rPr>
            </w:r>
          </w:p>
        </w:tc>
        <w:tc>
          <w:tcPr>
            <w:tcW w:w="2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b/>
                <w:bCs/>
                <w:color w:val="000000"/>
                <w:sz w:val="18"/>
                <w:szCs w:val="18"/>
                <w:lang w:eastAsia="pt-BR"/>
              </w:rPr>
            </w:pPr>
            <w:r>
              <w:rPr>
                <w:rFonts w:cs="Calibri Light" w:ascii="Calibri Light" w:hAnsi="Calibri Light" w:asciiTheme="majorHAnsi" w:cstheme="majorHAnsi" w:hAnsiTheme="majorHAnsi"/>
                <w:b/>
                <w:bCs/>
                <w:color w:val="000000"/>
                <w:sz w:val="18"/>
                <w:szCs w:val="18"/>
                <w:lang w:eastAsia="pt-BR"/>
              </w:rPr>
              <w:t>RESIDUOS DE ENTULHO</w:t>
            </w:r>
          </w:p>
        </w:tc>
        <w:tc>
          <w:tcPr>
            <w:tcW w:w="21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b/>
                <w:bCs/>
                <w:color w:val="000000"/>
                <w:sz w:val="18"/>
                <w:szCs w:val="18"/>
                <w:lang w:eastAsia="pt-BR"/>
              </w:rPr>
            </w:pPr>
            <w:r>
              <w:rPr>
                <w:rFonts w:cs="Calibri Light" w:ascii="Calibri Light" w:hAnsi="Calibri Light" w:asciiTheme="majorHAnsi" w:cstheme="majorHAnsi" w:hAnsiTheme="majorHAnsi"/>
                <w:b/>
                <w:bCs/>
                <w:color w:val="000000"/>
                <w:sz w:val="18"/>
                <w:szCs w:val="18"/>
                <w:lang w:eastAsia="pt-BR"/>
              </w:rPr>
              <w:t>RESIDUOS DE MADEIRA</w:t>
            </w:r>
          </w:p>
        </w:tc>
        <w:tc>
          <w:tcPr>
            <w:tcW w:w="25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b/>
                <w:bCs/>
                <w:color w:val="000000"/>
                <w:sz w:val="18"/>
                <w:szCs w:val="18"/>
                <w:lang w:eastAsia="pt-BR"/>
              </w:rPr>
            </w:pPr>
            <w:r>
              <w:rPr>
                <w:rFonts w:cs="Calibri Light" w:ascii="Calibri Light" w:hAnsi="Calibri Light" w:asciiTheme="majorHAnsi" w:cstheme="majorHAnsi" w:hAnsiTheme="majorHAnsi"/>
                <w:b/>
                <w:bCs/>
                <w:color w:val="000000"/>
                <w:sz w:val="18"/>
                <w:szCs w:val="18"/>
                <w:lang w:eastAsia="pt-BR"/>
              </w:rPr>
              <w:t>RESIDUOS DE MASSA VERDE</w:t>
            </w:r>
          </w:p>
        </w:tc>
        <w:tc>
          <w:tcPr>
            <w:tcW w:w="21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b/>
                <w:bCs/>
                <w:color w:val="000000"/>
                <w:sz w:val="18"/>
                <w:szCs w:val="18"/>
                <w:lang w:eastAsia="pt-BR"/>
              </w:rPr>
            </w:pPr>
            <w:r>
              <w:rPr>
                <w:rFonts w:cs="Calibri Light" w:ascii="Calibri Light" w:hAnsi="Calibri Light" w:asciiTheme="majorHAnsi" w:cstheme="majorHAnsi" w:hAnsiTheme="majorHAnsi"/>
                <w:b/>
                <w:bCs/>
                <w:color w:val="000000"/>
                <w:sz w:val="18"/>
                <w:szCs w:val="18"/>
                <w:lang w:eastAsia="pt-BR"/>
              </w:rPr>
              <w:t>RESIDUOS DE REJEITOS</w:t>
            </w:r>
          </w:p>
        </w:tc>
      </w:tr>
      <w:tr>
        <w:trPr>
          <w:trHeight w:val="300" w:hRule="atLeast"/>
        </w:trPr>
        <w:tc>
          <w:tcPr>
            <w:tcW w:w="9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right"/>
              <w:rPr>
                <w:rFonts w:ascii="Calibri Light" w:hAnsi="Calibri Light" w:cs="Calibri Light" w:asciiTheme="majorHAnsi" w:cstheme="majorHAnsi" w:hAnsiTheme="majorHAnsi"/>
                <w:b/>
                <w:bCs/>
                <w:color w:val="000000"/>
                <w:sz w:val="18"/>
                <w:szCs w:val="18"/>
                <w:lang w:eastAsia="pt-BR"/>
              </w:rPr>
            </w:pPr>
            <w:r>
              <w:rPr>
                <w:rFonts w:cs="Calibri Light" w:ascii="Calibri Light" w:hAnsi="Calibri Light" w:asciiTheme="majorHAnsi" w:cstheme="majorHAnsi" w:hAnsiTheme="majorHAnsi"/>
                <w:b/>
                <w:bCs/>
                <w:color w:val="000000"/>
                <w:sz w:val="18"/>
                <w:szCs w:val="18"/>
                <w:lang w:eastAsia="pt-BR"/>
              </w:rPr>
              <w:t>jan/24</w:t>
            </w:r>
          </w:p>
        </w:tc>
        <w:tc>
          <w:tcPr>
            <w:tcW w:w="2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1.406,32</w:t>
            </w:r>
          </w:p>
        </w:tc>
        <w:tc>
          <w:tcPr>
            <w:tcW w:w="21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487,64</w:t>
            </w:r>
          </w:p>
        </w:tc>
        <w:tc>
          <w:tcPr>
            <w:tcW w:w="25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471,50</w:t>
            </w:r>
          </w:p>
        </w:tc>
        <w:tc>
          <w:tcPr>
            <w:tcW w:w="21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1.533,35</w:t>
            </w:r>
          </w:p>
        </w:tc>
      </w:tr>
      <w:tr>
        <w:trPr>
          <w:trHeight w:val="300" w:hRule="atLeast"/>
        </w:trPr>
        <w:tc>
          <w:tcPr>
            <w:tcW w:w="9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right"/>
              <w:rPr>
                <w:rFonts w:ascii="Calibri Light" w:hAnsi="Calibri Light" w:cs="Calibri Light" w:asciiTheme="majorHAnsi" w:cstheme="majorHAnsi" w:hAnsiTheme="majorHAnsi"/>
                <w:b/>
                <w:bCs/>
                <w:color w:val="000000"/>
                <w:sz w:val="18"/>
                <w:szCs w:val="18"/>
                <w:lang w:eastAsia="pt-BR"/>
              </w:rPr>
            </w:pPr>
            <w:r>
              <w:rPr>
                <w:rFonts w:cs="Calibri Light" w:ascii="Calibri Light" w:hAnsi="Calibri Light" w:asciiTheme="majorHAnsi" w:cstheme="majorHAnsi" w:hAnsiTheme="majorHAnsi"/>
                <w:b/>
                <w:bCs/>
                <w:color w:val="000000"/>
                <w:sz w:val="18"/>
                <w:szCs w:val="18"/>
                <w:lang w:eastAsia="pt-BR"/>
              </w:rPr>
              <w:t>fev/24</w:t>
            </w:r>
          </w:p>
        </w:tc>
        <w:tc>
          <w:tcPr>
            <w:tcW w:w="2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1.414,82</w:t>
            </w:r>
          </w:p>
        </w:tc>
        <w:tc>
          <w:tcPr>
            <w:tcW w:w="21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367,41</w:t>
            </w:r>
          </w:p>
        </w:tc>
        <w:tc>
          <w:tcPr>
            <w:tcW w:w="25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1.680,83</w:t>
            </w:r>
          </w:p>
        </w:tc>
        <w:tc>
          <w:tcPr>
            <w:tcW w:w="21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1.553,09</w:t>
            </w:r>
          </w:p>
        </w:tc>
      </w:tr>
      <w:tr>
        <w:trPr>
          <w:trHeight w:val="300" w:hRule="atLeast"/>
        </w:trPr>
        <w:tc>
          <w:tcPr>
            <w:tcW w:w="9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right"/>
              <w:rPr>
                <w:rFonts w:ascii="Calibri Light" w:hAnsi="Calibri Light" w:cs="Calibri Light" w:asciiTheme="majorHAnsi" w:cstheme="majorHAnsi" w:hAnsiTheme="majorHAnsi"/>
                <w:b/>
                <w:bCs/>
                <w:color w:val="000000"/>
                <w:sz w:val="18"/>
                <w:szCs w:val="18"/>
                <w:lang w:eastAsia="pt-BR"/>
              </w:rPr>
            </w:pPr>
            <w:r>
              <w:rPr>
                <w:rFonts w:cs="Calibri Light" w:ascii="Calibri Light" w:hAnsi="Calibri Light" w:asciiTheme="majorHAnsi" w:cstheme="majorHAnsi" w:hAnsiTheme="majorHAnsi"/>
                <w:b/>
                <w:bCs/>
                <w:color w:val="000000"/>
                <w:sz w:val="18"/>
                <w:szCs w:val="18"/>
                <w:lang w:eastAsia="pt-BR"/>
              </w:rPr>
              <w:t>mar/24</w:t>
            </w:r>
          </w:p>
        </w:tc>
        <w:tc>
          <w:tcPr>
            <w:tcW w:w="2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1.487,73</w:t>
            </w:r>
          </w:p>
        </w:tc>
        <w:tc>
          <w:tcPr>
            <w:tcW w:w="21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349,96</w:t>
            </w:r>
          </w:p>
        </w:tc>
        <w:tc>
          <w:tcPr>
            <w:tcW w:w="25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784,17</w:t>
            </w:r>
          </w:p>
        </w:tc>
        <w:tc>
          <w:tcPr>
            <w:tcW w:w="21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2.148,80</w:t>
            </w:r>
          </w:p>
        </w:tc>
      </w:tr>
      <w:tr>
        <w:trPr>
          <w:trHeight w:val="300" w:hRule="atLeast"/>
        </w:trPr>
        <w:tc>
          <w:tcPr>
            <w:tcW w:w="9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right"/>
              <w:rPr>
                <w:rFonts w:ascii="Calibri Light" w:hAnsi="Calibri Light" w:cs="Calibri Light" w:asciiTheme="majorHAnsi" w:cstheme="majorHAnsi" w:hAnsiTheme="majorHAnsi"/>
                <w:b/>
                <w:bCs/>
                <w:color w:val="000000"/>
                <w:sz w:val="18"/>
                <w:szCs w:val="18"/>
                <w:lang w:eastAsia="pt-BR"/>
              </w:rPr>
            </w:pPr>
            <w:r>
              <w:rPr>
                <w:rFonts w:cs="Calibri Light" w:ascii="Calibri Light" w:hAnsi="Calibri Light" w:asciiTheme="majorHAnsi" w:cstheme="majorHAnsi" w:hAnsiTheme="majorHAnsi"/>
                <w:b/>
                <w:bCs/>
                <w:color w:val="000000"/>
                <w:sz w:val="18"/>
                <w:szCs w:val="18"/>
                <w:lang w:eastAsia="pt-BR"/>
              </w:rPr>
              <w:t>abr/24</w:t>
            </w:r>
          </w:p>
        </w:tc>
        <w:tc>
          <w:tcPr>
            <w:tcW w:w="2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1.150,96</w:t>
            </w:r>
          </w:p>
        </w:tc>
        <w:tc>
          <w:tcPr>
            <w:tcW w:w="21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348,25</w:t>
            </w:r>
          </w:p>
        </w:tc>
        <w:tc>
          <w:tcPr>
            <w:tcW w:w="25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790,09</w:t>
            </w:r>
          </w:p>
        </w:tc>
        <w:tc>
          <w:tcPr>
            <w:tcW w:w="21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2.117,31</w:t>
            </w:r>
          </w:p>
        </w:tc>
      </w:tr>
      <w:tr>
        <w:trPr>
          <w:trHeight w:val="300" w:hRule="atLeast"/>
        </w:trPr>
        <w:tc>
          <w:tcPr>
            <w:tcW w:w="9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right"/>
              <w:rPr>
                <w:rFonts w:ascii="Calibri Light" w:hAnsi="Calibri Light" w:cs="Calibri Light" w:asciiTheme="majorHAnsi" w:cstheme="majorHAnsi" w:hAnsiTheme="majorHAnsi"/>
                <w:b/>
                <w:bCs/>
                <w:color w:val="000000"/>
                <w:sz w:val="18"/>
                <w:szCs w:val="18"/>
                <w:lang w:eastAsia="pt-BR"/>
              </w:rPr>
            </w:pPr>
            <w:r>
              <w:rPr>
                <w:rFonts w:cs="Calibri Light" w:ascii="Calibri Light" w:hAnsi="Calibri Light" w:asciiTheme="majorHAnsi" w:cstheme="majorHAnsi" w:hAnsiTheme="majorHAnsi"/>
                <w:b/>
                <w:bCs/>
                <w:color w:val="000000"/>
                <w:sz w:val="18"/>
                <w:szCs w:val="18"/>
                <w:lang w:eastAsia="pt-BR"/>
              </w:rPr>
              <w:t>mai/24</w:t>
            </w:r>
          </w:p>
        </w:tc>
        <w:tc>
          <w:tcPr>
            <w:tcW w:w="2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1.293,36</w:t>
            </w:r>
          </w:p>
        </w:tc>
        <w:tc>
          <w:tcPr>
            <w:tcW w:w="21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258,92</w:t>
            </w:r>
          </w:p>
        </w:tc>
        <w:tc>
          <w:tcPr>
            <w:tcW w:w="25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663,52</w:t>
            </w:r>
          </w:p>
        </w:tc>
        <w:tc>
          <w:tcPr>
            <w:tcW w:w="21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1.840,40</w:t>
            </w:r>
          </w:p>
        </w:tc>
      </w:tr>
      <w:tr>
        <w:trPr>
          <w:trHeight w:val="300" w:hRule="atLeast"/>
        </w:trPr>
        <w:tc>
          <w:tcPr>
            <w:tcW w:w="9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right"/>
              <w:rPr>
                <w:rFonts w:ascii="Calibri Light" w:hAnsi="Calibri Light" w:cs="Calibri Light" w:asciiTheme="majorHAnsi" w:cstheme="majorHAnsi" w:hAnsiTheme="majorHAnsi"/>
                <w:b/>
                <w:bCs/>
                <w:color w:val="000000"/>
                <w:sz w:val="18"/>
                <w:szCs w:val="18"/>
                <w:lang w:eastAsia="pt-BR"/>
              </w:rPr>
            </w:pPr>
            <w:r>
              <w:rPr>
                <w:rFonts w:cs="Calibri Light" w:ascii="Calibri Light" w:hAnsi="Calibri Light" w:asciiTheme="majorHAnsi" w:cstheme="majorHAnsi" w:hAnsiTheme="majorHAnsi"/>
                <w:b/>
                <w:bCs/>
                <w:color w:val="000000"/>
                <w:sz w:val="18"/>
                <w:szCs w:val="18"/>
                <w:lang w:eastAsia="pt-BR"/>
              </w:rPr>
              <w:t>jun/24</w:t>
            </w:r>
          </w:p>
        </w:tc>
        <w:tc>
          <w:tcPr>
            <w:tcW w:w="2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1.181,88</w:t>
            </w:r>
          </w:p>
        </w:tc>
        <w:tc>
          <w:tcPr>
            <w:tcW w:w="21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289,30</w:t>
            </w:r>
          </w:p>
        </w:tc>
        <w:tc>
          <w:tcPr>
            <w:tcW w:w="25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723,08</w:t>
            </w:r>
          </w:p>
        </w:tc>
        <w:tc>
          <w:tcPr>
            <w:tcW w:w="21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2.225,63</w:t>
            </w:r>
          </w:p>
        </w:tc>
      </w:tr>
      <w:tr>
        <w:trPr>
          <w:trHeight w:val="300" w:hRule="atLeast"/>
        </w:trPr>
        <w:tc>
          <w:tcPr>
            <w:tcW w:w="9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right"/>
              <w:rPr>
                <w:rFonts w:ascii="Calibri Light" w:hAnsi="Calibri Light" w:cs="Calibri Light" w:asciiTheme="majorHAnsi" w:cstheme="majorHAnsi" w:hAnsiTheme="majorHAnsi"/>
                <w:b/>
                <w:bCs/>
                <w:color w:val="000000"/>
                <w:sz w:val="18"/>
                <w:szCs w:val="18"/>
                <w:lang w:eastAsia="pt-BR"/>
              </w:rPr>
            </w:pPr>
            <w:r>
              <w:rPr>
                <w:rFonts w:cs="Calibri Light" w:ascii="Calibri Light" w:hAnsi="Calibri Light" w:asciiTheme="majorHAnsi" w:cstheme="majorHAnsi" w:hAnsiTheme="majorHAnsi"/>
                <w:b/>
                <w:bCs/>
                <w:color w:val="000000"/>
                <w:sz w:val="18"/>
                <w:szCs w:val="18"/>
                <w:lang w:eastAsia="pt-BR"/>
              </w:rPr>
              <w:t>jul/24</w:t>
            </w:r>
          </w:p>
        </w:tc>
        <w:tc>
          <w:tcPr>
            <w:tcW w:w="2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813,68</w:t>
            </w:r>
          </w:p>
        </w:tc>
        <w:tc>
          <w:tcPr>
            <w:tcW w:w="21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247,69</w:t>
            </w:r>
          </w:p>
        </w:tc>
        <w:tc>
          <w:tcPr>
            <w:tcW w:w="25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1.139,96</w:t>
            </w:r>
          </w:p>
        </w:tc>
        <w:tc>
          <w:tcPr>
            <w:tcW w:w="21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2.021,76</w:t>
            </w:r>
          </w:p>
        </w:tc>
      </w:tr>
      <w:tr>
        <w:trPr>
          <w:trHeight w:val="300" w:hRule="atLeast"/>
        </w:trPr>
        <w:tc>
          <w:tcPr>
            <w:tcW w:w="9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right"/>
              <w:rPr>
                <w:rFonts w:ascii="Calibri Light" w:hAnsi="Calibri Light" w:cs="Calibri Light" w:asciiTheme="majorHAnsi" w:cstheme="majorHAnsi" w:hAnsiTheme="majorHAnsi"/>
                <w:b/>
                <w:bCs/>
                <w:color w:val="000000"/>
                <w:sz w:val="18"/>
                <w:szCs w:val="18"/>
                <w:lang w:eastAsia="pt-BR"/>
              </w:rPr>
            </w:pPr>
            <w:r>
              <w:rPr>
                <w:rFonts w:cs="Calibri Light" w:ascii="Calibri Light" w:hAnsi="Calibri Light" w:asciiTheme="majorHAnsi" w:cstheme="majorHAnsi" w:hAnsiTheme="majorHAnsi"/>
                <w:b/>
                <w:bCs/>
                <w:color w:val="000000"/>
                <w:sz w:val="18"/>
                <w:szCs w:val="18"/>
                <w:lang w:eastAsia="pt-BR"/>
              </w:rPr>
              <w:t>ago/24</w:t>
            </w:r>
          </w:p>
        </w:tc>
        <w:tc>
          <w:tcPr>
            <w:tcW w:w="2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1.083,92</w:t>
            </w:r>
          </w:p>
        </w:tc>
        <w:tc>
          <w:tcPr>
            <w:tcW w:w="21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171,14</w:t>
            </w:r>
          </w:p>
        </w:tc>
        <w:tc>
          <w:tcPr>
            <w:tcW w:w="25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1.120,25</w:t>
            </w:r>
          </w:p>
        </w:tc>
        <w:tc>
          <w:tcPr>
            <w:tcW w:w="21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2.018,69</w:t>
            </w:r>
          </w:p>
        </w:tc>
      </w:tr>
      <w:tr>
        <w:trPr>
          <w:trHeight w:val="300" w:hRule="atLeast"/>
        </w:trPr>
        <w:tc>
          <w:tcPr>
            <w:tcW w:w="9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right"/>
              <w:rPr>
                <w:rFonts w:ascii="Calibri Light" w:hAnsi="Calibri Light" w:cs="Calibri Light" w:asciiTheme="majorHAnsi" w:cstheme="majorHAnsi" w:hAnsiTheme="majorHAnsi"/>
                <w:b/>
                <w:bCs/>
                <w:color w:val="000000"/>
                <w:sz w:val="18"/>
                <w:szCs w:val="18"/>
                <w:lang w:eastAsia="pt-BR"/>
              </w:rPr>
            </w:pPr>
            <w:r>
              <w:rPr>
                <w:rFonts w:cs="Calibri Light" w:ascii="Calibri Light" w:hAnsi="Calibri Light" w:asciiTheme="majorHAnsi" w:cstheme="majorHAnsi" w:hAnsiTheme="majorHAnsi"/>
                <w:b/>
                <w:bCs/>
                <w:color w:val="000000"/>
                <w:sz w:val="18"/>
                <w:szCs w:val="18"/>
                <w:lang w:eastAsia="pt-BR"/>
              </w:rPr>
              <w:t>set/24</w:t>
            </w:r>
          </w:p>
        </w:tc>
        <w:tc>
          <w:tcPr>
            <w:tcW w:w="217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770,31</w:t>
            </w:r>
          </w:p>
        </w:tc>
        <w:tc>
          <w:tcPr>
            <w:tcW w:w="21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282,67</w:t>
            </w:r>
          </w:p>
        </w:tc>
        <w:tc>
          <w:tcPr>
            <w:tcW w:w="253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888,98</w:t>
            </w:r>
          </w:p>
        </w:tc>
        <w:tc>
          <w:tcPr>
            <w:tcW w:w="21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ascii="Calibri Light" w:hAnsi="Calibri Light" w:cs="Calibri Light" w:asciiTheme="majorHAnsi" w:cstheme="majorHAnsi" w:hAnsiTheme="majorHAnsi"/>
                <w:color w:val="000000"/>
                <w:sz w:val="18"/>
                <w:szCs w:val="18"/>
                <w:lang w:eastAsia="pt-BR"/>
              </w:rPr>
            </w:pPr>
            <w:r>
              <w:rPr>
                <w:rFonts w:cs="Calibri Light" w:ascii="Calibri Light" w:hAnsi="Calibri Light" w:asciiTheme="majorHAnsi" w:cstheme="majorHAnsi" w:hAnsiTheme="majorHAnsi"/>
                <w:color w:val="000000"/>
                <w:sz w:val="18"/>
                <w:szCs w:val="18"/>
                <w:lang w:eastAsia="pt-BR"/>
              </w:rPr>
              <w:t>1.768,26</w:t>
            </w:r>
          </w:p>
        </w:tc>
      </w:tr>
    </w:tbl>
    <w:p>
      <w:pPr>
        <w:pStyle w:val="Normal"/>
        <w:spacing w:lineRule="auto" w:line="360"/>
        <w:rPr>
          <w:rFonts w:ascii="Calibri Light" w:hAnsi="Calibri Light" w:cs="Calibri Light" w:asciiTheme="majorHAnsi" w:cstheme="majorHAnsi" w:hAnsiTheme="majorHAnsi"/>
        </w:rPr>
      </w:pPr>
      <w:r>
        <w:rPr>
          <w:rFonts w:cs="Calibri Light" w:cstheme="majorHAnsi" w:ascii="Calibri Light" w:hAnsi="Calibri Light"/>
        </w:rPr>
      </w:r>
    </w:p>
    <w:p>
      <w:pPr>
        <w:pStyle w:val="Normal"/>
        <w:spacing w:lineRule="auto" w:line="360"/>
        <w:rPr>
          <w:rFonts w:ascii="Calibri Light" w:hAnsi="Calibri Light" w:cs="Calibri Light" w:asciiTheme="majorHAnsi" w:cstheme="majorHAnsi" w:hAnsiTheme="majorHAnsi"/>
        </w:rPr>
      </w:pPr>
      <w:r>
        <w:rPr/>
        <w:drawing>
          <wp:inline distT="0" distB="0" distL="0" distR="0">
            <wp:extent cx="6120130" cy="2476500"/>
            <wp:effectExtent l="0" t="0" r="0" b="0"/>
            <wp:docPr id="1" name="Imagem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Copia 1" descr=""/>
                    <pic:cNvPicPr>
                      <a:picLocks noChangeAspect="1" noChangeArrowheads="1"/>
                    </pic:cNvPicPr>
                  </pic:nvPicPr>
                  <pic:blipFill>
                    <a:blip r:embed="rId5"/>
                    <a:stretch>
                      <a:fillRect/>
                    </a:stretch>
                  </pic:blipFill>
                  <pic:spPr bwMode="auto">
                    <a:xfrm>
                      <a:off x="0" y="0"/>
                      <a:ext cx="6120130" cy="2476500"/>
                    </a:xfrm>
                    <a:prstGeom prst="rect">
                      <a:avLst/>
                    </a:prstGeom>
                  </pic:spPr>
                </pic:pic>
              </a:graphicData>
            </a:graphic>
          </wp:inline>
        </w:drawing>
      </w:r>
    </w:p>
    <w:p>
      <w:pPr>
        <w:pStyle w:val="Normal"/>
        <w:spacing w:lineRule="auto" w:line="360"/>
        <w:jc w:val="center"/>
        <w:rPr>
          <w:rFonts w:ascii="Calibri Light" w:hAnsi="Calibri Light" w:cs="Calibri Light" w:asciiTheme="majorHAnsi" w:cstheme="majorHAnsi" w:hAnsiTheme="majorHAnsi"/>
        </w:rPr>
      </w:pPr>
      <w:r>
        <w:rPr>
          <w:rFonts w:cs="Calibri Light" w:cstheme="majorHAnsi" w:ascii="Calibri Light" w:hAnsi="Calibri Light"/>
        </w:rPr>
      </w:r>
    </w:p>
    <w:p>
      <w:pPr>
        <w:pStyle w:val="Normal"/>
        <w:spacing w:lineRule="auto" w:line="360"/>
        <w:jc w:val="center"/>
        <w:rPr>
          <w:rFonts w:ascii="Calibri Light" w:hAnsi="Calibri Light" w:cs="Calibri Light" w:asciiTheme="majorHAnsi" w:cstheme="majorHAnsi" w:hAnsiTheme="majorHAnsi"/>
        </w:rPr>
      </w:pPr>
      <w:r>
        <w:rPr>
          <w:rFonts w:cs="Calibri Light" w:cstheme="majorHAnsi" w:ascii="Calibri Light" w:hAnsi="Calibri Light"/>
        </w:rPr>
      </w:r>
    </w:p>
    <w:p>
      <w:pPr>
        <w:pStyle w:val="Normal"/>
        <w:spacing w:lineRule="auto" w:line="360"/>
        <w:jc w:val="center"/>
        <w:rPr>
          <w:rFonts w:ascii="Calibri Light" w:hAnsi="Calibri Light" w:cs="Calibri Light" w:asciiTheme="majorHAnsi" w:cstheme="majorHAnsi" w:hAnsiTheme="majorHAnsi"/>
        </w:rPr>
      </w:pPr>
      <w:r>
        <w:rPr/>
        <w:drawing>
          <wp:inline distT="0" distB="0" distL="0" distR="0">
            <wp:extent cx="3729355" cy="2493645"/>
            <wp:effectExtent l="0" t="0" r="0" b="0"/>
            <wp:docPr id="2"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
                    <pic:cNvPicPr>
                      <a:picLocks noChangeAspect="1" noChangeArrowheads="1"/>
                    </pic:cNvPicPr>
                  </pic:nvPicPr>
                  <pic:blipFill>
                    <a:blip r:embed="rId6"/>
                    <a:stretch>
                      <a:fillRect/>
                    </a:stretch>
                  </pic:blipFill>
                  <pic:spPr bwMode="auto">
                    <a:xfrm>
                      <a:off x="0" y="0"/>
                      <a:ext cx="3729355" cy="2493645"/>
                    </a:xfrm>
                    <a:prstGeom prst="rect">
                      <a:avLst/>
                    </a:prstGeom>
                  </pic:spPr>
                </pic:pic>
              </a:graphicData>
            </a:graphic>
          </wp:inline>
        </w:drawing>
      </w:r>
    </w:p>
    <w:p>
      <w:pPr>
        <w:pStyle w:val="ListParagraph"/>
        <w:spacing w:lineRule="auto" w:line="360"/>
        <w:ind w:hanging="0" w:left="0"/>
        <w:jc w:val="both"/>
        <w:rPr>
          <w:rFonts w:ascii="Univia Pro Book" w:hAnsi="Univia Pro Book"/>
          <w:b/>
          <w:bCs/>
          <w:sz w:val="20"/>
          <w:szCs w:val="20"/>
        </w:rPr>
      </w:pPr>
      <w:r>
        <w:rPr>
          <w:rFonts w:ascii="Univia Pro Book" w:hAnsi="Univia Pro Book"/>
          <w:b/>
          <w:bCs/>
          <w:sz w:val="20"/>
          <w:szCs w:val="20"/>
        </w:rPr>
      </w:r>
    </w:p>
    <w:p>
      <w:pPr>
        <w:pStyle w:val="ListParagraph"/>
        <w:spacing w:lineRule="auto" w:line="360"/>
        <w:ind w:hanging="0" w:left="0"/>
        <w:jc w:val="both"/>
        <w:rPr>
          <w:rFonts w:ascii="Univia Pro Book" w:hAnsi="Univia Pro Book"/>
          <w:b/>
          <w:bCs/>
          <w:sz w:val="20"/>
          <w:szCs w:val="20"/>
        </w:rPr>
      </w:pPr>
      <w:r>
        <w:rPr>
          <w:rFonts w:ascii="Univia Pro Book" w:hAnsi="Univia Pro Book"/>
          <w:b/>
          <w:bCs/>
          <w:sz w:val="20"/>
          <w:szCs w:val="20"/>
        </w:rPr>
        <w:t>Porcentagem media por tipo de resíduo.</w:t>
      </w:r>
    </w:p>
    <w:tbl>
      <w:tblPr>
        <w:tblStyle w:val="Tabelacomgrade"/>
        <w:tblW w:w="9912"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2478"/>
        <w:gridCol w:w="2478"/>
        <w:gridCol w:w="2478"/>
        <w:gridCol w:w="2477"/>
      </w:tblGrid>
      <w:tr>
        <w:trPr/>
        <w:tc>
          <w:tcPr>
            <w:tcW w:w="2478" w:type="dxa"/>
            <w:tcBorders/>
            <w:vAlign w:val="center"/>
          </w:tcPr>
          <w:p>
            <w:pPr>
              <w:pStyle w:val="ListParagraph"/>
              <w:widowControl w:val="false"/>
              <w:spacing w:lineRule="auto" w:line="360" w:before="0" w:after="200"/>
              <w:ind w:hanging="0" w:left="0" w:right="0"/>
              <w:jc w:val="both"/>
              <w:rPr>
                <w:rFonts w:ascii="Univia Pro Book" w:hAnsi="Univia Pro Book"/>
                <w:b/>
                <w:bCs/>
                <w:sz w:val="20"/>
                <w:szCs w:val="20"/>
              </w:rPr>
            </w:pPr>
            <w:r>
              <w:rPr>
                <w:rFonts w:cs="Calibri Light" w:ascii="Calibri Light" w:hAnsi="Calibri Light" w:asciiTheme="majorHAnsi" w:cstheme="majorHAnsi" w:hAnsiTheme="majorHAnsi"/>
                <w:b/>
                <w:bCs/>
                <w:color w:val="000000"/>
                <w:sz w:val="18"/>
                <w:szCs w:val="18"/>
                <w:lang w:val="pt-BR" w:eastAsia="pt-BR" w:bidi="ar-SA"/>
              </w:rPr>
              <w:t>RESIDUOS DE ENTULHO</w:t>
            </w:r>
          </w:p>
        </w:tc>
        <w:tc>
          <w:tcPr>
            <w:tcW w:w="2478" w:type="dxa"/>
            <w:tcBorders/>
            <w:vAlign w:val="center"/>
          </w:tcPr>
          <w:p>
            <w:pPr>
              <w:pStyle w:val="ListParagraph"/>
              <w:widowControl w:val="false"/>
              <w:spacing w:lineRule="auto" w:line="360" w:before="0" w:after="200"/>
              <w:ind w:hanging="0" w:left="0" w:right="0"/>
              <w:jc w:val="both"/>
              <w:rPr>
                <w:rFonts w:ascii="Univia Pro Book" w:hAnsi="Univia Pro Book"/>
                <w:b/>
                <w:bCs/>
                <w:sz w:val="20"/>
                <w:szCs w:val="20"/>
              </w:rPr>
            </w:pPr>
            <w:r>
              <w:rPr>
                <w:rFonts w:cs="Calibri Light" w:ascii="Calibri Light" w:hAnsi="Calibri Light" w:asciiTheme="majorHAnsi" w:cstheme="majorHAnsi" w:hAnsiTheme="majorHAnsi"/>
                <w:b/>
                <w:bCs/>
                <w:color w:val="000000"/>
                <w:sz w:val="18"/>
                <w:szCs w:val="18"/>
                <w:lang w:val="pt-BR" w:eastAsia="pt-BR" w:bidi="ar-SA"/>
              </w:rPr>
              <w:t>RESIDUOS DE MADEIRA</w:t>
            </w:r>
          </w:p>
        </w:tc>
        <w:tc>
          <w:tcPr>
            <w:tcW w:w="2478" w:type="dxa"/>
            <w:tcBorders/>
            <w:vAlign w:val="center"/>
          </w:tcPr>
          <w:p>
            <w:pPr>
              <w:pStyle w:val="ListParagraph"/>
              <w:widowControl w:val="false"/>
              <w:spacing w:lineRule="auto" w:line="360" w:before="0" w:after="200"/>
              <w:ind w:hanging="0" w:left="0" w:right="0"/>
              <w:jc w:val="both"/>
              <w:rPr>
                <w:rFonts w:ascii="Univia Pro Book" w:hAnsi="Univia Pro Book"/>
                <w:b/>
                <w:bCs/>
                <w:sz w:val="20"/>
                <w:szCs w:val="20"/>
              </w:rPr>
            </w:pPr>
            <w:r>
              <w:rPr>
                <w:rFonts w:cs="Calibri Light" w:ascii="Calibri Light" w:hAnsi="Calibri Light" w:asciiTheme="majorHAnsi" w:cstheme="majorHAnsi" w:hAnsiTheme="majorHAnsi"/>
                <w:b/>
                <w:bCs/>
                <w:color w:val="000000"/>
                <w:sz w:val="18"/>
                <w:szCs w:val="18"/>
                <w:lang w:val="pt-BR" w:eastAsia="pt-BR" w:bidi="ar-SA"/>
              </w:rPr>
              <w:t>RESIDUOS DE MASSA VERDE</w:t>
            </w:r>
          </w:p>
        </w:tc>
        <w:tc>
          <w:tcPr>
            <w:tcW w:w="2477" w:type="dxa"/>
            <w:tcBorders/>
            <w:vAlign w:val="center"/>
          </w:tcPr>
          <w:p>
            <w:pPr>
              <w:pStyle w:val="ListParagraph"/>
              <w:widowControl w:val="false"/>
              <w:spacing w:lineRule="auto" w:line="360" w:before="0" w:after="200"/>
              <w:ind w:hanging="0" w:left="0" w:right="0"/>
              <w:jc w:val="both"/>
              <w:rPr>
                <w:rFonts w:ascii="Univia Pro Book" w:hAnsi="Univia Pro Book"/>
                <w:b/>
                <w:bCs/>
                <w:sz w:val="20"/>
                <w:szCs w:val="20"/>
              </w:rPr>
            </w:pPr>
            <w:r>
              <w:rPr>
                <w:rFonts w:cs="Calibri Light" w:ascii="Calibri Light" w:hAnsi="Calibri Light" w:asciiTheme="majorHAnsi" w:cstheme="majorHAnsi" w:hAnsiTheme="majorHAnsi"/>
                <w:b/>
                <w:bCs/>
                <w:color w:val="000000"/>
                <w:sz w:val="18"/>
                <w:szCs w:val="18"/>
                <w:lang w:val="pt-BR" w:eastAsia="pt-BR" w:bidi="ar-SA"/>
              </w:rPr>
              <w:t>RESIDUOS DE REJEITOS</w:t>
            </w:r>
          </w:p>
        </w:tc>
      </w:tr>
      <w:tr>
        <w:trPr/>
        <w:tc>
          <w:tcPr>
            <w:tcW w:w="2478" w:type="dxa"/>
            <w:tcBorders/>
          </w:tcPr>
          <w:p>
            <w:pPr>
              <w:pStyle w:val="ListParagraph"/>
              <w:widowControl w:val="false"/>
              <w:spacing w:lineRule="auto" w:line="360" w:before="0" w:after="200"/>
              <w:ind w:hanging="0" w:left="0" w:right="0"/>
              <w:jc w:val="center"/>
              <w:rPr>
                <w:rFonts w:ascii="Univia Pro Book" w:hAnsi="Univia Pro Book"/>
                <w:b/>
                <w:bCs/>
                <w:sz w:val="20"/>
                <w:szCs w:val="20"/>
              </w:rPr>
            </w:pPr>
            <w:r>
              <w:rPr>
                <w:rFonts w:ascii="Univia Pro Book" w:hAnsi="Univia Pro Book"/>
                <w:b/>
                <w:bCs/>
                <w:sz w:val="20"/>
                <w:szCs w:val="20"/>
                <w:lang w:val="pt-BR" w:bidi="ar-SA"/>
              </w:rPr>
              <w:t>27 %</w:t>
            </w:r>
          </w:p>
        </w:tc>
        <w:tc>
          <w:tcPr>
            <w:tcW w:w="2478" w:type="dxa"/>
            <w:tcBorders/>
          </w:tcPr>
          <w:p>
            <w:pPr>
              <w:pStyle w:val="ListParagraph"/>
              <w:widowControl w:val="false"/>
              <w:spacing w:lineRule="auto" w:line="360" w:before="0" w:after="200"/>
              <w:ind w:hanging="0" w:left="0" w:right="0"/>
              <w:jc w:val="center"/>
              <w:rPr>
                <w:rFonts w:ascii="Univia Pro Book" w:hAnsi="Univia Pro Book"/>
                <w:b/>
                <w:bCs/>
                <w:sz w:val="20"/>
                <w:szCs w:val="20"/>
              </w:rPr>
            </w:pPr>
            <w:r>
              <w:rPr>
                <w:rFonts w:ascii="Univia Pro Book" w:hAnsi="Univia Pro Book"/>
                <w:b/>
                <w:bCs/>
                <w:sz w:val="20"/>
                <w:szCs w:val="20"/>
                <w:lang w:val="pt-BR" w:bidi="ar-SA"/>
              </w:rPr>
              <w:t>7 %</w:t>
            </w:r>
          </w:p>
        </w:tc>
        <w:tc>
          <w:tcPr>
            <w:tcW w:w="2478" w:type="dxa"/>
            <w:tcBorders/>
          </w:tcPr>
          <w:p>
            <w:pPr>
              <w:pStyle w:val="ListParagraph"/>
              <w:widowControl w:val="false"/>
              <w:spacing w:lineRule="auto" w:line="360" w:before="0" w:after="200"/>
              <w:ind w:hanging="0" w:left="0" w:right="0"/>
              <w:jc w:val="center"/>
              <w:rPr>
                <w:rFonts w:ascii="Univia Pro Book" w:hAnsi="Univia Pro Book"/>
                <w:b/>
                <w:bCs/>
                <w:sz w:val="20"/>
                <w:szCs w:val="20"/>
              </w:rPr>
            </w:pPr>
            <w:r>
              <w:rPr>
                <w:rFonts w:ascii="Univia Pro Book" w:hAnsi="Univia Pro Book"/>
                <w:b/>
                <w:bCs/>
                <w:sz w:val="20"/>
                <w:szCs w:val="20"/>
                <w:lang w:val="pt-BR" w:bidi="ar-SA"/>
              </w:rPr>
              <w:t>21 %</w:t>
            </w:r>
          </w:p>
        </w:tc>
        <w:tc>
          <w:tcPr>
            <w:tcW w:w="2477" w:type="dxa"/>
            <w:tcBorders/>
          </w:tcPr>
          <w:p>
            <w:pPr>
              <w:pStyle w:val="ListParagraph"/>
              <w:widowControl w:val="false"/>
              <w:spacing w:lineRule="auto" w:line="360" w:before="0" w:after="200"/>
              <w:ind w:hanging="0" w:left="0" w:right="0"/>
              <w:jc w:val="center"/>
              <w:rPr>
                <w:rFonts w:ascii="Univia Pro Book" w:hAnsi="Univia Pro Book"/>
                <w:b/>
                <w:bCs/>
                <w:sz w:val="20"/>
                <w:szCs w:val="20"/>
              </w:rPr>
            </w:pPr>
            <w:r>
              <w:rPr>
                <w:rFonts w:ascii="Univia Pro Book" w:hAnsi="Univia Pro Book"/>
                <w:b/>
                <w:bCs/>
                <w:sz w:val="20"/>
                <w:szCs w:val="20"/>
                <w:lang w:val="pt-BR" w:bidi="ar-SA"/>
              </w:rPr>
              <w:t>45 %</w:t>
            </w:r>
          </w:p>
        </w:tc>
      </w:tr>
    </w:tbl>
    <w:p>
      <w:pPr>
        <w:pStyle w:val="ListParagraph"/>
        <w:spacing w:lineRule="auto" w:line="360"/>
        <w:ind w:hanging="0" w:left="0"/>
        <w:jc w:val="both"/>
        <w:rPr>
          <w:rFonts w:ascii="Univia Pro Book" w:hAnsi="Univia Pro Book"/>
          <w:b/>
          <w:bCs/>
          <w:sz w:val="20"/>
          <w:szCs w:val="20"/>
        </w:rPr>
      </w:pPr>
      <w:r>
        <w:rPr>
          <w:rFonts w:ascii="Univia Pro Book" w:hAnsi="Univia Pro Book"/>
          <w:b/>
          <w:bCs/>
          <w:sz w:val="20"/>
          <w:szCs w:val="20"/>
        </w:rPr>
      </w:r>
    </w:p>
    <w:p>
      <w:pPr>
        <w:pStyle w:val="ListParagraph"/>
        <w:spacing w:lineRule="auto" w:line="360"/>
        <w:ind w:hanging="0" w:left="0"/>
        <w:jc w:val="both"/>
        <w:rPr>
          <w:rFonts w:ascii="Univia Pro Book" w:hAnsi="Univia Pro Book"/>
          <w:b/>
          <w:bCs/>
          <w:sz w:val="20"/>
          <w:szCs w:val="20"/>
        </w:rPr>
      </w:pPr>
      <w:r>
        <w:rPr>
          <w:rFonts w:ascii="Univia Pro Book" w:hAnsi="Univia Pro Book"/>
          <w:b/>
          <w:bCs/>
          <w:sz w:val="20"/>
          <w:szCs w:val="20"/>
        </w:rPr>
        <w:t>3. TRANSPORTE</w:t>
      </w:r>
    </w:p>
    <w:p>
      <w:pPr>
        <w:pStyle w:val="Normal"/>
        <w:spacing w:lineRule="auto" w:line="360"/>
        <w:jc w:val="both"/>
        <w:rPr>
          <w:rFonts w:ascii="Univia Pro Book" w:hAnsi="Univia Pro Book"/>
        </w:rPr>
      </w:pPr>
      <w:r>
        <w:rPr>
          <w:rFonts w:ascii="Univia Pro Book" w:hAnsi="Univia Pro Book"/>
          <w:b/>
          <w:bCs/>
        </w:rPr>
        <w:t>3.1</w:t>
      </w:r>
      <w:r>
        <w:rPr>
          <w:rFonts w:ascii="Univia Pro Book" w:hAnsi="Univia Pro Book"/>
        </w:rPr>
        <w:t xml:space="preserve"> A CONTRATADA deverá operar durante todo o contrato com veículo de no máximo 10 anos de uso, cuja exigência vai de encontro com as recomendações do Tribunal de Contas do Estado de São Paulo, e visa garantir a segurança e qualidade dos serviços, se responsabilizando pelo combustível e manutenção, apresentando à CONTRATANTE laudo técnico veicular para emissão de queima de combustível (fumaça preta).</w:t>
      </w:r>
    </w:p>
    <w:p>
      <w:pPr>
        <w:pStyle w:val="Normal"/>
        <w:spacing w:lineRule="auto" w:line="360"/>
        <w:jc w:val="both"/>
        <w:rPr>
          <w:rFonts w:ascii="Univia Pro Book" w:hAnsi="Univia Pro Book"/>
        </w:rPr>
      </w:pPr>
      <w:r>
        <w:rPr>
          <w:rFonts w:ascii="Univia Pro Book" w:hAnsi="Univia Pro Book"/>
          <w:b/>
          <w:bCs/>
        </w:rPr>
        <w:t>3.2</w:t>
      </w:r>
      <w:r>
        <w:rPr>
          <w:rFonts w:ascii="Univia Pro Book" w:hAnsi="Univia Pro Book"/>
        </w:rPr>
        <w:t xml:space="preserve"> Toda a manutenção do veículo, seja ela preventiva ou corretiva são de inteira responsabilidade da CONTRATADA.</w:t>
      </w:r>
    </w:p>
    <w:p>
      <w:pPr>
        <w:pStyle w:val="Normal"/>
        <w:spacing w:lineRule="auto" w:line="360"/>
        <w:jc w:val="both"/>
        <w:rPr>
          <w:rFonts w:ascii="Univia Pro Book" w:hAnsi="Univia Pro Book"/>
        </w:rPr>
      </w:pPr>
      <w:r>
        <w:rPr>
          <w:rFonts w:ascii="Univia Pro Book" w:hAnsi="Univia Pro Book"/>
          <w:b/>
          <w:bCs/>
        </w:rPr>
        <w:t>3.3</w:t>
      </w:r>
      <w:r>
        <w:rPr>
          <w:rFonts w:ascii="Univia Pro Book" w:hAnsi="Univia Pro Book"/>
        </w:rPr>
        <w:t xml:space="preserve"> A CONTRATADA deverá transportar os resíduos com o cuidado necessário para evitar derramamento nas vias públicas, sendo que caso aconteça o derramamento a CONTRATADA deverá recolher de imediato.</w:t>
      </w:r>
    </w:p>
    <w:p>
      <w:pPr>
        <w:pStyle w:val="Normal"/>
        <w:spacing w:lineRule="auto" w:line="360"/>
        <w:jc w:val="both"/>
        <w:rPr>
          <w:rFonts w:ascii="Univia Pro Book" w:hAnsi="Univia Pro Book"/>
        </w:rPr>
      </w:pPr>
      <w:r>
        <w:rPr>
          <w:rFonts w:ascii="Univia Pro Book" w:hAnsi="Univia Pro Book"/>
          <w:b/>
          <w:bCs/>
        </w:rPr>
        <w:t>3.4</w:t>
      </w:r>
      <w:r>
        <w:rPr>
          <w:rFonts w:ascii="Univia Pro Book" w:hAnsi="Univia Pro Book"/>
        </w:rPr>
        <w:t xml:space="preserve"> Em caso de quebra do veículo a CONTRATADA terá um prazo de 12 (doze) horas para a substituição do mesmo, e caso um funcionário for rejeitado pela Secretaria solicitante, devidamente justificado, este deverá ser substituído em no máximo 48 (quarenta e oito) horas. A substituição será devidamente formalizada e será constada no processo, observando que os serviços não poderão sofrer interrupções.</w:t>
      </w:r>
    </w:p>
    <w:p>
      <w:pPr>
        <w:pStyle w:val="Normal"/>
        <w:spacing w:lineRule="auto" w:line="360"/>
        <w:jc w:val="both"/>
        <w:rPr>
          <w:rFonts w:ascii="Univia Pro Book" w:hAnsi="Univia Pro Book"/>
        </w:rPr>
      </w:pPr>
      <w:r>
        <w:rPr>
          <w:rFonts w:ascii="Univia Pro Book" w:hAnsi="Univia Pro Book"/>
          <w:b/>
          <w:bCs/>
        </w:rPr>
        <w:t>3.5</w:t>
      </w:r>
      <w:r>
        <w:rPr>
          <w:rFonts w:ascii="Univia Pro Book" w:hAnsi="Univia Pro Book"/>
        </w:rPr>
        <w:t xml:space="preserve"> No preço ofertado, além do que está previsto neste memorial descritivo, deverão estar inclusos também os custos com combustível e motorista.</w:t>
      </w:r>
    </w:p>
    <w:p>
      <w:pPr>
        <w:pStyle w:val="Normal"/>
        <w:spacing w:lineRule="auto" w:line="360"/>
        <w:jc w:val="both"/>
        <w:rPr>
          <w:rFonts w:ascii="Univia Pro Book" w:hAnsi="Univia Pro Book"/>
        </w:rPr>
      </w:pPr>
      <w:r>
        <w:rPr>
          <w:rFonts w:ascii="Univia Pro Book" w:hAnsi="Univia Pro Book"/>
          <w:b/>
          <w:bCs/>
        </w:rPr>
        <w:t>3.6</w:t>
      </w:r>
      <w:r>
        <w:rPr>
          <w:rFonts w:ascii="Univia Pro Book" w:hAnsi="Univia Pro Book"/>
        </w:rPr>
        <w:t xml:space="preserve"> De maneira alguma poderá haver interrupção dos serviços, ficando a CONTRATADA obrigada a efetuar o serviço em dias de feriados civis e religiosos, de forma que o serviço não sofra descontinuidade. Observa-se que as únicas exceções em que não haverá a execução dos serviços serão aos domingos, Sexta-Feira Santa e no Ano Novo.</w:t>
      </w:r>
    </w:p>
    <w:p>
      <w:pPr>
        <w:pStyle w:val="Normal"/>
        <w:spacing w:lineRule="auto" w:line="360"/>
        <w:jc w:val="both"/>
        <w:rPr>
          <w:rFonts w:ascii="Univia Pro Book" w:hAnsi="Univia Pro Book"/>
        </w:rPr>
      </w:pPr>
      <w:r>
        <w:rPr>
          <w:rFonts w:ascii="Univia Pro Book" w:hAnsi="Univia Pro Book"/>
          <w:b/>
          <w:bCs/>
        </w:rPr>
        <w:t>3.7</w:t>
      </w:r>
      <w:r>
        <w:rPr>
          <w:rFonts w:ascii="Univia Pro Book" w:hAnsi="Univia Pro Book"/>
        </w:rPr>
        <w:t xml:space="preserve"> A CONTRATADA deverá fornecer ao(s) seu(s) funcionário(s) todos os equipamentos e ferramentas, uniformes e equipamentos de proteção individuais e coletivos necessários para a perfeita execução dos serviços prestados a fim de preservar o meio ambiente e a saúde. </w:t>
      </w:r>
    </w:p>
    <w:p>
      <w:pPr>
        <w:pStyle w:val="ListParagraph"/>
        <w:spacing w:lineRule="auto" w:line="360"/>
        <w:ind w:hanging="0" w:left="0"/>
        <w:jc w:val="both"/>
        <w:rPr>
          <w:rFonts w:ascii="Univia Pro Book" w:hAnsi="Univia Pro Book"/>
          <w:sz w:val="20"/>
          <w:szCs w:val="20"/>
        </w:rPr>
      </w:pPr>
      <w:r>
        <w:rPr>
          <w:rFonts w:ascii="Univia Pro Book" w:hAnsi="Univia Pro Book"/>
          <w:b/>
          <w:bCs/>
          <w:sz w:val="20"/>
          <w:szCs w:val="20"/>
        </w:rPr>
        <w:t>3.8</w:t>
      </w:r>
      <w:r>
        <w:rPr>
          <w:rFonts w:ascii="Univia Pro Book" w:hAnsi="Univia Pro Book"/>
          <w:sz w:val="20"/>
          <w:szCs w:val="20"/>
        </w:rPr>
        <w:t xml:space="preserve"> A CONTRATADA deverá submeter seus veículos utilizados no transporte à vistoria sempre que a fiscalização exigir;</w:t>
      </w:r>
    </w:p>
    <w:p>
      <w:pPr>
        <w:pStyle w:val="ListParagraph"/>
        <w:spacing w:lineRule="auto" w:line="360"/>
        <w:ind w:hanging="0" w:left="0"/>
        <w:jc w:val="both"/>
        <w:rPr>
          <w:rFonts w:ascii="Univia Pro Book" w:hAnsi="Univia Pro Book"/>
          <w:sz w:val="20"/>
          <w:szCs w:val="20"/>
        </w:rPr>
      </w:pPr>
      <w:r>
        <w:rPr>
          <w:rFonts w:ascii="Univia Pro Book" w:hAnsi="Univia Pro Book"/>
          <w:sz w:val="20"/>
          <w:szCs w:val="20"/>
        </w:rPr>
      </w:r>
    </w:p>
    <w:p>
      <w:pPr>
        <w:pStyle w:val="ListParagraph"/>
        <w:spacing w:lineRule="auto" w:line="360"/>
        <w:ind w:hanging="0" w:left="0"/>
        <w:jc w:val="both"/>
        <w:rPr>
          <w:rFonts w:ascii="Univia Pro Book" w:hAnsi="Univia Pro Book"/>
          <w:b/>
          <w:bCs/>
          <w:sz w:val="20"/>
          <w:szCs w:val="20"/>
        </w:rPr>
      </w:pPr>
      <w:r>
        <w:rPr>
          <w:rFonts w:ascii="Univia Pro Book" w:hAnsi="Univia Pro Book"/>
          <w:b/>
          <w:bCs/>
          <w:sz w:val="20"/>
          <w:szCs w:val="20"/>
        </w:rPr>
        <w:t>4. LOCAL DE DISPOSIÇÃO FINAL AMBIENTALMENTE ADEQUADA.</w:t>
      </w:r>
    </w:p>
    <w:p>
      <w:pPr>
        <w:pStyle w:val="ListParagraph"/>
        <w:spacing w:lineRule="auto" w:line="360"/>
        <w:ind w:hanging="0" w:left="0"/>
        <w:jc w:val="both"/>
        <w:rPr>
          <w:rFonts w:ascii="Univia Pro Book" w:hAnsi="Univia Pro Book"/>
          <w:sz w:val="20"/>
          <w:szCs w:val="20"/>
        </w:rPr>
      </w:pPr>
      <w:r>
        <w:rPr>
          <w:rFonts w:ascii="Univia Pro Book" w:hAnsi="Univia Pro Book"/>
          <w:b/>
          <w:bCs/>
          <w:sz w:val="20"/>
          <w:szCs w:val="20"/>
        </w:rPr>
        <w:t xml:space="preserve">4.1 </w:t>
      </w:r>
      <w:r>
        <w:rPr>
          <w:rFonts w:ascii="Univia Pro Book" w:hAnsi="Univia Pro Book"/>
          <w:sz w:val="20"/>
          <w:szCs w:val="20"/>
        </w:rPr>
        <w:t>A CONTRATADA deverá utilizar área em conformidade com o estabelecido no licenciamento ambiental emitido pela CETESB para as atividades desenvolvidas, atuando de acordo com as normas ambientais vigente.</w:t>
      </w:r>
    </w:p>
    <w:p>
      <w:pPr>
        <w:pStyle w:val="Normal"/>
        <w:spacing w:lineRule="auto" w:line="360"/>
        <w:jc w:val="both"/>
        <w:rPr>
          <w:rFonts w:ascii="Univia Pro Book" w:hAnsi="Univia Pro Book"/>
        </w:rPr>
      </w:pPr>
      <w:r>
        <w:rPr>
          <w:rFonts w:ascii="Univia Pro Book" w:hAnsi="Univia Pro Book"/>
          <w:b/>
          <w:bCs/>
        </w:rPr>
        <w:t>4.1.1</w:t>
      </w:r>
      <w:r>
        <w:rPr>
          <w:rFonts w:ascii="Univia Pro Book" w:hAnsi="Univia Pro Book"/>
        </w:rPr>
        <w:t xml:space="preserve"> Para comprovar estar devidamente licenciada, a CONTRATADA deverá apresentar os seguintes documentos para fins de habilitação:</w:t>
      </w:r>
    </w:p>
    <w:p>
      <w:pPr>
        <w:pStyle w:val="Normal"/>
        <w:spacing w:lineRule="auto" w:line="360"/>
        <w:ind w:hanging="0" w:left="284"/>
        <w:jc w:val="both"/>
        <w:rPr>
          <w:rFonts w:ascii="Univia Pro Book" w:hAnsi="Univia Pro Book"/>
        </w:rPr>
      </w:pPr>
      <w:r>
        <w:rPr>
          <w:rFonts w:ascii="Univia Pro Book" w:hAnsi="Univia Pro Book"/>
        </w:rPr>
        <w:t>- Licença de Instalação, emitida pela Companhia Ambiental do Estado de São Paulo – CETESB – para a atividade do objeto do contrato.</w:t>
      </w:r>
    </w:p>
    <w:p>
      <w:pPr>
        <w:pStyle w:val="Normal"/>
        <w:spacing w:lineRule="auto" w:line="360"/>
        <w:ind w:hanging="0" w:left="284"/>
        <w:jc w:val="both"/>
        <w:rPr>
          <w:rFonts w:ascii="Univia Pro Book" w:hAnsi="Univia Pro Book"/>
        </w:rPr>
      </w:pPr>
      <w:r>
        <w:rPr>
          <w:rFonts w:ascii="Univia Pro Book" w:hAnsi="Univia Pro Book"/>
        </w:rPr>
        <w:t>- Licença de operação com validade em vigor, emitida pela Companhia Ambiental do Estado de São Paulo – Cetesb, para atividade do objeto do contrato;</w:t>
      </w:r>
    </w:p>
    <w:p>
      <w:pPr>
        <w:pStyle w:val="Normal"/>
        <w:spacing w:lineRule="auto" w:line="360"/>
        <w:ind w:hanging="0" w:left="284"/>
        <w:jc w:val="both"/>
        <w:rPr>
          <w:rFonts w:ascii="Univia Pro Book" w:hAnsi="Univia Pro Book"/>
        </w:rPr>
      </w:pPr>
      <w:r>
        <w:rPr>
          <w:rFonts w:ascii="Univia Pro Book" w:hAnsi="Univia Pro Book"/>
        </w:rPr>
        <w:t>- Alvará municipal de funcionamento;</w:t>
      </w:r>
    </w:p>
    <w:p>
      <w:pPr>
        <w:pStyle w:val="Normal"/>
        <w:spacing w:lineRule="auto" w:line="360"/>
        <w:ind w:hanging="0" w:left="284"/>
        <w:jc w:val="both"/>
        <w:rPr>
          <w:rFonts w:ascii="Univia Pro Book" w:hAnsi="Univia Pro Book"/>
        </w:rPr>
      </w:pPr>
      <w:r>
        <w:rPr>
          <w:rFonts w:ascii="Univia Pro Book" w:hAnsi="Univia Pro Book"/>
        </w:rPr>
        <w:t>- Carta de anuência da CONTRATADA declarando a capacidade para recebimento e disposição final ambientalmente adequada de 24.000,00 (vinte e quatro mil) toneladas em 180 dias, de resíduos Classe II gerados no MUNICÍPIO DE PIRACICABA.</w:t>
      </w:r>
    </w:p>
    <w:p>
      <w:pPr>
        <w:pStyle w:val="Normal"/>
        <w:spacing w:lineRule="auto" w:line="360"/>
        <w:ind w:hanging="0" w:left="284"/>
        <w:jc w:val="both"/>
        <w:rPr>
          <w:rFonts w:ascii="Univia Pro Book" w:hAnsi="Univia Pro Book"/>
        </w:rPr>
      </w:pPr>
      <w:r>
        <w:rPr>
          <w:rFonts w:ascii="Univia Pro Book" w:hAnsi="Univia Pro Book"/>
        </w:rPr>
        <w:t>- Carta de anuência para disposição final do rejeito em quantidade de 10.000,00 mil (dez mil) toneladas para</w:t>
      </w:r>
    </w:p>
    <w:p>
      <w:pPr>
        <w:pStyle w:val="Normal"/>
        <w:spacing w:lineRule="auto" w:line="360"/>
        <w:ind w:hanging="0" w:left="284"/>
        <w:jc w:val="both"/>
        <w:rPr>
          <w:rFonts w:ascii="Univia Pro Book" w:hAnsi="Univia Pro Book"/>
        </w:rPr>
      </w:pPr>
      <w:r>
        <w:rPr/>
        <w:t>um prazo de 180 dias</w:t>
      </w:r>
    </w:p>
    <w:p>
      <w:pPr>
        <w:pStyle w:val="Normal"/>
        <w:spacing w:lineRule="auto" w:line="360"/>
        <w:ind w:hanging="0" w:left="284"/>
        <w:jc w:val="both"/>
        <w:rPr>
          <w:rFonts w:ascii="Univia Pro Book" w:hAnsi="Univia Pro Book"/>
        </w:rPr>
      </w:pPr>
      <w:r>
        <w:rPr>
          <w:rFonts w:ascii="Univia Pro Book" w:hAnsi="Univia Pro Book"/>
        </w:rPr>
      </w:r>
    </w:p>
    <w:p>
      <w:pPr>
        <w:pStyle w:val="ListParagraph"/>
        <w:spacing w:lineRule="auto" w:line="360"/>
        <w:ind w:hanging="0" w:left="0"/>
        <w:jc w:val="both"/>
        <w:rPr>
          <w:rFonts w:ascii="Univia Pro Book" w:hAnsi="Univia Pro Book"/>
          <w:sz w:val="20"/>
          <w:szCs w:val="20"/>
        </w:rPr>
      </w:pPr>
      <w:r>
        <w:rPr>
          <w:rFonts w:ascii="Univia Pro Book" w:hAnsi="Univia Pro Book"/>
          <w:b/>
          <w:bCs/>
          <w:sz w:val="20"/>
          <w:szCs w:val="20"/>
        </w:rPr>
        <w:t>4.2</w:t>
      </w:r>
      <w:r>
        <w:rPr>
          <w:rFonts w:ascii="Univia Pro Book" w:hAnsi="Univia Pro Book"/>
          <w:sz w:val="20"/>
          <w:szCs w:val="20"/>
        </w:rPr>
        <w:t xml:space="preserve"> A CONTRATADA deverá possuir balança, aferida pelo INMETRO, a fim de comprovar a quantidade coletada sendo registrado eletronicamente, sem a necessidade de digitação do peso apurado pelo operador da balança, garantido a precisão das informações;</w:t>
      </w:r>
    </w:p>
    <w:p>
      <w:pPr>
        <w:pStyle w:val="Normal"/>
        <w:spacing w:lineRule="auto" w:line="360"/>
        <w:jc w:val="both"/>
        <w:rPr>
          <w:rFonts w:ascii="Univia Pro Book" w:hAnsi="Univia Pro Book"/>
        </w:rPr>
      </w:pPr>
      <w:r>
        <w:rPr>
          <w:rFonts w:ascii="Univia Pro Book" w:hAnsi="Univia Pro Book"/>
          <w:b/>
          <w:bCs/>
        </w:rPr>
        <w:t xml:space="preserve">4.3 </w:t>
      </w:r>
      <w:r>
        <w:rPr>
          <w:rFonts w:ascii="Univia Pro Book" w:hAnsi="Univia Pro Book"/>
        </w:rPr>
        <w:t>A balança deve ser devidamente aferida, e seu laudo deve ser apresentado sempre que solicitado pela Administração.</w:t>
      </w:r>
    </w:p>
    <w:p>
      <w:pPr>
        <w:pStyle w:val="ListParagraph"/>
        <w:spacing w:lineRule="auto" w:line="360"/>
        <w:ind w:hanging="0" w:left="0"/>
        <w:jc w:val="both"/>
        <w:rPr>
          <w:rFonts w:ascii="Univia Pro Book" w:hAnsi="Univia Pro Book"/>
          <w:sz w:val="20"/>
          <w:szCs w:val="20"/>
        </w:rPr>
      </w:pPr>
      <w:r>
        <w:rPr>
          <w:rFonts w:ascii="Univia Pro Book" w:hAnsi="Univia Pro Book"/>
          <w:b/>
          <w:bCs/>
          <w:sz w:val="20"/>
          <w:szCs w:val="20"/>
        </w:rPr>
        <w:t xml:space="preserve">4.4 </w:t>
      </w:r>
      <w:r>
        <w:rPr>
          <w:rFonts w:ascii="Univia Pro Book" w:hAnsi="Univia Pro Book"/>
          <w:sz w:val="20"/>
          <w:szCs w:val="20"/>
        </w:rPr>
        <w:t>A CONTRATADA deverá apresentar diariamente os equipamentos objeto da presente prestação de serviços devidamente abastecidos e com as manutenções rotineiras já efetuadas;</w:t>
      </w:r>
    </w:p>
    <w:p>
      <w:pPr>
        <w:pStyle w:val="Normal"/>
        <w:spacing w:lineRule="auto" w:line="360"/>
        <w:jc w:val="both"/>
        <w:rPr>
          <w:rFonts w:ascii="Univia Pro Book" w:hAnsi="Univia Pro Book"/>
        </w:rPr>
      </w:pPr>
      <w:r>
        <w:rPr>
          <w:rFonts w:ascii="Univia Pro Book" w:hAnsi="Univia Pro Book"/>
        </w:rPr>
      </w:r>
    </w:p>
    <w:p>
      <w:pPr>
        <w:pStyle w:val="ListParagraph"/>
        <w:spacing w:lineRule="auto" w:line="360"/>
        <w:ind w:hanging="0" w:left="0"/>
        <w:jc w:val="both"/>
        <w:rPr>
          <w:rFonts w:ascii="Univia Pro Book" w:hAnsi="Univia Pro Book"/>
          <w:b/>
          <w:bCs/>
          <w:sz w:val="20"/>
          <w:szCs w:val="20"/>
        </w:rPr>
      </w:pPr>
      <w:r>
        <w:rPr>
          <w:rFonts w:ascii="Univia Pro Book" w:hAnsi="Univia Pro Book"/>
          <w:b/>
          <w:bCs/>
          <w:sz w:val="20"/>
          <w:szCs w:val="20"/>
        </w:rPr>
        <w:t>5. EQUIPE</w:t>
      </w:r>
    </w:p>
    <w:p>
      <w:pPr>
        <w:pStyle w:val="ListParagraph"/>
        <w:spacing w:lineRule="auto" w:line="360"/>
        <w:ind w:hanging="0" w:left="0"/>
        <w:jc w:val="both"/>
        <w:rPr>
          <w:rFonts w:ascii="Univia Pro Book" w:hAnsi="Univia Pro Book"/>
          <w:sz w:val="20"/>
          <w:szCs w:val="20"/>
        </w:rPr>
      </w:pPr>
      <w:r>
        <w:rPr>
          <w:rFonts w:ascii="Univia Pro Book" w:hAnsi="Univia Pro Book"/>
          <w:b/>
          <w:bCs/>
          <w:sz w:val="20"/>
          <w:szCs w:val="20"/>
        </w:rPr>
        <w:t xml:space="preserve">5.1 </w:t>
      </w:r>
      <w:r>
        <w:rPr>
          <w:rFonts w:ascii="Univia Pro Book" w:hAnsi="Univia Pro Book"/>
          <w:sz w:val="20"/>
          <w:szCs w:val="20"/>
        </w:rPr>
        <w:t xml:space="preserve">Competirá a proponente a admissão de mão de obra em quantidade suficiente ao desempenho dos serviços aqui descritos, que deverão ter suas eventuais faltas supridas por mão de obra equivalente, correndo por sua conta também os encargos necessários e demais exigências das leis trabalhistas, previdenciárias, fiscais, comerciais, e outras de qualquer natureza, bem como indenização de acidente de trabalho de qualquer natureza, respondendo a proponente pelos danos causados por seus empregados, auxiliares; </w:t>
      </w:r>
    </w:p>
    <w:p>
      <w:pPr>
        <w:pStyle w:val="ListParagraph"/>
        <w:spacing w:lineRule="auto" w:line="360"/>
        <w:ind w:hanging="0" w:left="0"/>
        <w:jc w:val="both"/>
        <w:rPr>
          <w:rFonts w:ascii="Univia Pro Book" w:hAnsi="Univia Pro Book"/>
          <w:sz w:val="20"/>
          <w:szCs w:val="20"/>
        </w:rPr>
      </w:pPr>
      <w:r>
        <w:rPr>
          <w:rFonts w:ascii="Univia Pro Book" w:hAnsi="Univia Pro Book"/>
          <w:b/>
          <w:bCs/>
          <w:sz w:val="20"/>
          <w:szCs w:val="20"/>
        </w:rPr>
        <w:t>5.2</w:t>
      </w:r>
      <w:r>
        <w:rPr>
          <w:rFonts w:ascii="Univia Pro Book" w:hAnsi="Univia Pro Book"/>
          <w:sz w:val="20"/>
          <w:szCs w:val="20"/>
        </w:rPr>
        <w:t xml:space="preserve"> Os funcionários admitidos deverão possuir capacidade e qualificação para executar os serviços aqui especificados; </w:t>
      </w:r>
    </w:p>
    <w:p>
      <w:pPr>
        <w:pStyle w:val="ListParagraph"/>
        <w:spacing w:lineRule="auto" w:line="360"/>
        <w:ind w:hanging="0" w:left="0"/>
        <w:jc w:val="both"/>
        <w:rPr>
          <w:rFonts w:ascii="Univia Pro Book" w:hAnsi="Univia Pro Book"/>
          <w:sz w:val="20"/>
          <w:szCs w:val="20"/>
        </w:rPr>
      </w:pPr>
      <w:r>
        <w:rPr>
          <w:rFonts w:ascii="Univia Pro Book" w:hAnsi="Univia Pro Book"/>
          <w:b/>
          <w:bCs/>
          <w:sz w:val="20"/>
          <w:szCs w:val="20"/>
        </w:rPr>
        <w:t>5.3</w:t>
      </w:r>
      <w:r>
        <w:rPr>
          <w:rFonts w:ascii="Univia Pro Book" w:hAnsi="Univia Pro Book"/>
          <w:sz w:val="20"/>
          <w:szCs w:val="20"/>
        </w:rPr>
        <w:t xml:space="preserve"> A CONTRATADA terá o prazo máximo de 15 (quinze) dias, a contar da data da assinatura do contrato, para apresentar seus funcionários devidamente uniformizados e com equipamentos de proteção individual necessários para a execução de cada serviço;</w:t>
      </w:r>
    </w:p>
    <w:p>
      <w:pPr>
        <w:pStyle w:val="ListParagraph"/>
        <w:spacing w:lineRule="auto" w:line="360"/>
        <w:ind w:hanging="0" w:left="0"/>
        <w:jc w:val="both"/>
        <w:rPr>
          <w:rFonts w:ascii="Univia Pro Book" w:hAnsi="Univia Pro Book"/>
          <w:sz w:val="20"/>
          <w:szCs w:val="20"/>
        </w:rPr>
      </w:pPr>
      <w:r>
        <w:rPr>
          <w:rFonts w:ascii="Univia Pro Book" w:hAnsi="Univia Pro Book"/>
          <w:b/>
          <w:bCs/>
          <w:sz w:val="20"/>
          <w:szCs w:val="20"/>
        </w:rPr>
        <w:t>5.4</w:t>
      </w:r>
      <w:r>
        <w:rPr>
          <w:rFonts w:ascii="Univia Pro Book" w:hAnsi="Univia Pro Book"/>
          <w:sz w:val="20"/>
          <w:szCs w:val="20"/>
        </w:rPr>
        <w:t xml:space="preserve"> A CONTRATADA deverá implantar e manter PPRA (Programa de Prevenção de Riscos Ambientais) e PCMSO (Programa de controle Médico e Saúde ocupacional) para seus empregados;</w:t>
      </w:r>
    </w:p>
    <w:p>
      <w:pPr>
        <w:pStyle w:val="ListParagraph"/>
        <w:spacing w:lineRule="auto" w:line="360"/>
        <w:ind w:hanging="0" w:left="0"/>
        <w:jc w:val="both"/>
        <w:rPr>
          <w:rFonts w:ascii="Univia Pro Book" w:hAnsi="Univia Pro Book"/>
          <w:sz w:val="20"/>
          <w:szCs w:val="20"/>
        </w:rPr>
      </w:pPr>
      <w:r>
        <w:rPr>
          <w:rFonts w:ascii="Univia Pro Book" w:hAnsi="Univia Pro Book"/>
          <w:b/>
          <w:bCs/>
          <w:sz w:val="20"/>
          <w:szCs w:val="20"/>
        </w:rPr>
        <w:t>5.5</w:t>
      </w:r>
      <w:r>
        <w:rPr>
          <w:rFonts w:ascii="Univia Pro Book" w:hAnsi="Univia Pro Book"/>
          <w:sz w:val="20"/>
          <w:szCs w:val="20"/>
        </w:rPr>
        <w:t xml:space="preserve"> Os funcionários da CONTRATADA deverão se apresentar devidamente equipados para as atividades que irão desenvolver, uniformizados, com os equipamentos de proteção (EPI) e crachá de identificação, sendo estes às expensas da CONTRATADA; </w:t>
      </w:r>
    </w:p>
    <w:p>
      <w:pPr>
        <w:pStyle w:val="ListParagraph"/>
        <w:spacing w:lineRule="auto" w:line="360"/>
        <w:ind w:hanging="0" w:left="0"/>
        <w:jc w:val="both"/>
        <w:rPr>
          <w:rFonts w:ascii="Univia Pro Book" w:hAnsi="Univia Pro Book"/>
          <w:sz w:val="20"/>
          <w:szCs w:val="20"/>
        </w:rPr>
      </w:pPr>
      <w:r>
        <w:rPr>
          <w:rFonts w:ascii="Univia Pro Book" w:hAnsi="Univia Pro Book"/>
          <w:b/>
          <w:bCs/>
          <w:sz w:val="20"/>
          <w:szCs w:val="20"/>
        </w:rPr>
        <w:t xml:space="preserve">5.6 </w:t>
      </w:r>
      <w:r>
        <w:rPr>
          <w:rFonts w:ascii="Univia Pro Book" w:hAnsi="Univia Pro Book"/>
          <w:sz w:val="20"/>
          <w:szCs w:val="20"/>
        </w:rPr>
        <w:t xml:space="preserve">Todos os equipamentos, materiais, insumos, combustíveis, lubrificantes, pneus, peças e acessórios, manutenção e conserto, assim como os gastos com pessoal e os respectivos salários, encargos sociais, trabalhistas, previdenciários e fiscais e quaisquer outro fato que se fizer necessário para a execução do contrato serão de responsabilidade exclusiva da CONTRATADA. </w:t>
      </w:r>
    </w:p>
    <w:p>
      <w:pPr>
        <w:pStyle w:val="Normal"/>
        <w:suppressAutoHyphens w:val="false"/>
        <w:spacing w:lineRule="auto" w:line="360"/>
        <w:rPr>
          <w:rFonts w:ascii="Univia Pro Book" w:hAnsi="Univia Pro Book"/>
          <w:b/>
          <w:bCs/>
        </w:rPr>
      </w:pPr>
      <w:r>
        <w:rPr>
          <w:rFonts w:ascii="Univia Pro Book" w:hAnsi="Univia Pro Book"/>
          <w:b/>
          <w:bCs/>
        </w:rPr>
      </w:r>
    </w:p>
    <w:p>
      <w:pPr>
        <w:pStyle w:val="Normal"/>
        <w:suppressAutoHyphens w:val="false"/>
        <w:spacing w:lineRule="auto" w:line="360"/>
        <w:rPr>
          <w:rFonts w:ascii="Univia Pro Book" w:hAnsi="Univia Pro Book"/>
          <w:b/>
          <w:bCs/>
        </w:rPr>
      </w:pPr>
      <w:r>
        <w:rPr>
          <w:rFonts w:ascii="Univia Pro Book" w:hAnsi="Univia Pro Book"/>
          <w:b/>
          <w:bCs/>
        </w:rPr>
        <w:t>6.</w:t>
      </w:r>
      <w:r>
        <w:rPr>
          <w:rFonts w:ascii="Univia Pro Book" w:hAnsi="Univia Pro Book"/>
        </w:rPr>
        <w:t xml:space="preserve"> </w:t>
      </w:r>
      <w:r>
        <w:rPr>
          <w:rFonts w:ascii="Univia Pro Book" w:hAnsi="Univia Pro Book"/>
          <w:b/>
          <w:bCs/>
        </w:rPr>
        <w:t>QUANTIDADE</w:t>
      </w:r>
    </w:p>
    <w:p>
      <w:pPr>
        <w:pStyle w:val="Normal"/>
        <w:suppressAutoHyphens w:val="false"/>
        <w:spacing w:lineRule="auto" w:line="360"/>
        <w:jc w:val="both"/>
        <w:rPr>
          <w:rFonts w:ascii="Univia Pro Book" w:hAnsi="Univia Pro Book"/>
        </w:rPr>
      </w:pPr>
      <w:r>
        <w:rPr>
          <w:rFonts w:ascii="Univia Pro Book" w:hAnsi="Univia Pro Book"/>
          <w:b/>
          <w:bCs/>
        </w:rPr>
        <w:t xml:space="preserve">6.1 </w:t>
      </w:r>
      <w:r>
        <w:rPr>
          <w:rFonts w:ascii="Univia Pro Book" w:hAnsi="Univia Pro Book"/>
        </w:rPr>
        <w:t>A quantidade estimada dos resíduos provenientes dos Ecopontos e “Setor de Resíduos”, é de até 24.000 (vinte e quatro mil) toneladas por 180 dias.</w:t>
      </w:r>
    </w:p>
    <w:p>
      <w:pPr>
        <w:pStyle w:val="Normal"/>
        <w:suppressAutoHyphens w:val="false"/>
        <w:spacing w:lineRule="auto" w:line="360"/>
        <w:jc w:val="both"/>
        <w:rPr>
          <w:rFonts w:ascii="Univia Pro Book" w:hAnsi="Univia Pro Book"/>
        </w:rPr>
      </w:pPr>
      <w:r>
        <w:rPr>
          <w:rFonts w:ascii="Univia Pro Book" w:hAnsi="Univia Pro Book"/>
          <w:b/>
          <w:bCs/>
        </w:rPr>
        <w:t>6.2</w:t>
      </w:r>
      <w:r>
        <w:rPr>
          <w:rFonts w:ascii="Univia Pro Book" w:hAnsi="Univia Pro Book"/>
        </w:rPr>
        <w:t xml:space="preserve"> O pagamento será realizado através de medições mensais.</w:t>
      </w:r>
    </w:p>
    <w:p>
      <w:pPr>
        <w:pStyle w:val="Normal"/>
        <w:suppressAutoHyphens w:val="false"/>
        <w:spacing w:lineRule="auto" w:line="360"/>
        <w:jc w:val="both"/>
        <w:rPr>
          <w:rFonts w:ascii="Univia Pro Book" w:hAnsi="Univia Pro Book"/>
          <w:highlight w:val="yellow"/>
        </w:rPr>
      </w:pPr>
      <w:r>
        <w:rPr>
          <w:rFonts w:ascii="Univia Pro Book" w:hAnsi="Univia Pro Book"/>
          <w:highlight w:val="yellow"/>
        </w:rPr>
      </w:r>
    </w:p>
    <w:p>
      <w:pPr>
        <w:pStyle w:val="Normal"/>
        <w:tabs>
          <w:tab w:val="clear" w:pos="709"/>
          <w:tab w:val="left" w:pos="2839" w:leader="none"/>
        </w:tabs>
        <w:spacing w:lineRule="auto" w:line="360"/>
        <w:rPr>
          <w:rFonts w:ascii="Univia Pro Book" w:hAnsi="Univia Pro Book" w:cs="Arial"/>
          <w:b/>
          <w:bCs/>
          <w:sz w:val="22"/>
          <w:szCs w:val="22"/>
        </w:rPr>
      </w:pPr>
      <w:r>
        <w:rPr>
          <w:rFonts w:cs="Arial" w:ascii="Univia Pro Book" w:hAnsi="Univia Pro Book"/>
          <w:b/>
          <w:bCs/>
          <w:sz w:val="22"/>
          <w:szCs w:val="22"/>
        </w:rPr>
        <w:tab/>
      </w:r>
      <w:r>
        <w:br w:type="page"/>
      </w:r>
    </w:p>
    <w:p>
      <w:pPr>
        <w:pStyle w:val="Heading2"/>
        <w:numPr>
          <w:ilvl w:val="1"/>
          <w:numId w:val="1"/>
        </w:numPr>
        <w:spacing w:before="0" w:after="0"/>
        <w:ind w:hanging="0" w:left="0"/>
        <w:rPr/>
      </w:pPr>
      <w:r>
        <w:rPr/>
        <w:t>REGULAMENTO GERAL</w:t>
      </w:r>
    </w:p>
    <w:p>
      <w:pPr>
        <w:pStyle w:val="Heading2"/>
        <w:numPr>
          <w:ilvl w:val="0"/>
          <w:numId w:val="0"/>
        </w:numPr>
        <w:tabs>
          <w:tab w:val="clear" w:pos="709"/>
          <w:tab w:val="left" w:pos="708" w:leader="none"/>
          <w:tab w:val="left" w:pos="851" w:leader="none"/>
        </w:tabs>
        <w:ind w:hanging="0" w:left="0"/>
        <w:rPr>
          <w:b w:val="false"/>
        </w:rPr>
      </w:pPr>
      <w:r>
        <w:rPr>
          <w:b w:val="false"/>
          <w:lang w:val="pt-BR"/>
        </w:rPr>
        <w:t>DISPENSA ELETRÔNICA</w:t>
      </w:r>
    </w:p>
    <w:p>
      <w:pPr>
        <w:pStyle w:val="Heading2"/>
        <w:numPr>
          <w:ilvl w:val="0"/>
          <w:numId w:val="1"/>
        </w:numPr>
        <w:tabs>
          <w:tab w:val="clear" w:pos="709"/>
          <w:tab w:val="left" w:pos="708" w:leader="none"/>
          <w:tab w:val="left" w:pos="851" w:leader="none"/>
        </w:tabs>
        <w:ind w:hanging="0" w:left="432"/>
        <w:rPr/>
      </w:pPr>
      <w:r>
        <w:rPr/>
      </w:r>
    </w:p>
    <w:p>
      <w:pPr>
        <w:pStyle w:val="Normal"/>
        <w:ind w:firstLine="284" w:right="-1"/>
        <w:jc w:val="both"/>
        <w:rPr>
          <w:rFonts w:ascii="Arial" w:hAnsi="Arial" w:cs="Arial"/>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1. REFERÊNCIA DE TEMPO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Heading3"/>
        <w:numPr>
          <w:ilvl w:val="2"/>
          <w:numId w:val="1"/>
        </w:numPr>
        <w:tabs>
          <w:tab w:val="clear" w:pos="709"/>
        </w:tabs>
        <w:ind w:firstLine="284" w:left="0" w:right="-1"/>
        <w:jc w:val="both"/>
        <w:rPr>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2. CONDIÇÕES PARA PARTICIPAÇÃO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7">
        <w:r>
          <w:rPr>
            <w:rStyle w:val="ListLabel408"/>
            <w:rFonts w:cs="Arial" w:ascii="Arial" w:hAnsi="Arial"/>
            <w:color w:val="0000FF"/>
            <w:u w:val="single"/>
          </w:rPr>
          <w:t>https://bnccompras.com</w:t>
        </w:r>
      </w:hyperlink>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Heading9"/>
        <w:numPr>
          <w:ilvl w:val="8"/>
          <w:numId w:val="1"/>
        </w:numPr>
        <w:tabs>
          <w:tab w:val="clear" w:pos="709"/>
        </w:tabs>
        <w:ind w:firstLine="284" w:left="0" w:right="-1"/>
        <w:rPr>
          <w:b w:val="false"/>
          <w:i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Standard"/>
        <w:numPr>
          <w:ilvl w:val="0"/>
          <w:numId w:val="1"/>
        </w:numPr>
        <w:tabs>
          <w:tab w:val="clear" w:pos="709"/>
        </w:tabs>
        <w:ind w:firstLine="284" w:left="0" w:right="-1"/>
        <w:jc w:val="both"/>
        <w:rPr>
          <w:rFonts w:ascii="Arial" w:hAnsi="Arial" w:cs="Arial"/>
        </w:rPr>
      </w:pPr>
      <w:r>
        <w:rPr>
          <w:rFonts w:cs="Arial" w:ascii="Arial" w:hAnsi="Arial"/>
          <w:b/>
          <w:sz w:val="20"/>
          <w:szCs w:val="20"/>
        </w:rPr>
        <w:t>2.3.1.</w:t>
      </w:r>
      <w:r>
        <w:rPr>
          <w:rFonts w:cs="Arial" w:ascii="Arial" w:hAnsi="Arial"/>
        </w:rPr>
        <w:t xml:space="preserve"> </w:t>
      </w:r>
      <w:r>
        <w:rPr>
          <w:rFonts w:cs="Arial" w:ascii="Arial" w:hAnsi="Arial"/>
          <w:sz w:val="20"/>
          <w:szCs w:val="20"/>
        </w:rPr>
        <w:t xml:space="preserve">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sz w:val="20"/>
          <w:szCs w:val="20"/>
        </w:rPr>
        <w:t xml:space="preserve">empresas classificadas como microempresas (ME) ou empresas de pequeno porte (EPP), seguindo a ordem de classificação das mesmas, </w:t>
      </w:r>
      <w:r>
        <w:rPr>
          <w:rFonts w:cs="Arial" w:ascii="Arial" w:hAnsi="Arial"/>
          <w:sz w:val="20"/>
          <w:szCs w:val="20"/>
        </w:rPr>
        <w:t>dando preferência à contratação destas, desde que atendar a todas as exigências e condições contidas neste Edital e seus Anexos.</w:t>
      </w:r>
    </w:p>
    <w:p>
      <w:pPr>
        <w:pStyle w:val="Standard"/>
        <w:numPr>
          <w:ilvl w:val="0"/>
          <w:numId w:val="1"/>
        </w:numPr>
        <w:tabs>
          <w:tab w:val="clear" w:pos="709"/>
        </w:tabs>
        <w:ind w:firstLine="284" w:left="0" w:right="-1"/>
        <w:jc w:val="both"/>
        <w:rPr>
          <w:rFonts w:ascii="Arial" w:hAnsi="Arial" w:cs="Arial"/>
          <w:b/>
          <w:sz w:val="20"/>
          <w:szCs w:val="20"/>
        </w:rPr>
      </w:pPr>
      <w:r>
        <w:rPr>
          <w:rFonts w:cs="Arial" w:ascii="Arial" w:hAnsi="Arial"/>
          <w:b/>
          <w:sz w:val="20"/>
          <w:szCs w:val="20"/>
        </w:rPr>
      </w:r>
    </w:p>
    <w:p>
      <w:pPr>
        <w:pStyle w:val="Standard"/>
        <w:ind w:firstLine="284" w:right="-1"/>
        <w:jc w:val="both"/>
        <w:rPr>
          <w:sz w:val="20"/>
          <w:szCs w:val="20"/>
        </w:rPr>
      </w:pPr>
      <w:r>
        <w:rPr>
          <w:rFonts w:cs="Arial" w:ascii="Arial" w:hAnsi="Arial"/>
          <w:b/>
          <w:sz w:val="20"/>
          <w:szCs w:val="20"/>
        </w:rPr>
        <w:t>2.3.1.1.</w:t>
      </w:r>
      <w:r>
        <w:rPr>
          <w:rFonts w:cs="Arial" w:ascii="Arial" w:hAnsi="Arial"/>
          <w:sz w:val="20"/>
          <w:szCs w:val="20"/>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tabs>
          <w:tab w:val="clear" w:pos="709"/>
        </w:tabs>
        <w:ind w:firstLine="284" w:left="0" w:right="-1"/>
        <w:jc w:val="both"/>
        <w:rPr>
          <w:rFonts w:ascii="Arial" w:hAnsi="Arial" w:cs="Arial"/>
          <w:sz w:val="20"/>
          <w:szCs w:val="20"/>
        </w:rPr>
      </w:pPr>
      <w:r>
        <w:rPr>
          <w:rFonts w:cs="Arial" w:ascii="Arial" w:hAnsi="Arial"/>
          <w:sz w:val="20"/>
          <w:szCs w:val="20"/>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caps/>
        </w:rPr>
        <w:t>3. credenciamento NO APLICATIVO LICITAÇÕES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Heading1"/>
        <w:numPr>
          <w:ilvl w:val="0"/>
          <w:numId w:val="1"/>
        </w:numPr>
        <w:tabs>
          <w:tab w:val="clear" w:pos="709"/>
        </w:tabs>
        <w:ind w:firstLine="284" w:left="0" w:right="-1"/>
        <w:jc w:val="both"/>
        <w:rPr>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8">
        <w:r>
          <w:rPr>
            <w:rStyle w:val="ListLabel409"/>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4. ENVIO DAS PROPOSTAS ELETRÔNICAS DE PREÇOS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b/>
        </w:rPr>
      </w:pPr>
      <w:r>
        <w:rPr>
          <w:rFonts w:cs="Arial" w:ascii="Arial" w:hAnsi="Arial"/>
          <w:b/>
        </w:rPr>
        <w:t xml:space="preserve">5. HABILITAÇÃO: </w:t>
      </w:r>
    </w:p>
    <w:p>
      <w:pPr>
        <w:pStyle w:val="Normal"/>
        <w:numPr>
          <w:ilvl w:val="0"/>
          <w:numId w:val="1"/>
        </w:numPr>
        <w:tabs>
          <w:tab w:val="clear" w:pos="709"/>
        </w:tabs>
        <w:ind w:firstLine="284" w:left="0"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w:t>
      </w:r>
      <w:r>
        <w:rPr>
          <w:rFonts w:cs="Arial" w:ascii="Arial" w:hAnsi="Arial"/>
        </w:rPr>
        <w:t xml:space="preserve"> Na </w:t>
      </w:r>
      <w:bookmarkStart w:id="3" w:name="_GoBack"/>
      <w:r>
        <w:rPr>
          <w:rFonts w:cs="Arial" w:ascii="Arial" w:hAnsi="Arial"/>
        </w:rPr>
        <w:t>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5.5.1.</w:t>
      </w:r>
      <w:r>
        <w:rPr>
          <w:rFonts w:cs="Arial" w:ascii="Arial" w:hAnsi="Arial"/>
        </w:rPr>
        <w:t xml:space="preserve"> Neste </w:t>
      </w:r>
      <w:bookmarkEnd w:id="3"/>
      <w:r>
        <w:rPr>
          <w:rFonts w:cs="Arial" w:ascii="Arial" w:hAnsi="Arial"/>
        </w:rPr>
        <w:t>caso a empresa de proposta subsequente terá também  prazo de 6 horas para apresentação dos documentos de habilitação e catálogos/bulas.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tabs>
          <w:tab w:val="clear" w:pos="709"/>
        </w:tabs>
        <w:ind w:firstLine="284" w:left="0" w:right="-1"/>
        <w:jc w:val="both"/>
        <w:rPr>
          <w:rFonts w:ascii="Arial" w:hAnsi="Arial" w:eastAsia="Arial" w:cs="Arial"/>
        </w:rPr>
      </w:pPr>
      <w:r>
        <w:rPr>
          <w:rFonts w:eastAsia="Arial" w:cs="Arial" w:ascii="Arial" w:hAnsi="Arial"/>
        </w:rPr>
        <w:t xml:space="preserve">  </w:t>
      </w:r>
    </w:p>
    <w:p>
      <w:pPr>
        <w:pStyle w:val="BodyTextIndent"/>
        <w:ind w:firstLine="284" w:right="-1"/>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tabs>
          <w:tab w:val="clear" w:pos="709"/>
        </w:tabs>
        <w:ind w:firstLine="284" w:left="0" w:right="-1"/>
        <w:jc w:val="both"/>
        <w:rPr>
          <w:rFonts w:ascii="Arial" w:hAnsi="Arial" w:cs="Arial"/>
          <w:strike/>
        </w:rPr>
      </w:pPr>
      <w:r>
        <w:rPr>
          <w:rFonts w:cs="Arial" w:ascii="Arial" w:hAnsi="Arial"/>
          <w:strike/>
        </w:rPr>
      </w:r>
    </w:p>
    <w:p>
      <w:pPr>
        <w:pStyle w:val="Normal"/>
        <w:ind w:firstLine="284" w:right="-1"/>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rPr>
        <w:t xml:space="preserve"> </w:t>
      </w:r>
    </w:p>
    <w:p>
      <w:pPr>
        <w:pStyle w:val="Normal"/>
        <w:ind w:firstLine="284" w:right="-1"/>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firstLine="284" w:right="-1"/>
        <w:jc w:val="both"/>
        <w:rPr>
          <w:rFonts w:ascii="Arial" w:hAnsi="Arial" w:cs="Arial"/>
          <w:b/>
          <w:highlight w:val="yellow"/>
        </w:rPr>
      </w:pPr>
      <w:r>
        <w:rPr>
          <w:rFonts w:cs="Arial" w:ascii="Arial" w:hAnsi="Arial"/>
          <w:b/>
          <w:highlight w:val="yellow"/>
        </w:rPr>
      </w:r>
    </w:p>
    <w:p>
      <w:pPr>
        <w:pStyle w:val="Normal"/>
        <w:ind w:firstLine="284" w:right="-1"/>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b/>
          <w:bCs/>
        </w:rPr>
      </w:pPr>
      <w:r>
        <w:rPr>
          <w:rFonts w:cs="Arial" w:ascii="Arial" w:hAnsi="Arial"/>
          <w:b/>
          <w:bCs/>
        </w:rPr>
        <w:t xml:space="preserve">7. FASE DE JULGAMENTO </w:t>
      </w:r>
    </w:p>
    <w:p>
      <w:pPr>
        <w:pStyle w:val="Normal"/>
        <w:ind w:firstLine="284"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7.2.</w:t>
      </w:r>
      <w:r>
        <w:rPr>
          <w:rFonts w:cs="Arial" w:ascii="Arial" w:hAnsi="Arial"/>
        </w:rPr>
        <w:t xml:space="preserve"> Será desclassificada a proposta vencedora que:</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firstLine="284"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firstLine="284"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8. DOS PAGAMENTOS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8.1.2.</w:t>
      </w:r>
      <w:r>
        <w:rPr>
          <w:rFonts w:cs="Arial" w:ascii="Arial" w:hAnsi="Arial"/>
        </w:rPr>
        <w:t xml:space="preserve"> E-mail para envio da NF-e: </w:t>
      </w:r>
      <w:hyperlink r:id="rId9">
        <w:r>
          <w:rPr>
            <w:rStyle w:val="Hyperlink"/>
            <w:rFonts w:cs="Arial" w:ascii="Arial" w:hAnsi="Arial"/>
            <w:color w:val="0000FF"/>
          </w:rPr>
          <w:t>notafiscal@piracicaba.sp.gov.br</w:t>
        </w:r>
      </w:hyperlink>
      <w:r>
        <w:rPr>
          <w:rStyle w:val="Hyperlink"/>
          <w:rFonts w:cs="Arial" w:ascii="Arial" w:hAnsi="Arial"/>
          <w:color w:val="0000FF"/>
        </w:rPr>
        <w:t>.</w:t>
      </w:r>
    </w:p>
    <w:p>
      <w:pPr>
        <w:pStyle w:val="Normal"/>
        <w:ind w:hanging="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 SANÇÕES ADMINISTRATIVAS</w:t>
      </w:r>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9.1.1.</w:t>
      </w:r>
      <w:r>
        <w:rPr>
          <w:rFonts w:cs="Arial" w:ascii="Arial" w:hAnsi="Arial"/>
        </w:rPr>
        <w:t xml:space="preserve"> </w:t>
      </w:r>
      <w:bookmarkStart w:id="4" w:name="_Hlk114652595"/>
      <w:bookmarkStart w:id="5" w:name="_Ref114668085"/>
      <w:r>
        <w:rPr>
          <w:rFonts w:cs="Arial" w:ascii="Arial" w:hAnsi="Arial"/>
        </w:rPr>
        <w:t>Deixar de entregar a documentação exigida para o certame ou não entregar qualquer documento que tenha sido solicitado pelo/a pregoeiro/a durante o certame;</w:t>
      </w:r>
      <w:bookmarkEnd w:id="5"/>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6" w:name="_Ref114668108"/>
      <w:bookmarkStart w:id="7" w:name="_Ref114668108"/>
    </w:p>
    <w:p>
      <w:pPr>
        <w:pStyle w:val="Normal"/>
        <w:ind w:firstLine="284" w:right="-1"/>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7"/>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8" w:name="_Ref114668139"/>
      <w:bookmarkStart w:id="9" w:name="_Ref114668139"/>
    </w:p>
    <w:p>
      <w:pPr>
        <w:pStyle w:val="Normal"/>
        <w:ind w:firstLine="284" w:right="-1"/>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9"/>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10" w:name="_Ref114668249"/>
      <w:bookmarkStart w:id="11" w:name="_Ref114668249"/>
    </w:p>
    <w:p>
      <w:pPr>
        <w:pStyle w:val="Normal"/>
        <w:numPr>
          <w:ilvl w:val="0"/>
          <w:numId w:val="1"/>
        </w:numPr>
        <w:tabs>
          <w:tab w:val="clear" w:pos="709"/>
        </w:tabs>
        <w:ind w:firstLine="284" w:left="0" w:right="-1"/>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11"/>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12" w:name="_Ref114668245"/>
      <w:bookmarkStart w:id="13" w:name="_Ref114668245"/>
    </w:p>
    <w:p>
      <w:pPr>
        <w:pStyle w:val="Normal"/>
        <w:numPr>
          <w:ilvl w:val="0"/>
          <w:numId w:val="1"/>
        </w:numPr>
        <w:tabs>
          <w:tab w:val="clear" w:pos="709"/>
        </w:tabs>
        <w:ind w:firstLine="284" w:left="0" w:right="-1"/>
        <w:jc w:val="both"/>
        <w:rPr>
          <w:rFonts w:ascii="Arial" w:hAnsi="Arial" w:cs="Arial"/>
        </w:rPr>
      </w:pPr>
      <w:r>
        <w:rPr>
          <w:rFonts w:cs="Arial" w:ascii="Arial" w:hAnsi="Arial"/>
          <w:b/>
          <w:bCs/>
        </w:rPr>
        <w:t>9.1.5.</w:t>
      </w:r>
      <w:r>
        <w:rPr>
          <w:rFonts w:cs="Arial" w:ascii="Arial" w:hAnsi="Arial"/>
        </w:rPr>
        <w:t xml:space="preserve"> Fraudar a licitação</w:t>
      </w:r>
      <w:bookmarkEnd w:id="13"/>
      <w:r>
        <w:rPr>
          <w:rFonts w:cs="Arial" w:ascii="Arial" w:hAnsi="Arial"/>
        </w:rPr>
        <w:t>;</w:t>
      </w:r>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14" w:name="_Ref114668247"/>
      <w:bookmarkStart w:id="15" w:name="_Ref114668247"/>
    </w:p>
    <w:p>
      <w:pPr>
        <w:pStyle w:val="Normal"/>
        <w:numPr>
          <w:ilvl w:val="0"/>
          <w:numId w:val="1"/>
        </w:numPr>
        <w:tabs>
          <w:tab w:val="clear" w:pos="709"/>
        </w:tabs>
        <w:ind w:firstLine="284" w:left="0" w:right="-1"/>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5"/>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tabs>
          <w:tab w:val="clear" w:pos="709"/>
        </w:tabs>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16" w:name="_Ref114668251"/>
      <w:bookmarkStart w:id="17" w:name="_Ref114668251"/>
    </w:p>
    <w:p>
      <w:pPr>
        <w:pStyle w:val="Normal"/>
        <w:numPr>
          <w:ilvl w:val="0"/>
          <w:numId w:val="1"/>
        </w:numPr>
        <w:tabs>
          <w:tab w:val="clear" w:pos="709"/>
        </w:tabs>
        <w:ind w:firstLine="284" w:left="0" w:right="-1"/>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7"/>
      <w:r>
        <w:rPr>
          <w:rFonts w:cs="Arial" w:ascii="Arial" w:hAnsi="Arial"/>
        </w:rPr>
        <w:t>;</w:t>
      </w:r>
    </w:p>
    <w:p>
      <w:pPr>
        <w:pStyle w:val="Normal"/>
        <w:numPr>
          <w:ilvl w:val="0"/>
          <w:numId w:val="1"/>
        </w:numPr>
        <w:tabs>
          <w:tab w:val="clear" w:pos="709"/>
        </w:tabs>
        <w:ind w:firstLine="284" w:left="0" w:right="-1"/>
        <w:jc w:val="both"/>
        <w:rPr>
          <w:rFonts w:ascii="Arial" w:hAnsi="Arial" w:cs="Arial"/>
        </w:rPr>
      </w:pPr>
      <w:r>
        <w:rPr>
          <w:rFonts w:cs="Arial" w:ascii="Arial" w:hAnsi="Arial"/>
        </w:rPr>
      </w:r>
      <w:bookmarkStart w:id="18" w:name="_Ref114668252"/>
      <w:bookmarkStart w:id="19" w:name="_Ref114668252"/>
    </w:p>
    <w:p>
      <w:pPr>
        <w:pStyle w:val="Normal"/>
        <w:numPr>
          <w:ilvl w:val="0"/>
          <w:numId w:val="1"/>
        </w:numPr>
        <w:tabs>
          <w:tab w:val="clear" w:pos="709"/>
        </w:tabs>
        <w:ind w:firstLine="284" w:left="0" w:right="-1"/>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Style w:val="ListLabel411"/>
          <w:rFonts w:cs="Arial" w:ascii="Arial" w:hAnsi="Arial"/>
        </w:rPr>
        <w:instrText xml:space="preserve"> HYPERLINK "https://www.planalto.gov.br/ccivil_03/_ato2011-2014/2013/lei/l12846.htm" \l "art5"</w:instrText>
      </w:r>
      <w:r>
        <w:rPr>
          <w:rStyle w:val="ListLabel411"/>
          <w:rFonts w:cs="Arial" w:ascii="Arial" w:hAnsi="Arial"/>
        </w:rPr>
        <w:fldChar w:fldCharType="separate"/>
      </w:r>
      <w:r>
        <w:rPr>
          <w:rStyle w:val="ListLabel411"/>
          <w:rFonts w:cs="Arial" w:ascii="Arial" w:hAnsi="Arial"/>
        </w:rPr>
        <w:t>art. 5º da Lei n.º 12.846, de 2013</w:t>
      </w:r>
      <w:r>
        <w:rPr>
          <w:rStyle w:val="ListLabel411"/>
          <w:rFonts w:cs="Arial" w:ascii="Arial" w:hAnsi="Arial"/>
        </w:rPr>
        <w:fldChar w:fldCharType="end"/>
      </w:r>
      <w:r>
        <w:rPr>
          <w:rFonts w:cs="Arial" w:ascii="Arial" w:hAnsi="Arial"/>
        </w:rPr>
        <w:t>.</w:t>
      </w:r>
      <w:bookmarkEnd w:id="4"/>
      <w:bookmarkEnd w:id="19"/>
    </w:p>
    <w:p>
      <w:pPr>
        <w:pStyle w:val="Normal"/>
        <w:numPr>
          <w:ilvl w:val="0"/>
          <w:numId w:val="1"/>
        </w:numPr>
        <w:tabs>
          <w:tab w:val="clear" w:pos="709"/>
        </w:tabs>
        <w:ind w:firstLine="284" w:left="0" w:right="-1"/>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tabs>
          <w:tab w:val="clear" w:pos="709"/>
        </w:tabs>
        <w:ind w:firstLine="284" w:left="0" w:right="-1"/>
        <w:jc w:val="both"/>
        <w:rPr>
          <w:rFonts w:ascii="Arial" w:hAnsi="Arial" w:cs="Arial"/>
          <w:b/>
        </w:rPr>
      </w:pPr>
      <w:r>
        <w:rPr>
          <w:rFonts w:cs="Arial" w:ascii="Arial" w:hAnsi="Arial"/>
          <w:b/>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Normal"/>
        <w:numPr>
          <w:ilvl w:val="0"/>
          <w:numId w:val="1"/>
        </w:numPr>
        <w:tabs>
          <w:tab w:val="clear" w:pos="709"/>
        </w:tabs>
        <w:ind w:firstLine="284" w:left="0" w:right="-1"/>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tabs>
          <w:tab w:val="clear" w:pos="709"/>
        </w:tabs>
        <w:ind w:firstLine="284" w:left="0" w:right="-1"/>
        <w:jc w:val="both"/>
        <w:rPr>
          <w:rFonts w:ascii="Arial" w:hAnsi="Arial" w:cs="Arial"/>
        </w:rPr>
      </w:pPr>
      <w:r>
        <w:rPr>
          <w:rFonts w:cs="Arial" w:ascii="Arial" w:hAnsi="Arial"/>
        </w:rPr>
      </w:r>
    </w:p>
    <w:p>
      <w:pPr>
        <w:pStyle w:val="Heading1"/>
        <w:numPr>
          <w:ilvl w:val="0"/>
          <w:numId w:val="0"/>
        </w:numPr>
        <w:ind w:firstLine="284" w:left="0" w:right="-1"/>
        <w:jc w:val="both"/>
        <w:rPr>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10">
        <w:r>
          <w:rPr>
            <w:rStyle w:val="ListLabel409"/>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r>
    </w:p>
    <w:p>
      <w:pPr>
        <w:pStyle w:val="Normal"/>
        <w:numPr>
          <w:ilvl w:val="0"/>
          <w:numId w:val="1"/>
        </w:numPr>
        <w:tabs>
          <w:tab w:val="clear" w:pos="709"/>
        </w:tabs>
        <w:ind w:firstLine="284" w:left="0" w:right="-1"/>
        <w:jc w:val="both"/>
        <w:rPr>
          <w:rFonts w:ascii="Arial" w:hAnsi="Arial" w:cs="Arial"/>
          <w:b/>
          <w:bCs/>
        </w:rPr>
      </w:pPr>
      <w:r>
        <w:rPr>
          <w:rFonts w:cs="Arial" w:ascii="Arial" w:hAnsi="Arial"/>
          <w:b/>
          <w:bCs/>
        </w:rPr>
        <w:t>9.3. A aplicação das sanções previstas neste edital não exclui, em hipótese alguma, a obrigação de reparação integral dos danos causados.</w:t>
      </w:r>
    </w:p>
    <w:p>
      <w:pPr>
        <w:pStyle w:val="BodyTextIndent"/>
        <w:widowControl w:val="false"/>
        <w:overflowPunct w:val="true"/>
        <w:spacing w:lineRule="auto" w:line="240"/>
        <w:jc w:val="center"/>
        <w:textAlignment w:val="auto"/>
        <w:rPr>
          <w:b/>
          <w:bCs/>
          <w:color w:val="auto"/>
          <w:sz w:val="20"/>
          <w:szCs w:val="20"/>
          <w:lang w:val="pt-BR"/>
        </w:rPr>
      </w:pPr>
      <w:r>
        <w:rPr>
          <w:b/>
          <w:bCs/>
          <w:color w:val="auto"/>
          <w:sz w:val="20"/>
          <w:szCs w:val="20"/>
        </w:rPr>
        <w:t>ANEXO I</w:t>
      </w:r>
    </w:p>
    <w:p>
      <w:pPr>
        <w:pStyle w:val="Normal"/>
        <w:jc w:val="center"/>
        <w:rPr>
          <w:rFonts w:ascii="Arial" w:hAnsi="Arial" w:cs="Arial"/>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3"/>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3"/>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3"/>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3"/>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3"/>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3"/>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3"/>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hanging="0" w:left="72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BodyTextIndent"/>
        <w:widowControl w:val="false"/>
        <w:overflowPunct w:val="true"/>
        <w:spacing w:lineRule="auto" w:line="240" w:before="0" w:after="0"/>
        <w:jc w:val="center"/>
        <w:textAlignment w:val="auto"/>
        <w:rPr>
          <w:b/>
          <w:bCs/>
          <w:color w:val="auto"/>
          <w:sz w:val="20"/>
          <w:szCs w:val="20"/>
          <w:lang w:val="pt-BR"/>
        </w:rPr>
      </w:pPr>
      <w:r>
        <w:rPr>
          <w:b/>
          <w:bCs/>
          <w:color w:val="auto"/>
          <w:sz w:val="20"/>
          <w:szCs w:val="20"/>
        </w:rPr>
        <w:t>ANEXO II</w:t>
      </w:r>
    </w:p>
    <w:p>
      <w:pPr>
        <w:pStyle w:val="Normal"/>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BodyTextIndent"/>
        <w:widowControl w:val="false"/>
        <w:overflowPunct w:val="true"/>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Cs/>
        </w:rPr>
      </w:pPr>
      <w:r>
        <w:rPr>
          <w:rFonts w:cs="Arial" w:ascii="Arial" w:hAnsi="Arial"/>
        </w:rPr>
        <w:t>====================================================================================</w:t>
      </w:r>
    </w:p>
    <w:p>
      <w:pPr>
        <w:pStyle w:val="Normal"/>
        <w:jc w:val="center"/>
        <w:rPr>
          <w:rFonts w:ascii="Arial" w:hAnsi="Arial" w:cs="Arial"/>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Cs/>
        </w:rPr>
      </w:pPr>
      <w:r>
        <w:rPr>
          <w:rFonts w:cs="Arial" w:ascii="Arial" w:hAnsi="Arial"/>
        </w:rPr>
        <w:t>====================================================================================</w:t>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rPr>
          <w:color w:val="auto"/>
          <w:sz w:val="20"/>
          <w:szCs w:val="20"/>
        </w:rPr>
      </w:pPr>
      <w:r>
        <w:rPr>
          <w:color w:val="auto"/>
          <w:sz w:val="20"/>
          <w:szCs w:val="20"/>
        </w:rPr>
      </w:r>
    </w:p>
    <w:p>
      <w:pPr>
        <w:pStyle w:val="BodyTextIndent"/>
        <w:widowControl w:val="false"/>
        <w:overflowPunct w:val="true"/>
        <w:spacing w:lineRule="auto" w:line="240"/>
        <w:textAlignment w:val="auto"/>
        <w:rPr>
          <w:color w:val="auto"/>
          <w:sz w:val="20"/>
          <w:szCs w:val="20"/>
        </w:rPr>
      </w:pPr>
      <w:r>
        <w:rPr>
          <w:color w:val="auto"/>
          <w:sz w:val="20"/>
          <w:szCs w:val="20"/>
        </w:rPr>
      </w:r>
    </w:p>
    <w:p>
      <w:pPr>
        <w:pStyle w:val="BodyTextIndent"/>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48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5"/>
        <w:gridCol w:w="1232"/>
        <w:gridCol w:w="942"/>
        <w:gridCol w:w="3740"/>
        <w:gridCol w:w="1470"/>
        <w:gridCol w:w="1530"/>
      </w:tblGrid>
      <w:tr>
        <w:trPr>
          <w:trHeight w:val="283" w:hRule="atLeast"/>
        </w:trPr>
        <w:tc>
          <w:tcPr>
            <w:tcW w:w="565"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spacing w:before="240" w:after="0"/>
              <w:jc w:val="center"/>
              <w:rPr>
                <w:sz w:val="20"/>
                <w:szCs w:val="20"/>
              </w:rPr>
            </w:pPr>
            <w:r>
              <w:rPr>
                <w:rFonts w:cs="Arial"/>
                <w:b/>
                <w:sz w:val="20"/>
                <w:szCs w:val="20"/>
              </w:rPr>
              <w:t>Item</w:t>
            </w:r>
          </w:p>
        </w:tc>
        <w:tc>
          <w:tcPr>
            <w:tcW w:w="1232"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sz w:val="20"/>
                <w:szCs w:val="20"/>
              </w:rPr>
            </w:pPr>
            <w:r>
              <w:rPr>
                <w:rFonts w:cs="Arial" w:ascii="Arial" w:hAnsi="Arial"/>
                <w:b/>
                <w:bCs/>
                <w:sz w:val="20"/>
                <w:szCs w:val="20"/>
              </w:rPr>
              <w:t>Quantidade</w:t>
            </w:r>
          </w:p>
          <w:p>
            <w:pPr>
              <w:pStyle w:val="Normal"/>
              <w:widowControl w:val="false"/>
              <w:jc w:val="center"/>
              <w:rPr>
                <w:rFonts w:ascii="Arial" w:hAnsi="Arial"/>
                <w:sz w:val="20"/>
                <w:szCs w:val="20"/>
              </w:rPr>
            </w:pPr>
            <w:r>
              <w:rPr>
                <w:rFonts w:cs="Arial" w:ascii="Arial" w:hAnsi="Arial"/>
                <w:b/>
                <w:bCs/>
                <w:sz w:val="20"/>
                <w:szCs w:val="20"/>
              </w:rPr>
              <w:t>Mensal</w:t>
            </w:r>
          </w:p>
        </w:tc>
        <w:tc>
          <w:tcPr>
            <w:tcW w:w="942"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sz w:val="20"/>
                <w:szCs w:val="20"/>
              </w:rPr>
            </w:pPr>
            <w:r>
              <w:rPr>
                <w:rFonts w:cs="Arial" w:ascii="Arial" w:hAnsi="Arial"/>
                <w:b/>
                <w:bCs/>
                <w:sz w:val="20"/>
                <w:szCs w:val="20"/>
              </w:rPr>
              <w:t>Unid.</w:t>
            </w:r>
          </w:p>
        </w:tc>
        <w:tc>
          <w:tcPr>
            <w:tcW w:w="374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sz w:val="20"/>
                <w:szCs w:val="20"/>
              </w:rPr>
            </w:pPr>
            <w:r>
              <w:rPr>
                <w:rFonts w:cs="Arial" w:ascii="Arial" w:hAnsi="Arial"/>
                <w:b/>
                <w:bCs/>
                <w:sz w:val="20"/>
                <w:szCs w:val="20"/>
              </w:rPr>
              <w:t>Descritivo</w:t>
            </w:r>
          </w:p>
        </w:tc>
        <w:tc>
          <w:tcPr>
            <w:tcW w:w="147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spacing w:before="240" w:after="0"/>
              <w:jc w:val="center"/>
              <w:rPr>
                <w:sz w:val="20"/>
                <w:szCs w:val="20"/>
              </w:rPr>
            </w:pPr>
            <w:r>
              <w:rPr>
                <w:rFonts w:cs="Arial"/>
                <w:b/>
                <w:sz w:val="20"/>
                <w:szCs w:val="20"/>
              </w:rPr>
              <w:t>Valor Mensal</w:t>
            </w:r>
          </w:p>
        </w:tc>
        <w:tc>
          <w:tcPr>
            <w:tcW w:w="153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spacing w:before="240" w:after="0"/>
              <w:jc w:val="center"/>
              <w:rPr>
                <w:sz w:val="20"/>
                <w:szCs w:val="20"/>
              </w:rPr>
            </w:pPr>
            <w:r>
              <w:rPr>
                <w:rFonts w:cs="Arial"/>
                <w:b/>
                <w:sz w:val="20"/>
                <w:szCs w:val="20"/>
              </w:rPr>
              <w:t>Valor Total</w:t>
            </w:r>
          </w:p>
        </w:tc>
      </w:tr>
      <w:tr>
        <w:trPr>
          <w:trHeight w:val="283" w:hRule="atLeast"/>
        </w:trPr>
        <w:tc>
          <w:tcPr>
            <w:tcW w:w="565"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sz w:val="20"/>
                <w:szCs w:val="20"/>
              </w:rPr>
            </w:pPr>
            <w:r>
              <w:rPr>
                <w:rFonts w:eastAsia="Arial" w:cs="Arial" w:ascii="Arial" w:hAnsi="Arial"/>
                <w:sz w:val="20"/>
                <w:szCs w:val="20"/>
              </w:rPr>
              <w:t>01</w:t>
            </w:r>
          </w:p>
        </w:tc>
        <w:tc>
          <w:tcPr>
            <w:tcW w:w="1232"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sz w:val="20"/>
                <w:szCs w:val="20"/>
              </w:rPr>
            </w:pPr>
            <w:r>
              <w:rPr>
                <w:rFonts w:cs="Arial" w:ascii="Arial" w:hAnsi="Arial"/>
                <w:sz w:val="20"/>
                <w:szCs w:val="20"/>
              </w:rPr>
              <w:t>4.000,00</w:t>
            </w:r>
          </w:p>
        </w:tc>
        <w:tc>
          <w:tcPr>
            <w:tcW w:w="942"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sz w:val="20"/>
                <w:szCs w:val="20"/>
              </w:rPr>
            </w:pPr>
            <w:r>
              <w:rPr>
                <w:rFonts w:cs="Arial" w:ascii="Arial" w:hAnsi="Arial"/>
                <w:sz w:val="20"/>
                <w:szCs w:val="20"/>
              </w:rPr>
              <w:t>Tonelada</w:t>
            </w:r>
          </w:p>
        </w:tc>
        <w:tc>
          <w:tcPr>
            <w:tcW w:w="374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Arial" w:hAnsi="Arial"/>
                <w:sz w:val="20"/>
                <w:szCs w:val="20"/>
              </w:rPr>
            </w:pPr>
            <w:r>
              <w:rPr>
                <w:rFonts w:cs="Arial" w:ascii="Arial" w:hAnsi="Arial"/>
                <w:color w:val="000000"/>
                <w:sz w:val="20"/>
                <w:szCs w:val="20"/>
                <w:lang w:val="x-none"/>
              </w:rPr>
              <w:t>Coleta, transporte e disposição final ambientalmente adequada de resíduos volumosos, entulhos, massa verde, outros materiais inservíveis e rejeitos</w:t>
            </w:r>
          </w:p>
        </w:tc>
        <w:tc>
          <w:tcPr>
            <w:tcW w:w="14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sz w:val="20"/>
                <w:szCs w:val="20"/>
              </w:rPr>
            </w:pPr>
            <w:r>
              <w:rPr>
                <w:rFonts w:eastAsia="Arial" w:cs="Arial" w:ascii="Arial" w:hAnsi="Arial"/>
                <w:sz w:val="20"/>
                <w:szCs w:val="20"/>
              </w:rPr>
            </w:r>
          </w:p>
        </w:tc>
        <w:tc>
          <w:tcPr>
            <w:tcW w:w="15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sz w:val="20"/>
                <w:szCs w:val="20"/>
              </w:rPr>
            </w:pPr>
            <w:r>
              <w:rPr>
                <w:rFonts w:eastAsia="Arial" w:cs="Arial" w:ascii="Arial" w:hAnsi="Arial"/>
                <w:sz w:val="20"/>
                <w:szCs w:val="20"/>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BodyTextIndent"/>
        <w:widowControl w:val="false"/>
        <w:overflowPunct w:val="tru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Fonts w:cs="Arial" w:ascii="Arial" w:hAnsi="Arial"/>
        </w:rPr>
      </w:r>
    </w:p>
    <w:sectPr>
      <w:headerReference w:type="default" r:id="rId11"/>
      <w:footerReference w:type="default" r:id="rId12"/>
      <w:type w:val="nextPage"/>
      <w:pgSz w:w="11906" w:h="16838"/>
      <w:pgMar w:left="1134" w:right="850" w:gutter="0" w:header="1146" w:top="1418" w:footer="420" w:bottom="568"/>
      <w:pgNumType w:fmt="decimal"/>
      <w:formProt w:val="false"/>
      <w:textDirection w:val="lrTb"/>
      <w:docGrid w:type="default" w:linePitch="600" w:charSpace="5734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roman"/>
    <w:pitch w:val="variable"/>
  </w:font>
  <w:font w:name="Tahoma">
    <w:charset w:val="00"/>
    <w:family w:val="roman"/>
    <w:pitch w:val="variable"/>
  </w:font>
  <w:font w:name="Univia Pro Book">
    <w:charset w:val="00"/>
    <w:family w:val="roman"/>
    <w:pitch w:val="variable"/>
  </w:font>
  <w:font w:name="Calibri Light">
    <w:charset w:val="00"/>
    <w:family w:val="roman"/>
    <w:pitch w:val="variable"/>
  </w:font>
  <w:font w:name="Basic Sans SemiBold">
    <w:charset w:val="00"/>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hanging="0" w:left="3346"/>
      <w:rPr>
        <w:rFonts w:ascii="Arial" w:hAnsi="Arial" w:cs="Arial"/>
      </w:rPr>
    </w:pPr>
    <w:r>
      <w:rPr>
        <w:rFonts w:cs="Arial" w:ascii="Arial" w:hAnsi="Arial"/>
      </w:rPr>
      <w:drawing>
        <wp:anchor behindDoc="1" distT="0" distB="0" distL="0" distR="0" simplePos="0" locked="0" layoutInCell="1" allowOverlap="1" relativeHeight="20">
          <wp:simplePos x="0" y="0"/>
          <wp:positionH relativeFrom="column">
            <wp:posOffset>-6985</wp:posOffset>
          </wp:positionH>
          <wp:positionV relativeFrom="paragraph">
            <wp:posOffset>-2540</wp:posOffset>
          </wp:positionV>
          <wp:extent cx="6306820" cy="601345"/>
          <wp:effectExtent l="0" t="0" r="0" b="0"/>
          <wp:wrapNone/>
          <wp:docPr id="4" name="Imagem 14572675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457267562" descr=""/>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pPr>
      <w:pStyle w:val="Normal"/>
      <w:ind w:hanging="0" w:left="3346"/>
      <w:rPr>
        <w:rFonts w:ascii="Arial" w:hAnsi="Arial" w:cs="Arial"/>
        <w:sz w:val="16"/>
      </w:rPr>
    </w:pPr>
    <w:r>
      <w:rPr>
        <w:rFonts w:cs="Arial" w:ascii="Arial" w:hAnsi="Arial"/>
        <w:sz w:val="16"/>
      </w:rPr>
      <w:t xml:space="preserve">Dispensa Eletrônica nº 266/2024 -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18</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18</w:t>
    </w:r>
    <w:r>
      <w:rPr>
        <w:sz w:val="16"/>
        <w:b/>
        <w:rFonts w:cs="Arial" w:ascii="Arial" w:hAnsi="Arial"/>
      </w:rPr>
      <w:fldChar w:fldCharType="end"/>
    </w:r>
  </w:p>
  <w:p>
    <w:pPr>
      <w:pStyle w:val="Normal"/>
      <w:ind w:hanging="0" w:left="3346"/>
      <w:rPr>
        <w:rFonts w:ascii="Arial" w:hAnsi="Arial" w:cs="Arial"/>
        <w:sz w:val="4"/>
        <w:szCs w:val="4"/>
      </w:rPr>
    </w:pPr>
    <w:r>
      <w:rPr>
        <w:rFonts w:cs="Arial" w:ascii="Arial" w:hAnsi="Arial"/>
        <w:sz w:val="4"/>
        <w:szCs w:val="4"/>
      </w:rPr>
    </w:r>
  </w:p>
  <w:p>
    <w:pPr>
      <w:pStyle w:val="Footer"/>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pPr>
      <w:pStyle w:val="Footer"/>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pPr>
      <w:pStyle w:val="Normal"/>
      <w:jc w:val="center"/>
      <w:rPr/>
    </w:pPr>
    <w:r>
      <w:rPr/>
    </w:r>
  </w:p>
  <w:p>
    <w:pPr>
      <w:pStyle w:val="Normal"/>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38">
          <wp:simplePos x="0" y="0"/>
          <wp:positionH relativeFrom="column">
            <wp:posOffset>-5080</wp:posOffset>
          </wp:positionH>
          <wp:positionV relativeFrom="paragraph">
            <wp:posOffset>-413385</wp:posOffset>
          </wp:positionV>
          <wp:extent cx="2085975" cy="581025"/>
          <wp:effectExtent l="0" t="0" r="0" b="0"/>
          <wp:wrapNone/>
          <wp:docPr id="3" name="Imagem 1" descr="C:\Users\tsantos\Pictures\Trabalho Nor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Users\tsantos\Pictures\Trabalho Normal.png"/>
                  <pic:cNvPicPr>
                    <a:picLocks noChangeAspect="1" noChangeArrowheads="1"/>
                  </pic:cNvPicPr>
                </pic:nvPicPr>
                <pic:blipFill>
                  <a:blip r:embed="rId1"/>
                  <a:stretch>
                    <a:fillRect/>
                  </a:stretch>
                </pic:blipFill>
                <pic:spPr bwMode="auto">
                  <a:xfrm>
                    <a:off x="0" y="0"/>
                    <a:ext cx="2085975" cy="58102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hint="default"/>
      </w:rPr>
    </w:lvl>
    <w:lvl w:ilvl="2">
      <w:start w:val="1"/>
      <w:numFmt w:val="bullet"/>
      <w:lvlText w:val="▪"/>
      <w:lvlJc w:val="left"/>
      <w:pPr>
        <w:tabs>
          <w:tab w:val="num" w:pos="1080"/>
        </w:tabs>
        <w:ind w:left="1080" w:hanging="360"/>
      </w:pPr>
      <w:rPr>
        <w:rFonts w:ascii="OpenSymbol" w:hAnsi="OpenSymbol" w:cs="OpenSymbol" w:hint="default"/>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800"/>
        </w:tabs>
        <w:ind w:left="1800" w:hanging="360"/>
      </w:pPr>
      <w:rPr>
        <w:rFonts w:ascii="OpenSymbol" w:hAnsi="OpenSymbol" w:cs="OpenSymbol" w:hint="default"/>
      </w:rPr>
    </w:lvl>
    <w:lvl w:ilvl="5">
      <w:start w:val="1"/>
      <w:numFmt w:val="bullet"/>
      <w:lvlText w:val="▪"/>
      <w:lvlJc w:val="left"/>
      <w:pPr>
        <w:tabs>
          <w:tab w:val="num" w:pos="2160"/>
        </w:tabs>
        <w:ind w:left="2160" w:hanging="360"/>
      </w:pPr>
      <w:rPr>
        <w:rFonts w:ascii="OpenSymbol" w:hAnsi="OpenSymbol" w:cs="OpenSymbol" w:hint="default"/>
      </w:rPr>
    </w:lvl>
    <w:lvl w:ilvl="6">
      <w:start w:val="1"/>
      <w:numFmt w:val="bullet"/>
      <w:lvlText w:val=""/>
      <w:lvlJc w:val="left"/>
      <w:pPr>
        <w:tabs>
          <w:tab w:val="num" w:pos="2520"/>
        </w:tabs>
        <w:ind w:left="2520" w:hanging="360"/>
      </w:pPr>
      <w:rPr>
        <w:rFonts w:ascii="Symbol" w:hAnsi="Symbol" w:cs="Symbol" w:hint="default"/>
      </w:rPr>
    </w:lvl>
    <w:lvl w:ilvl="7">
      <w:start w:val="1"/>
      <w:numFmt w:val="bullet"/>
      <w:lvlText w:val="◦"/>
      <w:lvlJc w:val="left"/>
      <w:pPr>
        <w:tabs>
          <w:tab w:val="num" w:pos="2880"/>
        </w:tabs>
        <w:ind w:left="2880" w:hanging="360"/>
      </w:pPr>
      <w:rPr>
        <w:rFonts w:ascii="OpenSymbol" w:hAnsi="OpenSymbol" w:cs="OpenSymbol" w:hint="default"/>
      </w:rPr>
    </w:lvl>
    <w:lvl w:ilvl="8">
      <w:start w:val="1"/>
      <w:numFmt w:val="bullet"/>
      <w:lvlText w:val="▪"/>
      <w:lvlJc w:val="left"/>
      <w:pPr>
        <w:tabs>
          <w:tab w:val="num" w:pos="3240"/>
        </w:tabs>
        <w:ind w:left="3240" w:hanging="360"/>
      </w:pPr>
      <w:rPr>
        <w:rFonts w:ascii="OpenSymbol" w:hAnsi="OpenSymbol" w:cs="OpenSymbol" w:hint="default"/>
      </w:rPr>
    </w:lvl>
  </w:abstractNum>
  <w:abstractNum w:abstractNumId="10">
    <w:lvl w:ilvl="0">
      <w:start w:val="1"/>
      <w:numFmt w:val="decimal"/>
      <w:lvlText w:val="%1"/>
      <w:lvlJc w:val="left"/>
      <w:pPr>
        <w:tabs>
          <w:tab w:val="num" w:pos="0"/>
        </w:tabs>
        <w:ind w:left="585" w:hanging="585"/>
      </w:pPr>
      <w:rPr/>
    </w:lvl>
    <w:lvl w:ilvl="1">
      <w:start w:val="1"/>
      <w:numFmt w:val="decimal"/>
      <w:lvlText w:val="%1.%2"/>
      <w:lvlJc w:val="left"/>
      <w:pPr>
        <w:tabs>
          <w:tab w:val="num" w:pos="0"/>
        </w:tabs>
        <w:ind w:left="705" w:hanging="585"/>
      </w:pPr>
      <w:rPr/>
    </w:lvl>
    <w:lvl w:ilvl="2">
      <w:start w:val="1"/>
      <w:numFmt w:val="decimal"/>
      <w:lvlText w:val="%1.%2.%3"/>
      <w:lvlJc w:val="left"/>
      <w:pPr>
        <w:tabs>
          <w:tab w:val="num" w:pos="0"/>
        </w:tabs>
        <w:ind w:left="862" w:hanging="720"/>
      </w:pPr>
      <w:rPr>
        <w:b/>
        <w:bCs/>
      </w:rPr>
    </w:lvl>
    <w:lvl w:ilvl="3">
      <w:start w:val="1"/>
      <w:numFmt w:val="decimal"/>
      <w:lvlText w:val="%1.%2.%3.%4"/>
      <w:lvlJc w:val="left"/>
      <w:pPr>
        <w:tabs>
          <w:tab w:val="num" w:pos="0"/>
        </w:tabs>
        <w:ind w:left="1080" w:hanging="720"/>
      </w:pPr>
      <w:rPr/>
    </w:lvl>
    <w:lvl w:ilvl="4">
      <w:start w:val="1"/>
      <w:numFmt w:val="decimal"/>
      <w:lvlText w:val="%1.%2.%3.%4.%5"/>
      <w:lvlJc w:val="left"/>
      <w:pPr>
        <w:tabs>
          <w:tab w:val="num" w:pos="0"/>
        </w:tabs>
        <w:ind w:left="1200" w:hanging="720"/>
      </w:pPr>
      <w:rPr/>
    </w:lvl>
    <w:lvl w:ilvl="5">
      <w:start w:val="1"/>
      <w:numFmt w:val="decimal"/>
      <w:lvlText w:val="%1.%2.%3.%4.%5.%6"/>
      <w:lvlJc w:val="left"/>
      <w:pPr>
        <w:tabs>
          <w:tab w:val="num" w:pos="0"/>
        </w:tabs>
        <w:ind w:left="1680" w:hanging="1080"/>
      </w:pPr>
      <w:rPr/>
    </w:lvl>
    <w:lvl w:ilvl="6">
      <w:start w:val="1"/>
      <w:numFmt w:val="decimal"/>
      <w:lvlText w:val="%1.%2.%3.%4.%5.%6.%7"/>
      <w:lvlJc w:val="left"/>
      <w:pPr>
        <w:tabs>
          <w:tab w:val="num" w:pos="0"/>
        </w:tabs>
        <w:ind w:left="1800" w:hanging="1080"/>
      </w:pPr>
      <w:rPr/>
    </w:lvl>
    <w:lvl w:ilvl="7">
      <w:start w:val="1"/>
      <w:numFmt w:val="decimal"/>
      <w:lvlText w:val="%1.%2.%3.%4.%5.%6.%7.%8"/>
      <w:lvlJc w:val="left"/>
      <w:pPr>
        <w:tabs>
          <w:tab w:val="num" w:pos="0"/>
        </w:tabs>
        <w:ind w:left="2280" w:hanging="1440"/>
      </w:pPr>
      <w:rPr/>
    </w:lvl>
    <w:lvl w:ilvl="8">
      <w:start w:val="1"/>
      <w:numFmt w:val="decimal"/>
      <w:lvlText w:val="%1.%2.%3.%4.%5.%6.%7.%8.%9"/>
      <w:lvlJc w:val="left"/>
      <w:pPr>
        <w:tabs>
          <w:tab w:val="num" w:pos="0"/>
        </w:tabs>
        <w:ind w:left="2400" w:hanging="1440"/>
      </w:pPr>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6">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7">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8">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9">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0">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1">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2">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3">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4">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5">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6">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7">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hint="default"/>
      </w:rPr>
    </w:lvl>
    <w:lvl w:ilvl="2">
      <w:start w:val="1"/>
      <w:numFmt w:val="bullet"/>
      <w:lvlText w:val="▪"/>
      <w:lvlJc w:val="left"/>
      <w:pPr>
        <w:tabs>
          <w:tab w:val="num" w:pos="1080"/>
        </w:tabs>
        <w:ind w:left="1080" w:hanging="360"/>
      </w:pPr>
      <w:rPr>
        <w:rFonts w:ascii="OpenSymbol" w:hAnsi="OpenSymbol" w:cs="OpenSymbol" w:hint="default"/>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800"/>
        </w:tabs>
        <w:ind w:left="1800" w:hanging="360"/>
      </w:pPr>
      <w:rPr>
        <w:rFonts w:ascii="OpenSymbol" w:hAnsi="OpenSymbol" w:cs="OpenSymbol" w:hint="default"/>
      </w:rPr>
    </w:lvl>
    <w:lvl w:ilvl="5">
      <w:start w:val="1"/>
      <w:numFmt w:val="bullet"/>
      <w:lvlText w:val="▪"/>
      <w:lvlJc w:val="left"/>
      <w:pPr>
        <w:tabs>
          <w:tab w:val="num" w:pos="2160"/>
        </w:tabs>
        <w:ind w:left="2160" w:hanging="360"/>
      </w:pPr>
      <w:rPr>
        <w:rFonts w:ascii="OpenSymbol" w:hAnsi="OpenSymbol" w:cs="OpenSymbol" w:hint="default"/>
      </w:rPr>
    </w:lvl>
    <w:lvl w:ilvl="6">
      <w:start w:val="1"/>
      <w:numFmt w:val="bullet"/>
      <w:lvlText w:val=""/>
      <w:lvlJc w:val="left"/>
      <w:pPr>
        <w:tabs>
          <w:tab w:val="num" w:pos="2520"/>
        </w:tabs>
        <w:ind w:left="2520" w:hanging="360"/>
      </w:pPr>
      <w:rPr>
        <w:rFonts w:ascii="Symbol" w:hAnsi="Symbol" w:cs="Symbol" w:hint="default"/>
      </w:rPr>
    </w:lvl>
    <w:lvl w:ilvl="7">
      <w:start w:val="1"/>
      <w:numFmt w:val="bullet"/>
      <w:lvlText w:val="◦"/>
      <w:lvlJc w:val="left"/>
      <w:pPr>
        <w:tabs>
          <w:tab w:val="num" w:pos="2880"/>
        </w:tabs>
        <w:ind w:left="2880" w:hanging="360"/>
      </w:pPr>
      <w:rPr>
        <w:rFonts w:ascii="OpenSymbol" w:hAnsi="OpenSymbol" w:cs="OpenSymbol" w:hint="default"/>
      </w:rPr>
    </w:lvl>
    <w:lvl w:ilvl="8">
      <w:start w:val="1"/>
      <w:numFmt w:val="bullet"/>
      <w:lvlText w:val="▪"/>
      <w:lvlJc w:val="left"/>
      <w:pPr>
        <w:tabs>
          <w:tab w:val="num" w:pos="3240"/>
        </w:tabs>
        <w:ind w:left="3240" w:hanging="360"/>
      </w:pPr>
      <w:rPr>
        <w:rFonts w:ascii="OpenSymbol" w:hAnsi="OpenSymbol" w:cs="OpenSymbol" w:hint="default"/>
      </w:rPr>
    </w:lvl>
  </w:abstractNum>
  <w:abstractNum w:abstractNumId="2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4"/>
    <w:lvlOverride w:ilvl="0">
      <w:startOverride w:val="1"/>
    </w:lvlOverride>
  </w:num>
  <w:num w:numId="30">
    <w:abstractNumId w:val="4"/>
  </w:num>
  <w:num w:numId="31">
    <w:abstractNumId w:val="4"/>
  </w:num>
  <w:num w:numId="32">
    <w:abstractNumId w:val="4"/>
  </w:num>
  <w:num w:numId="33">
    <w:abstractNumId w:val="4"/>
  </w:num>
  <w:num w:numId="34">
    <w:abstractNumId w:val="16"/>
    <w:lvlOverride w:ilvl="0">
      <w:startOverride w:val="1"/>
    </w:lvlOverride>
  </w:num>
  <w:num w:numId="35">
    <w:abstractNumId w:val="16"/>
  </w:num>
  <w:num w:numId="36">
    <w:abstractNumId w:val="16"/>
  </w:num>
  <w:num w:numId="37">
    <w:abstractNumId w:val="16"/>
  </w:num>
  <w:num w:numId="38">
    <w:abstractNumId w:val="16"/>
  </w:num>
  <w:num w:numId="39">
    <w:abstractNumId w:val="16"/>
  </w:num>
  <w:num w:numId="40">
    <w:abstractNumId w:val="16"/>
  </w:num>
  <w:num w:numId="41">
    <w:abstractNumId w:val="16"/>
  </w:num>
  <w:num w:numId="42">
    <w:abstractNumId w:val="16"/>
  </w:num>
  <w:num w:numId="43">
    <w:abstractNumId w:val="16"/>
  </w:num>
  <w:num w:numId="44">
    <w:abstractNumId w:val="16"/>
  </w:num>
  <w:num w:numId="45">
    <w:abstractNumId w:val="9"/>
    <w:lvlOverride w:ilvl="0">
      <w:startOverride w:val="1"/>
    </w:lvlOverride>
  </w:num>
</w:numbering>
</file>

<file path=word/settings.xml><?xml version="1.0" encoding="utf-8"?>
<w:settings xmlns:w="http://schemas.openxmlformats.org/wordprocessingml/2006/main">
  <w:zoom w:percent="110"/>
  <w:displayBackgroundShape/>
  <w:defaultTabStop w:val="709"/>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Heading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Heading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Heading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numPr>
        <w:ilvl w:val="4"/>
        <w:numId w:val="1"/>
      </w:numPr>
      <w:jc w:val="center"/>
      <w:outlineLvl w:val="4"/>
    </w:pPr>
    <w:rPr>
      <w:b/>
      <w:sz w:val="28"/>
      <w:lang w:val="x-none"/>
    </w:rPr>
  </w:style>
  <w:style w:type="paragraph" w:styleId="Heading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Heading7">
    <w:name w:val="Heading 7"/>
    <w:basedOn w:val="Normal"/>
    <w:next w:val="Normal"/>
    <w:qFormat/>
    <w:pPr>
      <w:keepNext w:val="true"/>
      <w:numPr>
        <w:ilvl w:val="6"/>
        <w:numId w:val="1"/>
      </w:numPr>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numPr>
        <w:ilvl w:val="7"/>
        <w:numId w:val="1"/>
      </w:numPr>
      <w:ind w:firstLine="561" w:left="0"/>
      <w:jc w:val="both"/>
      <w:outlineLvl w:val="7"/>
    </w:pPr>
    <w:rPr>
      <w:rFonts w:ascii="Arial" w:hAnsi="Arial"/>
      <w:b/>
      <w:bCs/>
      <w:sz w:val="22"/>
      <w:szCs w:val="22"/>
      <w:lang w:val="x-none"/>
    </w:rPr>
  </w:style>
  <w:style w:type="paragraph" w:styleId="Heading9">
    <w:name w:val="Heading 9"/>
    <w:basedOn w:val="Normal"/>
    <w:next w:val="Normal"/>
    <w:qFormat/>
    <w:pPr>
      <w:keepNext w:val="true"/>
      <w:numPr>
        <w:ilvl w:val="8"/>
        <w:numId w:val="1"/>
      </w:numPr>
      <w:ind w:firstLine="561" w:left="0"/>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Annotationreference">
    <w:name w:val="annotation reference"/>
    <w:unhideWhenUsed/>
    <w:qFormat/>
    <w:rsid w:val="00b01366"/>
    <w:rPr>
      <w:sz w:val="16"/>
      <w:szCs w:val="16"/>
    </w:rPr>
  </w:style>
  <w:style w:type="character" w:styleId="TextodecomentrioChar" w:customStyle="1">
    <w:name w:val="Texto de comentário Char"/>
    <w:link w:val="Annotationtext"/>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Hyperlink">
    <w:name w:val="Hyperlink"/>
    <w:basedOn w:val="DefaultParagraphFont"/>
    <w:unhideWhenUsed/>
    <w:rsid w:val="00dc4724"/>
    <w:rPr>
      <w:color w:themeColor="hyperlink" w:val="0563C1"/>
      <w:u w:val="single"/>
    </w:rPr>
  </w:style>
  <w:style w:type="character" w:styleId="Fontepargpadro20" w:customStyle="1">
    <w:name w:val="Fonte parág. padrão20"/>
    <w:qFormat/>
    <w:rsid w:val="00863310"/>
    <w:rPr/>
  </w:style>
  <w:style w:type="paragraph" w:styleId="Ttulo">
    <w:name w:val="Título"/>
    <w:basedOn w:val="Normal"/>
    <w:next w:val="BodyText"/>
    <w:qFormat/>
    <w:pPr>
      <w:keepNext w:val="true"/>
      <w:spacing w:before="240" w:after="120"/>
    </w:pPr>
    <w:rPr>
      <w:rFonts w:ascii="Liberation Sans" w:hAnsi="Liberation Sans" w:eastAsia="Microsoft YaHei" w:cs="Mangal"/>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itle">
    <w:name w:val="Title"/>
    <w:basedOn w:val="Ttulo21"/>
    <w:next w:val="BodyText"/>
    <w:qFormat/>
    <w:pPr/>
    <w:rPr/>
  </w:style>
  <w:style w:type="paragraph" w:styleId="Caption1">
    <w:name w:val="caption1"/>
    <w:basedOn w:val="Normal"/>
    <w:qFormat/>
    <w:pPr>
      <w:suppressLineNumbers/>
      <w:spacing w:before="120" w:after="120"/>
    </w:pPr>
    <w:rPr>
      <w:rFonts w:cs="Mangal"/>
      <w:i/>
      <w:iCs/>
      <w:sz w:val="24"/>
      <w:szCs w:val="24"/>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hanging="0"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Standard"/>
    <w:qFormat/>
    <w:rsid w:val="00374011"/>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hanging="0" w:left="283"/>
    </w:pPr>
    <w:rPr>
      <w:sz w:val="16"/>
      <w:szCs w:val="16"/>
      <w:lang w:val="x-none"/>
    </w:rPr>
  </w:style>
  <w:style w:type="paragraph" w:styleId="Standard" w:customStyle="1">
    <w:name w:val="Standard"/>
    <w:qFormat/>
    <w:rsid w:val="00374011"/>
    <w:pPr>
      <w:widowControl/>
      <w:suppressAutoHyphens w:val="true"/>
      <w:bidi w:val="0"/>
      <w:spacing w:before="0" w:after="0"/>
      <w:jc w:val="left"/>
      <w:textAlignment w:val="baseline"/>
    </w:pPr>
    <w:rPr>
      <w:rFonts w:ascii="Liberation Serif" w:hAnsi="Liberation Serif" w:eastAsia="SimSun, 宋体" w:cs="Mangal"/>
      <w:color w:val="auto"/>
      <w:kern w:val="2"/>
      <w:sz w:val="24"/>
      <w:szCs w:val="24"/>
      <w:lang w:val="pt-BR" w:eastAsia="zh-CN" w:bidi="hi-IN"/>
    </w:rPr>
  </w:style>
  <w:style w:type="paragraph" w:styleId="Citaes" w:customStyle="1">
    <w:name w:val="Citações"/>
    <w:basedOn w:val="Normal"/>
    <w:qFormat/>
    <w:pPr>
      <w:spacing w:before="0" w:after="283"/>
      <w:ind w:hanging="0" w:left="567" w:right="567"/>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Annotationtext">
    <w:name w:val="annotation text"/>
    <w:basedOn w:val="Normal"/>
    <w:link w:val="TextodecomentrioChar"/>
    <w:unhideWhenUsed/>
    <w:qFormat/>
    <w:rsid w:val="00b01366"/>
    <w:pPr/>
    <w:rPr/>
  </w:style>
  <w:style w:type="paragraph" w:styleId="Annotationsubject">
    <w:name w:val="annotation subject"/>
    <w:basedOn w:val="Annotationtext"/>
    <w:next w:val="Annotation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numPr>
        <w:ilvl w:val="0"/>
        <w:numId w:val="5"/>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hanging="0" w:left="851"/>
    </w:pPr>
    <w:rPr>
      <w:color w:val="auto"/>
    </w:rPr>
  </w:style>
  <w:style w:type="paragraph" w:styleId="Nivel5" w:customStyle="1">
    <w:name w:val="Nivel 5"/>
    <w:basedOn w:val="Nivel4"/>
    <w:qFormat/>
    <w:rsid w:val="00ed126a"/>
    <w:pPr>
      <w:ind w:hanging="0" w:left="1276"/>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numbering" w:styleId="NoList" w:default="1">
    <w:name w:val="No List"/>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mailto:fcruz@piracicaba.sp.gov.br" TargetMode="External"/><Relationship Id="rId4" Type="http://schemas.openxmlformats.org/officeDocument/2006/relationships/hyperlink" Target="https://bnccompras.com/" TargetMode="Externa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hyperlink" Target="https://bnccompras.com/" TargetMode="External"/><Relationship Id="rId8" Type="http://schemas.openxmlformats.org/officeDocument/2006/relationships/hyperlink" Target="https://bnccompras.com/" TargetMode="External"/><Relationship Id="rId9" Type="http://schemas.openxmlformats.org/officeDocument/2006/relationships/hyperlink" Target="mailto:notafiscal@piracicaba.sp.gov.br" TargetMode="External"/><Relationship Id="rId10" Type="http://schemas.openxmlformats.org/officeDocument/2006/relationships/hyperlink" Target="https://bnccompras.com/" TargetMode="External"/><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Relationship Id="rId17" Type="http://schemas.openxmlformats.org/officeDocument/2006/relationships/customXml" Target="../customXml/item1.xml"/><Relationship Id="rId18" Type="http://schemas.openxmlformats.org/officeDocument/2006/relationships/customXml" Target="../customXml/item2.xml"/><Relationship Id="rId19" Type="http://schemas.openxmlformats.org/officeDocument/2006/relationships/customXml" Target="../customXml/item3.xml"/><Relationship Id="rId20"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4.jpeg"/>
</Relationships>
</file>

<file path=word/_rels/header1.xml.rels><?xml version="1.0" encoding="UTF-8"?>
<Relationships xmlns="http://schemas.openxmlformats.org/package/2006/relationships"><Relationship Id="rId1" Type="http://schemas.openxmlformats.org/officeDocument/2006/relationships/image" Target="media/image3.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6323A97B-0BBD-4C70-8DA1-24245B982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Application>LibreOffice/7.6.7.2$Windows_X86_64 LibreOffice_project/dd47e4b30cb7dab30588d6c79c651f218165e3c5</Application>
  <AppVersion>15.0000</AppVersion>
  <Pages>18</Pages>
  <Words>7189</Words>
  <Characters>41551</Characters>
  <CharactersWithSpaces>48411</CharactersWithSpaces>
  <Paragraphs>416</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2024-04-24T16:52:00Z</dcterms:created>
  <dc:creator>Thiago Luiz Araujo Santos</dc:creator>
  <dc:description/>
  <dc:language>pt-BR</dc:language>
  <cp:lastModifiedBy/>
  <cp:lastPrinted>2023-08-30T16:56:00Z</cp:lastPrinted>
  <dcterms:modified xsi:type="dcterms:W3CDTF">2024-12-19T15:04:30Z</dcterms:modified>
  <cp:revision>28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