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Corpodotextorecuado"/>
        <w:widowControl w:val="false"/>
        <w:shd w:val="clear" w:color="auto" w:fill="CCCCCC"/>
        <w:overflowPunct w:val="false"/>
        <w:spacing w:lineRule="auto" w:line="240"/>
        <w:jc w:val="center"/>
        <w:rPr>
          <w:b/>
          <w:b/>
          <w:color w:val="auto"/>
          <w:sz w:val="20"/>
          <w:szCs w:val="20"/>
          <w:lang w:val="pt-BR"/>
        </w:rPr>
      </w:pPr>
      <w:r>
        <w:rPr>
          <w:b/>
          <w:color w:val="auto"/>
          <w:sz w:val="20"/>
          <w:szCs w:val="20"/>
        </w:rPr>
        <w:t xml:space="preserve">EDITAL DE </w:t>
      </w:r>
      <w:r>
        <w:rPr>
          <w:b/>
          <w:color w:val="auto"/>
          <w:sz w:val="20"/>
          <w:szCs w:val="20"/>
          <w:lang w:val="pt-BR"/>
        </w:rPr>
        <w:t xml:space="preserve">DISPENSA ELETRÔNICA nº </w:t>
      </w:r>
      <w:r>
        <w:rPr>
          <w:b/>
          <w:color w:val="auto"/>
          <w:sz w:val="20"/>
          <w:szCs w:val="20"/>
          <w:lang w:val="pt-BR"/>
        </w:rPr>
        <w:t>43</w:t>
      </w:r>
      <w:r>
        <w:rPr>
          <w:b/>
          <w:color w:val="auto"/>
          <w:sz w:val="20"/>
          <w:szCs w:val="20"/>
          <w:lang w:val="pt-BR"/>
        </w:rPr>
        <w:t>/2024</w:t>
      </w:r>
    </w:p>
    <w:p>
      <w:pPr>
        <w:pStyle w:val="Corpodotextorecuado"/>
        <w:widowControl w:val="false"/>
        <w:overflowPunct w:val="false"/>
        <w:spacing w:lineRule="auto" w:line="240"/>
        <w:jc w:val="center"/>
        <w:rPr>
          <w:color w:val="auto"/>
          <w:sz w:val="20"/>
          <w:szCs w:val="20"/>
        </w:rPr>
      </w:pPr>
      <w:r>
        <w:rPr>
          <w:color w:val="auto"/>
          <w:sz w:val="20"/>
          <w:szCs w:val="20"/>
        </w:rPr>
      </w:r>
    </w:p>
    <w:p>
      <w:pPr>
        <w:pStyle w:val="Corpodotextorecuado"/>
        <w:widowControl w:val="false"/>
        <w:overflowPunct w:val="false"/>
        <w:spacing w:lineRule="auto" w:line="240"/>
        <w:jc w:val="center"/>
        <w:rPr>
          <w:b/>
          <w:b/>
          <w:bCs/>
          <w:color w:val="auto"/>
          <w:sz w:val="20"/>
          <w:szCs w:val="20"/>
          <w:lang w:val="pt-BR"/>
        </w:rPr>
      </w:pPr>
      <w:r>
        <w:rPr>
          <w:b/>
          <w:bCs/>
          <w:color w:val="auto"/>
          <w:sz w:val="20"/>
          <w:szCs w:val="20"/>
          <w:lang w:val="pt-BR"/>
        </w:rPr>
        <w:t>TERMO DE REFERÊNCIA</w:t>
      </w:r>
    </w:p>
    <w:p>
      <w:pPr>
        <w:pStyle w:val="Corpodotextorecuado"/>
        <w:widowControl w:val="false"/>
        <w:overflowPunct w:val="false"/>
        <w:spacing w:lineRule="auto" w:line="240"/>
        <w:jc w:val="center"/>
        <w:rPr>
          <w:color w:val="auto"/>
          <w:sz w:val="20"/>
          <w:szCs w:val="20"/>
        </w:rPr>
      </w:pPr>
      <w:r>
        <w:rPr>
          <w:color w:val="auto"/>
          <w:sz w:val="20"/>
          <w:szCs w:val="20"/>
        </w:rPr>
      </w:r>
    </w:p>
    <w:p>
      <w:pPr>
        <w:pStyle w:val="Corpodotextorecuado"/>
        <w:widowControl w:val="false"/>
        <w:shd w:val="clear" w:color="auto" w:fill="DDDDDD"/>
        <w:overflowPunct w:val="false"/>
        <w:spacing w:lineRule="auto" w:line="240"/>
        <w:ind w:firstLine="561"/>
        <w:jc w:val="left"/>
        <w:rPr>
          <w:b/>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Corpodotextorecuado"/>
        <w:widowControl w:val="false"/>
        <w:tabs>
          <w:tab w:val="clear" w:pos="709"/>
          <w:tab w:val="left" w:pos="284" w:leader="none"/>
        </w:tabs>
        <w:overflowPunct w:val="false"/>
        <w:spacing w:lineRule="auto" w:line="240"/>
        <w:rPr>
          <w:color w:val="auto"/>
          <w:sz w:val="20"/>
          <w:szCs w:val="20"/>
          <w:lang w:val="pt-BR"/>
        </w:rPr>
      </w:pPr>
      <w:r>
        <w:rPr>
          <w:color w:val="auto"/>
          <w:sz w:val="20"/>
          <w:szCs w:val="20"/>
          <w:lang w:val="pt-BR"/>
        </w:rPr>
      </w:r>
    </w:p>
    <w:p>
      <w:pPr>
        <w:pStyle w:val="Corpodotextorecuado"/>
        <w:widowControl w:val="false"/>
        <w:numPr>
          <w:ilvl w:val="0"/>
          <w:numId w:val="5"/>
        </w:numPr>
        <w:tabs>
          <w:tab w:val="clear" w:pos="709"/>
          <w:tab w:val="left" w:pos="284" w:leader="none"/>
        </w:tabs>
        <w:overflowPunct w:val="false"/>
        <w:spacing w:lineRule="auto" w:line="240"/>
        <w:rPr>
          <w:color w:val="auto"/>
          <w:sz w:val="20"/>
          <w:szCs w:val="20"/>
          <w:lang w:val="pt-BR"/>
        </w:rPr>
      </w:pPr>
      <w:r>
        <w:rPr>
          <w:color w:val="auto"/>
          <w:sz w:val="20"/>
          <w:szCs w:val="20"/>
        </w:rPr>
        <w:t>Número do proces</w:t>
      </w:r>
      <w:r>
        <w:rPr>
          <w:color w:val="auto"/>
          <w:sz w:val="20"/>
          <w:szCs w:val="20"/>
          <w:lang w:val="pt-BR"/>
        </w:rPr>
        <w:t>so:</w:t>
      </w:r>
      <w:r>
        <w:rPr>
          <w:b/>
          <w:color w:val="auto"/>
          <w:sz w:val="20"/>
          <w:szCs w:val="20"/>
          <w:lang w:val="pt-BR"/>
        </w:rPr>
        <w:t xml:space="preserve"> 18.628/2024</w:t>
      </w:r>
    </w:p>
    <w:p>
      <w:pPr>
        <w:pStyle w:val="Corpodotextorecuado"/>
        <w:widowControl w:val="false"/>
        <w:numPr>
          <w:ilvl w:val="0"/>
          <w:numId w:val="5"/>
        </w:numPr>
        <w:tabs>
          <w:tab w:val="clear" w:pos="709"/>
          <w:tab w:val="left" w:pos="284" w:leader="none"/>
        </w:tabs>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Pr>
          <w:color w:val="auto"/>
          <w:sz w:val="20"/>
          <w:szCs w:val="20"/>
          <w:lang w:val="pt-BR"/>
        </w:rPr>
        <w:t>2702/2024</w:t>
      </w:r>
      <w:r>
        <w:rPr>
          <w:color w:val="auto"/>
          <w:sz w:val="20"/>
          <w:szCs w:val="20"/>
          <w:lang w:val="pt-BR"/>
        </w:rPr>
        <w:t xml:space="preserve">  –  </w:t>
      </w:r>
      <w:r>
        <w:rPr>
          <w:color w:val="auto"/>
          <w:sz w:val="20"/>
          <w:szCs w:val="20"/>
          <w:lang w:val="pt-BR"/>
        </w:rPr>
        <w:t xml:space="preserve">08:00 </w:t>
      </w:r>
      <w:r>
        <w:rPr>
          <w:color w:val="auto"/>
          <w:sz w:val="20"/>
          <w:szCs w:val="20"/>
          <w:lang w:val="pt-BR"/>
        </w:rPr>
        <w:t>h</w:t>
      </w:r>
      <w:r>
        <w:rPr>
          <w:color w:val="auto"/>
          <w:sz w:val="20"/>
          <w:szCs w:val="20"/>
        </w:rPr>
        <w:t xml:space="preserve"> </w:t>
      </w:r>
    </w:p>
    <w:p>
      <w:pPr>
        <w:pStyle w:val="Corpodotextorecuado"/>
        <w:widowControl w:val="false"/>
        <w:numPr>
          <w:ilvl w:val="0"/>
          <w:numId w:val="5"/>
        </w:numPr>
        <w:tabs>
          <w:tab w:val="clear" w:pos="709"/>
          <w:tab w:val="left" w:pos="284" w:leader="none"/>
        </w:tabs>
        <w:rPr>
          <w:color w:val="auto"/>
          <w:sz w:val="20"/>
          <w:szCs w:val="20"/>
        </w:rPr>
      </w:pPr>
      <w:r>
        <w:rPr>
          <w:color w:val="auto"/>
          <w:sz w:val="20"/>
          <w:szCs w:val="20"/>
        </w:rPr>
        <w:t xml:space="preserve">Data de início de lances: </w:t>
      </w:r>
      <w:r>
        <w:rPr>
          <w:color w:val="auto"/>
          <w:sz w:val="20"/>
          <w:szCs w:val="20"/>
        </w:rPr>
        <w:t>27/02/2024</w:t>
      </w:r>
      <w:r>
        <w:rPr>
          <w:color w:val="auto"/>
          <w:sz w:val="20"/>
          <w:szCs w:val="20"/>
          <w:lang w:val="pt-BR"/>
        </w:rPr>
        <w:t xml:space="preserve">  –  </w:t>
      </w:r>
      <w:r>
        <w:rPr>
          <w:color w:val="auto"/>
          <w:sz w:val="20"/>
          <w:szCs w:val="20"/>
          <w:lang w:val="pt-BR"/>
        </w:rPr>
        <w:t xml:space="preserve">09:00 </w:t>
      </w:r>
      <w:r>
        <w:rPr>
          <w:color w:val="auto"/>
          <w:sz w:val="20"/>
          <w:szCs w:val="20"/>
          <w:lang w:val="pt-BR"/>
        </w:rPr>
        <w:t>h</w:t>
      </w:r>
      <w:r>
        <w:rPr>
          <w:color w:val="auto"/>
          <w:sz w:val="20"/>
          <w:szCs w:val="20"/>
        </w:rPr>
        <w:t xml:space="preserve"> </w:t>
      </w:r>
    </w:p>
    <w:p>
      <w:pPr>
        <w:pStyle w:val="Corpodotextorecuado"/>
        <w:widowControl w:val="false"/>
        <w:numPr>
          <w:ilvl w:val="0"/>
          <w:numId w:val="5"/>
        </w:numPr>
        <w:tabs>
          <w:tab w:val="clear" w:pos="709"/>
          <w:tab w:val="left" w:pos="284" w:leader="none"/>
        </w:tabs>
        <w:rPr>
          <w:color w:val="auto"/>
          <w:sz w:val="20"/>
          <w:szCs w:val="20"/>
        </w:rPr>
      </w:pPr>
      <w:r>
        <w:rPr>
          <w:color w:val="auto"/>
          <w:sz w:val="20"/>
          <w:szCs w:val="20"/>
        </w:rPr>
        <w:t xml:space="preserve">Data de encerramento de lances: </w:t>
      </w:r>
      <w:r>
        <w:rPr>
          <w:color w:val="auto"/>
          <w:sz w:val="20"/>
          <w:szCs w:val="20"/>
          <w:lang w:val="pt-BR"/>
        </w:rPr>
        <w:t xml:space="preserve">   </w:t>
      </w:r>
      <w:r>
        <w:rPr>
          <w:color w:val="auto"/>
          <w:sz w:val="20"/>
          <w:szCs w:val="20"/>
          <w:lang w:val="pt-BR"/>
        </w:rPr>
        <w:t>27/02/2024</w:t>
      </w:r>
      <w:r>
        <w:rPr>
          <w:color w:val="auto"/>
          <w:sz w:val="20"/>
          <w:szCs w:val="20"/>
          <w:lang w:val="pt-BR"/>
        </w:rPr>
        <w:t xml:space="preserve"> – </w:t>
      </w:r>
      <w:r>
        <w:rPr>
          <w:color w:val="auto"/>
          <w:sz w:val="20"/>
          <w:szCs w:val="20"/>
          <w:lang w:val="pt-BR"/>
        </w:rPr>
        <w:t xml:space="preserve">15:00 </w:t>
      </w:r>
      <w:r>
        <w:rPr>
          <w:color w:val="auto"/>
          <w:sz w:val="20"/>
          <w:szCs w:val="20"/>
          <w:lang w:val="pt-BR"/>
        </w:rPr>
        <w:t>h</w:t>
      </w:r>
      <w:r>
        <w:rPr>
          <w:color w:val="auto"/>
          <w:sz w:val="20"/>
          <w:szCs w:val="20"/>
        </w:rPr>
        <w:t xml:space="preserve"> </w:t>
      </w:r>
    </w:p>
    <w:p>
      <w:pPr>
        <w:pStyle w:val="Corpodotextorecuado"/>
        <w:widowControl w:val="false"/>
        <w:numPr>
          <w:ilvl w:val="0"/>
          <w:numId w:val="5"/>
        </w:numPr>
        <w:tabs>
          <w:tab w:val="clear" w:pos="709"/>
          <w:tab w:val="left" w:pos="284" w:leader="none"/>
        </w:tabs>
        <w:overflowPunct w:val="false"/>
        <w:spacing w:lineRule="auto" w:line="240"/>
        <w:jc w:val="left"/>
        <w:rPr>
          <w:b/>
          <w:b/>
          <w:bCs/>
          <w:color w:val="auto"/>
          <w:sz w:val="20"/>
          <w:szCs w:val="20"/>
        </w:rPr>
      </w:pPr>
      <w:r>
        <w:rPr>
          <w:color w:val="auto"/>
          <w:sz w:val="20"/>
          <w:szCs w:val="20"/>
        </w:rPr>
        <w:t xml:space="preserve">Endereço eletrônico: </w:t>
      </w:r>
      <w:hyperlink r:id="rId2">
        <w:r>
          <w:rPr>
            <w:rStyle w:val="LinkdaInternet"/>
            <w:sz w:val="20"/>
            <w:szCs w:val="20"/>
          </w:rPr>
          <w:t>www.bnc.org.br</w:t>
        </w:r>
      </w:hyperlink>
      <w:r>
        <w:rPr>
          <w:sz w:val="20"/>
          <w:szCs w:val="20"/>
          <w:lang w:val="pt-BR"/>
        </w:rPr>
        <w:t xml:space="preserve"> </w:t>
      </w:r>
    </w:p>
    <w:p>
      <w:pPr>
        <w:pStyle w:val="Corpodotextorecuado"/>
        <w:widowControl w:val="false"/>
        <w:tabs>
          <w:tab w:val="clear" w:pos="709"/>
          <w:tab w:val="left" w:pos="284" w:leader="none"/>
        </w:tabs>
        <w:overflowPunct w:val="false"/>
        <w:spacing w:lineRule="auto" w:line="240"/>
        <w:jc w:val="left"/>
        <w:rPr>
          <w:b/>
          <w:b/>
          <w:bCs/>
          <w:color w:val="auto"/>
          <w:sz w:val="20"/>
          <w:szCs w:val="20"/>
          <w:highlight w:val="yellow"/>
        </w:rPr>
      </w:pPr>
      <w:r>
        <w:rPr>
          <w:b/>
          <w:bCs/>
          <w:color w:val="auto"/>
          <w:sz w:val="20"/>
          <w:szCs w:val="20"/>
          <w:highlight w:val="yellow"/>
        </w:rPr>
      </w:r>
    </w:p>
    <w:p>
      <w:pPr>
        <w:pStyle w:val="Normal"/>
        <w:shd w:val="clear" w:color="auto" w:fill="DDDDDD"/>
        <w:ind w:firstLine="561"/>
        <w:rPr>
          <w:rFonts w:ascii="Arial" w:hAnsi="Arial" w:cs="Arial"/>
        </w:rPr>
      </w:pPr>
      <w:r>
        <w:rPr>
          <w:rFonts w:cs="Arial" w:ascii="Arial" w:hAnsi="Arial"/>
          <w:b/>
          <w:bCs/>
        </w:rPr>
        <w:t>2. DO OBJETO: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a)</w:t>
      </w:r>
      <w:r>
        <w:rPr>
          <w:rFonts w:cs="Arial" w:ascii="Arial" w:hAnsi="Arial"/>
        </w:rPr>
        <w:t xml:space="preserve"> Objeto:</w:t>
      </w:r>
      <w:r>
        <w:rPr>
          <w:rFonts w:cs="Arial" w:ascii="Arial" w:hAnsi="Arial"/>
          <w:b/>
        </w:rPr>
        <w:t xml:space="preserve"> C</w:t>
      </w:r>
      <w:r>
        <w:rPr>
          <w:rFonts w:cs="Arial" w:ascii="Arial" w:hAnsi="Arial"/>
          <w:b w:val="false"/>
          <w:i w:val="false"/>
          <w:caps w:val="false"/>
          <w:smallCaps w:val="false"/>
          <w:spacing w:val="0"/>
          <w:sz w:val="20"/>
          <w:szCs w:val="20"/>
        </w:rPr>
        <w:t>arga para extintor</w:t>
      </w:r>
      <w:r>
        <w:rPr>
          <w:rFonts w:cs="Arial" w:ascii="Arial" w:hAnsi="Arial"/>
          <w:b/>
          <w:sz w:val="20"/>
          <w:szCs w:val="20"/>
        </w:rPr>
        <w:t xml:space="preserve"> </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 xml:space="preserve">b) </w:t>
      </w:r>
      <w:r>
        <w:rPr>
          <w:rFonts w:cs="Arial" w:ascii="Arial" w:hAnsi="Arial"/>
        </w:rPr>
        <w:t>Unidade Requisitante:</w:t>
      </w:r>
      <w:r>
        <w:rPr>
          <w:rFonts w:cs="Arial" w:ascii="Arial" w:hAnsi="Arial"/>
          <w:sz w:val="20"/>
          <w:szCs w:val="20"/>
        </w:rPr>
        <w:t xml:space="preserve"> </w:t>
      </w:r>
      <w:r>
        <w:rPr>
          <w:rFonts w:cs="Arial" w:ascii="Arial" w:hAnsi="Arial"/>
          <w:b w:val="false"/>
          <w:i w:val="false"/>
          <w:caps w:val="false"/>
          <w:smallCaps w:val="false"/>
          <w:spacing w:val="0"/>
          <w:sz w:val="20"/>
          <w:szCs w:val="20"/>
        </w:rPr>
        <w:t>SECRETARIA MUNICIPAL DE GOVERNO</w:t>
      </w:r>
      <w:r>
        <w:rPr>
          <w:rFonts w:cs="Arial" w:ascii="Arial" w:hAnsi="Arial"/>
        </w:rPr>
        <w:t xml:space="preserve"> </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c)</w:t>
      </w:r>
      <w:r>
        <w:rPr>
          <w:rFonts w:cs="Arial" w:ascii="Arial" w:hAnsi="Arial"/>
        </w:rPr>
        <w:t xml:space="preserve"> Fonte de recursos: </w:t>
      </w:r>
      <w:r>
        <w:rPr>
          <w:rFonts w:cs="Arial" w:ascii="Arial" w:hAnsi="Arial"/>
          <w:b w:val="false"/>
          <w:i w:val="false"/>
          <w:caps w:val="false"/>
          <w:smallCaps w:val="false"/>
          <w:spacing w:val="0"/>
        </w:rPr>
        <w:t>Tesouro - 14.422.0015.2009.0000</w:t>
      </w:r>
      <w:r>
        <w:rPr>
          <w:rFonts w:cs="Arial" w:ascii="Arial" w:hAnsi="Arial"/>
        </w:rPr>
        <w:t xml:space="preserve"> </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d)</w:t>
      </w:r>
      <w:r>
        <w:rPr>
          <w:rFonts w:cs="Arial" w:ascii="Arial" w:hAnsi="Arial"/>
        </w:rPr>
        <w:t xml:space="preserve"> Valor estimado da contratação: </w:t>
      </w:r>
      <w:r>
        <w:rPr>
          <w:rFonts w:cs="Arial" w:ascii="Arial" w:hAnsi="Arial"/>
          <w:b w:val="false"/>
          <w:i w:val="false"/>
          <w:caps w:val="false"/>
          <w:smallCaps w:val="false"/>
          <w:spacing w:val="0"/>
          <w:sz w:val="20"/>
          <w:szCs w:val="20"/>
        </w:rPr>
        <w:t>R$ 594,9997</w:t>
      </w:r>
      <w:r>
        <w:rPr>
          <w:rFonts w:cs="Arial" w:ascii="Arial" w:hAnsi="Arial"/>
          <w:b/>
          <w:sz w:val="20"/>
          <w:szCs w:val="20"/>
        </w:rPr>
        <w:t xml:space="preserve"> </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e)</w:t>
      </w:r>
      <w:r>
        <w:rPr>
          <w:rFonts w:cs="Arial" w:ascii="Arial" w:hAnsi="Arial"/>
        </w:rPr>
        <w:t xml:space="preserve"> Prazo de contratação: Até a entrega definitiva do objeto.</w:t>
      </w:r>
    </w:p>
    <w:p>
      <w:pPr>
        <w:pStyle w:val="Normal"/>
        <w:tabs>
          <w:tab w:val="clear" w:pos="709"/>
          <w:tab w:val="left" w:pos="284" w:leader="none"/>
        </w:tabs>
        <w:jc w:val="both"/>
        <w:rPr>
          <w:rFonts w:ascii="Arial" w:hAnsi="Arial" w:cs="Arial"/>
          <w:highlight w:val="yellow"/>
        </w:rPr>
      </w:pPr>
      <w:r>
        <w:rPr>
          <w:rFonts w:cs="Arial" w:ascii="Arial" w:hAnsi="Arial"/>
          <w:b/>
        </w:rPr>
        <w:t xml:space="preserve">f) </w:t>
      </w:r>
      <w:r>
        <w:rPr>
          <w:rFonts w:cs="Arial" w:ascii="Arial" w:hAnsi="Arial"/>
        </w:rPr>
        <w:t>Amparo Legal: Art. 75, Inciso II (será aplicado o benefício da LC 123/06, conforme item 2.3.1 do Regulamento Geral).</w:t>
      </w:r>
    </w:p>
    <w:p>
      <w:pPr>
        <w:pStyle w:val="Normal"/>
        <w:tabs>
          <w:tab w:val="clear" w:pos="709"/>
          <w:tab w:val="left" w:pos="284" w:leader="none"/>
        </w:tabs>
        <w:ind w:left="561" w:hanging="0"/>
        <w:jc w:val="both"/>
        <w:rPr>
          <w:rFonts w:ascii="Arial" w:hAnsi="Arial" w:cs="Arial"/>
          <w:highlight w:val="yellow"/>
        </w:rPr>
      </w:pPr>
      <w:r>
        <w:rPr>
          <w:rFonts w:cs="Arial" w:ascii="Arial" w:hAnsi="Arial"/>
          <w:highlight w:val="yellow"/>
        </w:rPr>
      </w:r>
    </w:p>
    <w:p>
      <w:pPr>
        <w:pStyle w:val="Normal"/>
        <w:shd w:val="clear" w:color="auto" w:fill="DDDDDD"/>
        <w:ind w:firstLine="561"/>
        <w:rPr>
          <w:rFonts w:ascii="Arial" w:hAnsi="Arial" w:cs="Arial"/>
        </w:rPr>
      </w:pPr>
      <w:r>
        <w:rPr>
          <w:rFonts w:cs="Arial" w:ascii="Arial" w:hAnsi="Arial"/>
          <w:b/>
          <w:bCs/>
        </w:rPr>
        <w:t>3. DA PROPOSTA:</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20"/>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21"/>
        </w:numPr>
        <w:tabs>
          <w:tab w:val="clear" w:pos="709"/>
          <w:tab w:val="left" w:pos="284" w:leader="none"/>
        </w:tabs>
        <w:jc w:val="both"/>
        <w:rPr>
          <w:rFonts w:ascii="Arial" w:hAnsi="Arial" w:cs="Arial"/>
          <w:b/>
          <w:b/>
          <w:u w:val="single"/>
        </w:rPr>
      </w:pPr>
      <w:r>
        <w:rPr>
          <w:rFonts w:cs="Arial" w:ascii="Arial" w:hAnsi="Arial"/>
        </w:rPr>
        <w:t>Prazo de Pagamento: 15 (quinze) dias úteis, contados da data do recebimento da nota fiscal, em atendimento ao Decreto Municipal Nº 17.640/18.</w:t>
      </w:r>
    </w:p>
    <w:p>
      <w:pPr>
        <w:pStyle w:val="Normal"/>
        <w:tabs>
          <w:tab w:val="clear" w:pos="709"/>
          <w:tab w:val="left" w:pos="284" w:leader="none"/>
        </w:tabs>
        <w:jc w:val="both"/>
        <w:rPr>
          <w:rFonts w:ascii="Arial" w:hAnsi="Arial" w:cs="Arial"/>
        </w:rPr>
      </w:pPr>
      <w:r>
        <w:rPr>
          <w:rFonts w:cs="Arial" w:ascii="Arial" w:hAnsi="Arial"/>
          <w:b/>
        </w:rPr>
        <w:t>b.1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tabs>
          <w:tab w:val="clear" w:pos="709"/>
          <w:tab w:val="left" w:pos="284" w:leader="none"/>
        </w:tabs>
        <w:jc w:val="both"/>
        <w:rPr>
          <w:rFonts w:ascii="Arial" w:hAnsi="Arial" w:cs="Arial"/>
          <w:b/>
          <w:b/>
          <w:u w:val="single"/>
        </w:rPr>
      </w:pPr>
      <w:r>
        <w:rPr>
          <w:rFonts w:cs="Arial" w:ascii="Arial" w:hAnsi="Arial"/>
        </w:rPr>
        <w:t>O envio da Nota Fiscal Eletrônica deverá ser feito no e-mail: notafiscal@piracicaba.sp.gov.br</w:t>
      </w:r>
    </w:p>
    <w:p>
      <w:pPr>
        <w:pStyle w:val="Normal"/>
        <w:numPr>
          <w:ilvl w:val="0"/>
          <w:numId w:val="22"/>
        </w:numPr>
        <w:tabs>
          <w:tab w:val="clear" w:pos="709"/>
          <w:tab w:val="left" w:pos="284" w:leader="none"/>
        </w:tabs>
        <w:jc w:val="both"/>
        <w:rPr>
          <w:rFonts w:ascii="Arial" w:hAnsi="Arial" w:cs="Arial"/>
        </w:rPr>
      </w:pPr>
      <w:r>
        <w:rPr>
          <w:rFonts w:cs="Arial" w:ascii="Arial" w:hAnsi="Arial"/>
        </w:rPr>
        <w:t xml:space="preserve">Deverá ser especificado na proposta o </w:t>
      </w:r>
      <w:r>
        <w:rPr>
          <w:rFonts w:cs="Arial" w:ascii="Arial" w:hAnsi="Arial"/>
          <w:b/>
        </w:rPr>
        <w:t>valor unitário e total</w:t>
      </w:r>
      <w:r>
        <w:rPr>
          <w:rFonts w:cs="Arial" w:ascii="Arial" w:hAnsi="Arial"/>
        </w:rPr>
        <w:t xml:space="preserve"> do item.</w:t>
      </w:r>
    </w:p>
    <w:p>
      <w:pPr>
        <w:pStyle w:val="Normal"/>
        <w:numPr>
          <w:ilvl w:val="0"/>
          <w:numId w:val="23"/>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tabs>
          <w:tab w:val="clear" w:pos="709"/>
          <w:tab w:val="left" w:pos="284" w:leader="none"/>
        </w:tabs>
        <w:jc w:val="both"/>
        <w:rPr>
          <w:rFonts w:ascii="Arial" w:hAnsi="Arial" w:eastAsia="Arial" w:cs="Arial"/>
        </w:rPr>
      </w:pPr>
      <w:r>
        <w:rPr>
          <w:rFonts w:eastAsia="Arial" w:cs="Arial" w:ascii="Arial" w:hAnsi="Arial"/>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cs="Arial"/>
              </w:rPr>
            </w:pPr>
            <w:r>
              <w:rPr>
                <w:rFonts w:cs="Arial" w:ascii="Arial" w:hAnsi="Arial"/>
                <w:b/>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rPr>
            </w:pPr>
            <w:r>
              <w:rPr>
                <w:rFonts w:cs="Arial" w:ascii="Arial" w:hAnsi="Arial"/>
                <w:b/>
                <w:bCs/>
              </w:rPr>
              <w:t>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5</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b w:val="false"/>
                <w:i w:val="false"/>
                <w:caps w:val="false"/>
                <w:smallCaps w:val="false"/>
                <w:spacing w:val="0"/>
              </w:rPr>
              <w:t>Carga para manutenção extintor água 10 L</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bCs/>
              </w:rPr>
            </w:pPr>
            <w:r>
              <w:rPr>
                <w:rFonts w:cs="Arial" w:ascii="Arial" w:hAnsi="Arial"/>
                <w:b/>
                <w:bCs/>
              </w:rPr>
              <w:t>2</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4</w:t>
            </w:r>
          </w:p>
        </w:tc>
        <w:tc>
          <w:tcPr>
            <w:tcW w:w="850" w:type="dxa"/>
            <w:tcBorders>
              <w:top w:val="single" w:sz="4" w:space="0" w:color="000000"/>
              <w:left w:val="single" w:sz="4" w:space="0" w:color="000000"/>
              <w:bottom w:val="single" w:sz="4" w:space="0" w:color="000000"/>
            </w:tcBorders>
          </w:tcPr>
          <w:p>
            <w:pPr>
              <w:pStyle w:val="Normal"/>
              <w:widowControl w:val="false"/>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sz w:val="20"/>
                <w:szCs w:val="20"/>
              </w:rPr>
            </w:pPr>
            <w:r>
              <w:rPr>
                <w:rFonts w:cs="Arial" w:ascii="Arial" w:hAnsi="Arial"/>
                <w:b w:val="false"/>
                <w:i w:val="false"/>
                <w:caps w:val="false"/>
                <w:smallCaps w:val="false"/>
                <w:spacing w:val="0"/>
                <w:sz w:val="20"/>
                <w:szCs w:val="20"/>
              </w:rPr>
              <w:t>Carga para manutenção extintor PQ S 4 Kg</w:t>
            </w:r>
          </w:p>
        </w:tc>
      </w:tr>
    </w:tbl>
    <w:p>
      <w:pPr>
        <w:pStyle w:val="Normal"/>
        <w:tabs>
          <w:tab w:val="clear" w:pos="709"/>
          <w:tab w:val="left" w:pos="284" w:leader="none"/>
        </w:tabs>
        <w:jc w:val="both"/>
        <w:rPr>
          <w:rFonts w:ascii="Arial" w:hAnsi="Arial" w:eastAsia="Arial" w:cs="Arial"/>
        </w:rPr>
      </w:pPr>
      <w:r>
        <w:rPr>
          <w:rFonts w:eastAsia="Arial" w:cs="Arial" w:ascii="Arial" w:hAnsi="Arial"/>
        </w:rPr>
      </w:r>
    </w:p>
    <w:p>
      <w:pPr>
        <w:pStyle w:val="Normal"/>
        <w:tabs>
          <w:tab w:val="clear" w:pos="709"/>
          <w:tab w:val="left" w:pos="284" w:leader="none"/>
        </w:tabs>
        <w:jc w:val="both"/>
        <w:rPr>
          <w:rFonts w:ascii="Arial" w:hAnsi="Arial" w:eastAsia="Arial" w:cs="Arial"/>
        </w:rPr>
      </w:pPr>
      <w:r>
        <w:rPr>
          <w:rFonts w:eastAsia="Arial" w:cs="Arial" w:ascii="Arial" w:hAnsi="Arial"/>
        </w:rPr>
      </w:r>
    </w:p>
    <w:p>
      <w:pPr>
        <w:pStyle w:val="Normal"/>
        <w:shd w:val="clear" w:color="auto" w:fill="CCCCCC"/>
        <w:tabs>
          <w:tab w:val="clear" w:pos="709"/>
          <w:tab w:val="left" w:pos="3450" w:leader="none"/>
        </w:tabs>
        <w:ind w:firstLine="561"/>
        <w:jc w:val="both"/>
        <w:rPr>
          <w:rFonts w:ascii="Arial" w:hAnsi="Arial" w:cs="Arial"/>
          <w:b/>
          <w:b/>
          <w:bCs/>
        </w:rPr>
      </w:pPr>
      <w:r>
        <w:rPr>
          <w:rFonts w:cs="Arial" w:ascii="Arial" w:hAnsi="Arial"/>
          <w:b/>
          <w:bCs/>
        </w:rPr>
        <w:t>4. DOS REQUISITOS: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b/>
          <w:b/>
          <w:bCs/>
          <w:highlight w:val="yellow"/>
        </w:rPr>
      </w:pPr>
      <w:r>
        <w:rPr>
          <w:rFonts w:cs="Arial" w:ascii="Arial" w:hAnsi="Arial"/>
          <w:b/>
          <w:bCs/>
        </w:rPr>
        <w:t>a) EMBALAGENS:</w:t>
      </w:r>
      <w:r>
        <w:rPr>
          <w:rFonts w:cs="Arial" w:ascii="Arial" w:hAnsi="Arial"/>
        </w:rPr>
        <w:t xml:space="preserve"> Os produtos deverão ser acondicionados de acordo com a praxe do fabricante, garantindo sua integridade durante o transporte, armazenamento e uso, rotulados conforme a legislação em vigor.</w:t>
      </w:r>
    </w:p>
    <w:p>
      <w:pPr>
        <w:pStyle w:val="Normal"/>
        <w:numPr>
          <w:ilvl w:val="1"/>
          <w:numId w:val="4"/>
        </w:numPr>
        <w:tabs>
          <w:tab w:val="clear" w:pos="709"/>
          <w:tab w:val="left" w:pos="284" w:leader="none"/>
        </w:tabs>
        <w:ind w:right="-1" w:hanging="0"/>
        <w:jc w:val="both"/>
        <w:rPr>
          <w:rFonts w:ascii="Arial" w:hAnsi="Arial" w:cs="Arial"/>
        </w:rPr>
      </w:pPr>
      <w:r>
        <w:rPr>
          <w:rFonts w:cs="Arial" w:ascii="Arial" w:hAnsi="Arial"/>
          <w:b/>
          <w:bCs/>
        </w:rPr>
        <w:t xml:space="preserve">GARANTIA: </w:t>
      </w:r>
      <w:r>
        <w:rPr>
          <w:rFonts w:cs="Arial" w:ascii="Arial" w:hAnsi="Arial"/>
        </w:rPr>
        <w:t>A garantia do produto deverá ser de no mínimo 12 (doze) meses, contado da data de recebimento.</w:t>
      </w:r>
    </w:p>
    <w:p>
      <w:pPr>
        <w:pStyle w:val="Normal"/>
        <w:tabs>
          <w:tab w:val="clear" w:pos="709"/>
          <w:tab w:val="left" w:pos="284" w:leader="none"/>
        </w:tabs>
        <w:jc w:val="both"/>
        <w:rPr>
          <w:rFonts w:ascii="Arial" w:hAnsi="Arial" w:cs="Arial"/>
        </w:rPr>
      </w:pPr>
      <w:r>
        <w:rPr>
          <w:rFonts w:cs="Arial" w:ascii="Arial" w:hAnsi="Arial"/>
          <w:b w:val="false"/>
          <w:bCs/>
          <w:i w:val="false"/>
          <w:caps w:val="false"/>
          <w:smallCaps w:val="false"/>
          <w:spacing w:val="0"/>
        </w:rPr>
        <w:t>Durante a vigência da garantia, a contratada deverá substituir, sem nenhum ônus adicional, produtos defeituosos ou com desgaste anormal, no prazo máximo de 10 (dez) dias, a contar da notificação.</w:t>
      </w:r>
      <w:r>
        <w:rPr>
          <w:rFonts w:cs="Arial" w:ascii="Arial" w:hAnsi="Arial"/>
          <w:bCs/>
        </w:rPr>
        <w:t xml:space="preserve"> </w:t>
      </w:r>
    </w:p>
    <w:p>
      <w:pPr>
        <w:pStyle w:val="Normal"/>
        <w:tabs>
          <w:tab w:val="clear" w:pos="709"/>
          <w:tab w:val="left" w:pos="284" w:leader="none"/>
        </w:tabs>
        <w:ind w:left="720" w:hanging="0"/>
        <w:jc w:val="both"/>
        <w:rPr>
          <w:rFonts w:ascii="Arial" w:hAnsi="Arial" w:cs="Arial"/>
        </w:rPr>
      </w:pPr>
      <w:r>
        <w:rPr>
          <w:rFonts w:cs="Arial" w:ascii="Arial" w:hAnsi="Arial"/>
        </w:rPr>
      </w:r>
    </w:p>
    <w:p>
      <w:pPr>
        <w:pStyle w:val="Normal"/>
        <w:shd w:val="clear" w:color="auto" w:fill="CCCCCC"/>
        <w:ind w:firstLine="561"/>
        <w:rPr>
          <w:rFonts w:ascii="Arial" w:hAnsi="Arial" w:cs="Arial"/>
        </w:rPr>
      </w:pPr>
      <w:r>
        <w:rPr>
          <w:rFonts w:cs="Arial" w:ascii="Arial" w:hAnsi="Arial"/>
          <w:b/>
          <w:bCs/>
        </w:rPr>
        <w:t>5. DA ENTREGA:</w:t>
      </w:r>
    </w:p>
    <w:p>
      <w:pPr>
        <w:pStyle w:val="Normal"/>
        <w:tabs>
          <w:tab w:val="clear" w:pos="709"/>
          <w:tab w:val="left" w:pos="284" w:leader="none"/>
        </w:tabs>
        <w:jc w:val="both"/>
        <w:rPr>
          <w:rFonts w:ascii="Arial" w:hAnsi="Arial" w:cs="Arial"/>
          <w:lang w:eastAsia="pt-BR"/>
        </w:rPr>
      </w:pPr>
      <w:r>
        <w:rPr>
          <w:rFonts w:cs="Arial" w:ascii="Arial" w:hAnsi="Arial"/>
          <w:lang w:eastAsia="pt-BR"/>
        </w:rPr>
      </w:r>
    </w:p>
    <w:p>
      <w:pPr>
        <w:pStyle w:val="Normal"/>
        <w:numPr>
          <w:ilvl w:val="0"/>
          <w:numId w:val="24"/>
        </w:numPr>
        <w:tabs>
          <w:tab w:val="clear" w:pos="709"/>
          <w:tab w:val="left" w:pos="284" w:leader="none"/>
        </w:tabs>
        <w:jc w:val="both"/>
        <w:rPr>
          <w:rFonts w:ascii="Arial" w:hAnsi="Arial" w:cs="Arial"/>
          <w:lang w:eastAsia="pt-BR"/>
        </w:rPr>
      </w:pPr>
      <w:r>
        <w:rPr>
          <w:rFonts w:cs="Arial" w:ascii="Arial" w:hAnsi="Arial"/>
          <w:lang w:eastAsia="pt-BR"/>
        </w:rPr>
        <w:t>Prazo de entrega: até o máximo de 15 (quinze) dias, a contar da Ordem de Fornecimento, emitida pela Unidade Requisitante.</w:t>
      </w:r>
    </w:p>
    <w:p>
      <w:pPr>
        <w:pStyle w:val="Normal"/>
        <w:numPr>
          <w:ilvl w:val="0"/>
          <w:numId w:val="25"/>
        </w:numPr>
        <w:tabs>
          <w:tab w:val="clear" w:pos="709"/>
          <w:tab w:val="left" w:pos="284" w:leader="none"/>
        </w:tabs>
        <w:jc w:val="both"/>
        <w:rPr>
          <w:rFonts w:ascii="Arial" w:hAnsi="Arial" w:cs="Arial"/>
        </w:rPr>
      </w:pPr>
      <w:r>
        <w:rPr>
          <w:rFonts w:cs="Arial" w:ascii="Arial" w:hAnsi="Arial"/>
          <w:lang w:eastAsia="pt-BR"/>
        </w:rPr>
        <w:t>Local de entrega: S</w:t>
      </w:r>
      <w:r>
        <w:rPr>
          <w:rFonts w:cs="Arial" w:ascii="Arial" w:hAnsi="Arial"/>
          <w:b w:val="false"/>
          <w:i w:val="false"/>
          <w:caps w:val="false"/>
          <w:smallCaps w:val="false"/>
          <w:spacing w:val="0"/>
          <w:sz w:val="20"/>
          <w:szCs w:val="20"/>
          <w:lang w:eastAsia="pt-BR"/>
        </w:rPr>
        <w:t>ecretaria Municipal de Governo – Central de Projetos - FUSSP</w:t>
      </w:r>
      <w:r>
        <w:rPr>
          <w:rFonts w:cs="Arial" w:ascii="Arial" w:hAnsi="Arial"/>
          <w:sz w:val="20"/>
          <w:szCs w:val="20"/>
          <w:lang w:eastAsia="pt-BR"/>
        </w:rPr>
        <w:t xml:space="preserve"> </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val="false"/>
          <w:i w:val="false"/>
          <w:caps w:val="false"/>
          <w:smallCaps w:val="false"/>
          <w:spacing w:val="0"/>
          <w:sz w:val="20"/>
          <w:szCs w:val="20"/>
          <w:lang w:eastAsia="pt-BR"/>
        </w:rPr>
        <w:t xml:space="preserve">     </w:t>
      </w:r>
      <w:r>
        <w:rPr>
          <w:rFonts w:cs="Arial" w:ascii="Arial" w:hAnsi="Arial"/>
          <w:b w:val="false"/>
          <w:i w:val="false"/>
          <w:caps w:val="false"/>
          <w:smallCaps w:val="false"/>
          <w:spacing w:val="0"/>
          <w:sz w:val="20"/>
          <w:szCs w:val="20"/>
          <w:lang w:eastAsia="pt-BR"/>
        </w:rPr>
        <w:t>Rua Prof. José Rosário Losso nº 946, esquina com a Rua Presidente Vargas –Jaraguá – Piracicaba/SP.</w:t>
      </w:r>
    </w:p>
    <w:p>
      <w:pPr>
        <w:pStyle w:val="Normal"/>
        <w:numPr>
          <w:ilvl w:val="0"/>
          <w:numId w:val="0"/>
        </w:numPr>
        <w:tabs>
          <w:tab w:val="clear" w:pos="709"/>
          <w:tab w:val="left" w:pos="284" w:leader="none"/>
        </w:tabs>
        <w:ind w:left="0" w:hanging="0"/>
        <w:jc w:val="both"/>
        <w:rPr>
          <w:rFonts w:ascii="Arial" w:hAnsi="Arial"/>
          <w:sz w:val="20"/>
          <w:szCs w:val="20"/>
        </w:rPr>
      </w:pPr>
      <w:r>
        <w:rPr>
          <w:rFonts w:cs="Arial" w:ascii="Arial" w:hAnsi="Arial"/>
          <w:b w:val="false"/>
          <w:i w:val="false"/>
          <w:caps w:val="false"/>
          <w:smallCaps w:val="false"/>
          <w:spacing w:val="0"/>
          <w:sz w:val="20"/>
          <w:szCs w:val="20"/>
          <w:lang w:eastAsia="pt-BR"/>
        </w:rPr>
        <w:t xml:space="preserve">     </w:t>
      </w:r>
      <w:r>
        <w:rPr>
          <w:rFonts w:cs="Arial" w:ascii="Arial" w:hAnsi="Arial"/>
          <w:b w:val="false"/>
          <w:i w:val="false"/>
          <w:caps w:val="false"/>
          <w:smallCaps w:val="false"/>
          <w:spacing w:val="0"/>
          <w:sz w:val="20"/>
          <w:szCs w:val="20"/>
          <w:lang w:eastAsia="pt-BR"/>
        </w:rPr>
        <w:t>Horário de entrega das 8h30 às 16h30, de segunda à sexta-feira.</w:t>
      </w:r>
      <w:r>
        <w:rPr>
          <w:rFonts w:cs="Arial" w:ascii="Arial" w:hAnsi="Arial"/>
          <w:sz w:val="20"/>
          <w:szCs w:val="20"/>
          <w:lang w:eastAsia="pt-BR"/>
        </w:rPr>
        <w:t xml:space="preserve"> </w:t>
      </w:r>
    </w:p>
    <w:p>
      <w:pPr>
        <w:pStyle w:val="Normal"/>
        <w:numPr>
          <w:ilvl w:val="0"/>
          <w:numId w:val="0"/>
        </w:numPr>
        <w:tabs>
          <w:tab w:val="clear" w:pos="709"/>
          <w:tab w:val="left" w:pos="284" w:leader="none"/>
        </w:tabs>
        <w:ind w:left="0" w:hanging="0"/>
        <w:jc w:val="both"/>
        <w:rPr>
          <w:rFonts w:cs="Arial"/>
          <w:lang w:eastAsia="pt-BR"/>
        </w:rPr>
      </w:pPr>
      <w:r>
        <w:rPr>
          <w:rFonts w:cs="Arial" w:ascii="Arial" w:hAnsi="Arial"/>
          <w:b w:val="false"/>
          <w:i w:val="false"/>
          <w:caps w:val="false"/>
          <w:smallCaps w:val="false"/>
          <w:spacing w:val="0"/>
          <w:sz w:val="20"/>
          <w:szCs w:val="20"/>
          <w:lang w:eastAsia="pt-BR"/>
        </w:rPr>
        <w:t xml:space="preserve">     </w:t>
      </w:r>
      <w:r>
        <w:rPr>
          <w:rFonts w:cs="Arial" w:ascii="Arial" w:hAnsi="Arial"/>
          <w:b w:val="false"/>
          <w:i w:val="false"/>
          <w:caps w:val="false"/>
          <w:smallCaps w:val="false"/>
          <w:spacing w:val="0"/>
          <w:sz w:val="20"/>
          <w:szCs w:val="20"/>
          <w:lang w:eastAsia="pt-BR"/>
        </w:rPr>
        <w:t>A entrega teve ser agendada com Cássia, pelo telefone (19) 3422-9677</w:t>
      </w:r>
      <w:r>
        <w:rPr>
          <w:rFonts w:cs="Arial" w:ascii="Arial" w:hAnsi="Arial"/>
          <w:sz w:val="20"/>
          <w:szCs w:val="20"/>
          <w:lang w:eastAsia="pt-BR"/>
        </w:rPr>
        <w:t xml:space="preserve"> </w:t>
      </w:r>
    </w:p>
    <w:p>
      <w:pPr>
        <w:pStyle w:val="Normal"/>
        <w:numPr>
          <w:ilvl w:val="0"/>
          <w:numId w:val="0"/>
        </w:numPr>
        <w:tabs>
          <w:tab w:val="clear" w:pos="709"/>
          <w:tab w:val="left" w:pos="284" w:leader="none"/>
        </w:tabs>
        <w:ind w:left="0" w:hanging="0"/>
        <w:jc w:val="both"/>
        <w:rPr>
          <w:rFonts w:cs="Arial"/>
          <w:lang w:eastAsia="pt-BR"/>
        </w:rPr>
      </w:pPr>
      <w:r>
        <w:rPr>
          <w:rFonts w:cs="Arial"/>
          <w:lang w:eastAsia="pt-BR"/>
        </w:rPr>
      </w:r>
    </w:p>
    <w:p>
      <w:pPr>
        <w:pStyle w:val="Normal"/>
        <w:keepLines/>
        <w:numPr>
          <w:ilvl w:val="0"/>
          <w:numId w:val="26"/>
        </w:numPr>
        <w:tabs>
          <w:tab w:val="clear" w:pos="709"/>
          <w:tab w:val="left" w:pos="284" w:leader="none"/>
        </w:tabs>
        <w:jc w:val="both"/>
        <w:rPr>
          <w:rFonts w:ascii="Arial" w:hAnsi="Arial" w:cs="Arial"/>
        </w:rPr>
      </w:pPr>
      <w:r>
        <w:rPr>
          <w:rFonts w:cs="Arial" w:ascii="Arial" w:hAnsi="Arial"/>
        </w:rPr>
        <w:t>A Contratada será responsável pelo transporte e descarregamento do produto, devendo entregá-los em condições adequadas para o armazenamento.</w:t>
      </w:r>
    </w:p>
    <w:p>
      <w:pPr>
        <w:pStyle w:val="Normal"/>
        <w:keepLines/>
        <w:numPr>
          <w:ilvl w:val="0"/>
          <w:numId w:val="27"/>
        </w:numPr>
        <w:tabs>
          <w:tab w:val="clear" w:pos="709"/>
          <w:tab w:val="left" w:pos="284" w:leader="none"/>
        </w:tabs>
        <w:jc w:val="both"/>
        <w:rPr>
          <w:rFonts w:ascii="Arial" w:hAnsi="Arial" w:cs="Arial"/>
        </w:rPr>
      </w:pPr>
      <w:r>
        <w:rPr>
          <w:rFonts w:cs="Arial" w:ascii="Arial" w:hAnsi="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pPr>
        <w:pStyle w:val="Normal"/>
        <w:jc w:val="both"/>
        <w:rPr>
          <w:rFonts w:ascii="Arial" w:hAnsi="Arial" w:cs="Arial"/>
          <w:highlight w:val="yellow"/>
        </w:rPr>
      </w:pPr>
      <w:r>
        <w:rPr>
          <w:rFonts w:cs="Arial" w:ascii="Arial" w:hAnsi="Arial"/>
          <w:highlight w:val="yellow"/>
        </w:rPr>
      </w:r>
    </w:p>
    <w:p>
      <w:pPr>
        <w:pStyle w:val="Normal"/>
        <w:jc w:val="both"/>
        <w:rPr>
          <w:rFonts w:ascii="Arial" w:hAnsi="Arial" w:cs="Arial"/>
          <w:highlight w:val="yellow"/>
        </w:rPr>
      </w:pPr>
      <w:r>
        <w:rPr>
          <w:rFonts w:cs="Arial" w:ascii="Arial" w:hAnsi="Arial"/>
          <w:highlight w:val="yellow"/>
        </w:rPr>
      </w:r>
    </w:p>
    <w:p>
      <w:pPr>
        <w:pStyle w:val="Normal"/>
        <w:shd w:val="clear" w:color="auto" w:fill="DDDDDD"/>
        <w:ind w:firstLine="561"/>
        <w:rPr>
          <w:rFonts w:ascii="Arial" w:hAnsi="Arial" w:cs="Arial"/>
        </w:rPr>
      </w:pPr>
      <w:r>
        <w:rPr>
          <w:rFonts w:cs="Arial" w:ascii="Arial" w:hAnsi="Arial"/>
          <w:b/>
          <w:bCs/>
        </w:rPr>
        <w:t>6. DO FORNECIMENTO DE INFORMAÇÕES: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28"/>
        </w:numPr>
        <w:tabs>
          <w:tab w:val="clear" w:pos="709"/>
          <w:tab w:val="left" w:pos="284" w:leader="none"/>
        </w:tabs>
        <w:jc w:val="both"/>
        <w:rPr>
          <w:rFonts w:ascii="Arial" w:hAnsi="Arial" w:cs="Arial"/>
        </w:rPr>
      </w:pPr>
      <w:r>
        <w:rPr>
          <w:rFonts w:cs="Arial" w:ascii="Arial" w:hAnsi="Arial"/>
        </w:rPr>
        <w:t xml:space="preserve">As informações ou esclarecimentos referentes a presente licitação serão fornecidos pela Divisão de Compras, sito à Rua Antônio Corrêa Barbosa nº 2233, 7º andar, nesta cidade ou pelo telefone (19) 3403-1020 ou pelo e-mail </w:t>
      </w:r>
      <w:hyperlink r:id="rId3">
        <w:r>
          <w:rPr>
            <w:rStyle w:val="Hyperlink1"/>
            <w:rFonts w:cs="Arial" w:ascii="Arial" w:hAnsi="Arial"/>
            <w:color w:val="auto"/>
          </w:rPr>
          <w:t>compradireta@piracicaba.sp.gov.br</w:t>
        </w:r>
      </w:hyperlink>
      <w:r>
        <w:rPr>
          <w:rFonts w:cs="Arial" w:ascii="Arial" w:hAnsi="Arial"/>
        </w:rPr>
        <w:t xml:space="preserve">. </w:t>
      </w:r>
    </w:p>
    <w:p>
      <w:pPr>
        <w:pStyle w:val="Normal"/>
        <w:numPr>
          <w:ilvl w:val="0"/>
          <w:numId w:val="29"/>
        </w:numPr>
        <w:tabs>
          <w:tab w:val="clear" w:pos="709"/>
          <w:tab w:val="left" w:pos="284" w:leader="none"/>
        </w:tabs>
        <w:jc w:val="both"/>
        <w:rPr>
          <w:rFonts w:ascii="Arial" w:hAnsi="Arial" w:cs="Arial"/>
        </w:rPr>
      </w:pPr>
      <w:r>
        <w:rPr>
          <w:rFonts w:eastAsia="Arial" w:cs="Arial" w:ascii="Arial" w:hAnsi="Arial"/>
        </w:rPr>
        <w:t xml:space="preserve">As </w:t>
      </w:r>
      <w:r>
        <w:rPr>
          <w:rFonts w:eastAsia="Arial" w:cs="Arial" w:ascii="Arial" w:hAnsi="Arial"/>
          <w:b/>
        </w:rPr>
        <w:t>dúvidas técnicas</w:t>
      </w:r>
      <w:r>
        <w:rPr>
          <w:rFonts w:eastAsia="Arial" w:cs="Arial" w:ascii="Arial" w:hAnsi="Arial"/>
        </w:rPr>
        <w:t xml:space="preserve"> poderão ser esclarecidas com: </w:t>
      </w:r>
      <w:r>
        <w:rPr>
          <w:rFonts w:eastAsia="Arial" w:cs="Arial" w:ascii="Arial" w:hAnsi="Arial"/>
          <w:b w:val="false"/>
          <w:i w:val="false"/>
          <w:caps w:val="false"/>
          <w:smallCaps w:val="false"/>
          <w:spacing w:val="0"/>
        </w:rPr>
        <w:t>Secretaria Municipal de Governo, Cássia, pelo telefone: (19) 3422-9677, e-mail:</w:t>
      </w:r>
      <w:r>
        <w:rPr>
          <w:rFonts w:eastAsia="Arial" w:cs="Arial" w:ascii="Arial" w:hAnsi="Arial"/>
        </w:rPr>
        <w:t xml:space="preserve"> </w:t>
      </w:r>
      <w:r>
        <w:rPr>
          <w:rFonts w:eastAsia="Arial" w:cs="Arial" w:ascii="Arial" w:hAnsi="Arial"/>
          <w:b w:val="false"/>
          <w:i w:val="false"/>
          <w:caps w:val="false"/>
          <w:smallCaps w:val="false"/>
          <w:spacing w:val="0"/>
        </w:rPr>
        <w:t>ctio@piracicaba.sp.gov.br</w:t>
      </w:r>
      <w:r>
        <w:rPr>
          <w:rFonts w:eastAsia="Arial" w:cs="Arial" w:ascii="Arial" w:hAnsi="Arial"/>
          <w:caps w:val="false"/>
          <w:smallCaps w:val="false"/>
          <w:spacing w:val="0"/>
        </w:rPr>
        <w:t xml:space="preserve"> / naa.governo@piracicaba.sp.gov.br</w:t>
      </w:r>
    </w:p>
    <w:p>
      <w:pPr>
        <w:pStyle w:val="Normal"/>
        <w:jc w:val="both"/>
        <w:rPr>
          <w:rFonts w:ascii="Arial" w:hAnsi="Arial" w:cs="Arial"/>
        </w:rPr>
      </w:pPr>
      <w:r>
        <w:rPr>
          <w:rFonts w:cs="Arial" w:ascii="Arial" w:hAnsi="Arial"/>
        </w:rPr>
      </w:r>
    </w:p>
    <w:p>
      <w:pPr>
        <w:pStyle w:val="Normal"/>
        <w:shd w:val="clear" w:color="auto" w:fill="CCCCCC"/>
        <w:ind w:firstLine="561"/>
        <w:jc w:val="both"/>
        <w:rPr>
          <w:rFonts w:ascii="Arial" w:hAnsi="Arial" w:cs="Arial"/>
        </w:rPr>
      </w:pPr>
      <w:r>
        <w:rPr>
          <w:rFonts w:cs="Arial" w:ascii="Arial" w:hAnsi="Arial"/>
          <w:b/>
          <w:bCs/>
        </w:rPr>
        <w:t>7. EXIGÊNCIA PARA HABILITAÇÃO:</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b/>
          <w:b/>
          <w:bCs/>
        </w:rPr>
      </w:pPr>
      <w:r>
        <w:rPr>
          <w:rFonts w:cs="Arial" w:ascii="Arial" w:hAnsi="Arial"/>
          <w:b/>
          <w:bCs/>
        </w:rPr>
        <w:t>Proposta e Documentos obrigatórios que deverão ser anexados no site pela empresa vencedora da etapa de lances, no prazo de 06 horas: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a) HABILITAÇÃO JURÍDICA</w:t>
      </w:r>
    </w:p>
    <w:p>
      <w:pPr>
        <w:pStyle w:val="Normal"/>
        <w:jc w:val="both"/>
        <w:rPr>
          <w:rFonts w:ascii="Arial" w:hAnsi="Arial" w:cs="Arial"/>
        </w:rPr>
      </w:pPr>
      <w:r>
        <w:rPr>
          <w:rFonts w:cs="Arial" w:ascii="Arial" w:hAnsi="Arial"/>
          <w:b/>
          <w:bCs/>
        </w:rPr>
        <w:t xml:space="preserve">1. </w:t>
      </w:r>
      <w:r>
        <w:rPr>
          <w:rFonts w:cs="Arial" w:ascii="Arial" w:hAnsi="Arial"/>
        </w:rPr>
        <w:t xml:space="preserve">Registro Comercial, no caso de empresa individual; </w:t>
      </w:r>
      <w:r>
        <w:rPr>
          <w:rFonts w:cs="Arial" w:ascii="Arial" w:hAnsi="Arial"/>
          <w:b/>
        </w:rPr>
        <w:t>ou</w:t>
      </w:r>
      <w:r>
        <w:rPr>
          <w:rFonts w:cs="Arial" w:ascii="Arial" w:hAnsi="Arial"/>
        </w:rPr>
        <w:t xml:space="preserve"> Ato constitutivo (Estatuto ou Contrato Social em vigor), devidamente registrado no Órgão competente, acompanhado de documento comprobatório da eleição dos atuais administradores; </w:t>
      </w:r>
      <w:r>
        <w:rPr>
          <w:rFonts w:cs="Arial" w:ascii="Arial" w:hAnsi="Arial"/>
          <w:b/>
        </w:rPr>
        <w:t>ou</w:t>
      </w:r>
      <w:r>
        <w:rPr>
          <w:rFonts w:cs="Arial" w:ascii="Arial" w:hAnsi="Arial"/>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b) REGULARIDADE FISCAL E TRABALHISTA</w:t>
      </w:r>
    </w:p>
    <w:p>
      <w:pPr>
        <w:pStyle w:val="Normal"/>
        <w:tabs>
          <w:tab w:val="clear" w:pos="709"/>
          <w:tab w:val="left" w:pos="284" w:leader="none"/>
        </w:tabs>
        <w:jc w:val="both"/>
        <w:rPr>
          <w:rFonts w:ascii="Arial" w:hAnsi="Arial" w:cs="Arial"/>
        </w:rPr>
      </w:pPr>
      <w:r>
        <w:rPr>
          <w:rFonts w:cs="Arial" w:ascii="Arial" w:hAnsi="Arial"/>
          <w:b/>
          <w:bCs/>
        </w:rPr>
        <w:t xml:space="preserve">1. </w:t>
      </w:r>
      <w:r>
        <w:rPr>
          <w:rFonts w:cs="Arial" w:ascii="Arial" w:hAnsi="Arial"/>
        </w:rPr>
        <w:t>Inscrição no Cadastro Nacional de Pessoa Jurídica (CNPJ), do Ministério da Fazenda.</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 xml:space="preserve">2. </w:t>
      </w:r>
      <w:r>
        <w:rPr>
          <w:rFonts w:cs="Arial" w:ascii="Arial" w:hAnsi="Arial"/>
        </w:rPr>
        <w:t>Certidão Conjunta Negativa de Débitos ou Positiva com Efeito de Negativa, relativa a Tributos Federais (inclusive as contribuições sociais) e à Dívida Ativa da União.</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3.</w:t>
      </w:r>
      <w:r>
        <w:rPr>
          <w:rFonts w:cs="Arial" w:ascii="Arial" w:hAnsi="Arial"/>
        </w:rPr>
        <w:t xml:space="preserve"> Certidão negativa de Débitos ou Positiva com Efeito de Negativa de Tributos Estaduais relativos ao ICMS;</w:t>
      </w:r>
    </w:p>
    <w:p>
      <w:pPr>
        <w:pStyle w:val="Normal"/>
        <w:numPr>
          <w:ilvl w:val="0"/>
          <w:numId w:val="0"/>
        </w:numPr>
        <w:tabs>
          <w:tab w:val="clear" w:pos="709"/>
          <w:tab w:val="left" w:pos="284" w:leader="none"/>
          <w:tab w:val="left" w:pos="426" w:leader="none"/>
        </w:tabs>
        <w:ind w:left="284" w:hanging="0"/>
        <w:jc w:val="both"/>
        <w:rPr>
          <w:rFonts w:ascii="Arial" w:hAnsi="Arial" w:cs="Arial"/>
        </w:rPr>
      </w:pPr>
      <w:r>
        <w:rPr>
          <w:rFonts w:cs="Arial" w:ascii="Arial" w:hAnsi="Arial"/>
          <w:b/>
          <w:bCs/>
        </w:rPr>
        <w:t>3.1.</w:t>
      </w:r>
      <w:r>
        <w:rPr>
          <w:rFonts w:cs="Arial" w:ascii="Arial" w:hAnsi="Arial"/>
        </w:rPr>
        <w:t xml:space="preserve"> Será exigida comprovação somente sobre débitos inscritos em dívida ativa.</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4.</w:t>
      </w:r>
      <w:r>
        <w:rPr>
          <w:rFonts w:cs="Arial" w:ascii="Arial" w:hAnsi="Arial"/>
        </w:rPr>
        <w:t xml:space="preserve"> Certidão de regularidade de débito para com o Fundo de Garantia por Tempo de Serviço (FGTS).</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5.</w:t>
      </w:r>
      <w:r>
        <w:rPr>
          <w:rFonts w:cs="Arial" w:ascii="Arial" w:hAnsi="Arial"/>
        </w:rPr>
        <w:t xml:space="preserve"> 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tabs>
          <w:tab w:val="clear" w:pos="709"/>
          <w:tab w:val="left" w:pos="284" w:leader="none"/>
        </w:tabs>
        <w:jc w:val="both"/>
        <w:rPr>
          <w:rFonts w:ascii="Arial" w:hAnsi="Arial" w:cs="Arial"/>
        </w:rPr>
      </w:pPr>
      <w:r>
        <w:rPr>
          <w:rFonts w:cs="Arial" w:ascii="Arial" w:hAnsi="Arial"/>
          <w:b/>
          <w:bCs/>
        </w:rPr>
        <w:t>c) QUALIFICAÇÃO ECONÔMICO-FINANCEIRA</w:t>
      </w:r>
    </w:p>
    <w:p>
      <w:pPr>
        <w:pStyle w:val="ListParagraph"/>
        <w:numPr>
          <w:ilvl w:val="1"/>
          <w:numId w:val="30"/>
        </w:numPr>
        <w:tabs>
          <w:tab w:val="clear" w:pos="709"/>
          <w:tab w:val="left" w:pos="284" w:leader="none"/>
        </w:tabs>
        <w:jc w:val="both"/>
        <w:rPr>
          <w:rFonts w:ascii="Arial" w:hAnsi="Arial" w:cs="Arial"/>
          <w:sz w:val="20"/>
          <w:szCs w:val="20"/>
        </w:rPr>
      </w:pPr>
      <w:r>
        <w:rPr>
          <w:rFonts w:cs="Arial" w:ascii="Arial" w:hAnsi="Arial"/>
          <w:sz w:val="20"/>
          <w:szCs w:val="20"/>
        </w:rPr>
        <w:t xml:space="preserve">Certidão negativa de </w:t>
      </w:r>
      <w:r>
        <w:rPr>
          <w:rFonts w:cs="Arial" w:ascii="Arial" w:hAnsi="Arial"/>
          <w:b/>
          <w:sz w:val="20"/>
          <w:szCs w:val="20"/>
        </w:rPr>
        <w:t>falência e concordata, recuperação judicial ou extrajudicial</w:t>
      </w:r>
      <w:r>
        <w:rPr>
          <w:rFonts w:cs="Arial" w:ascii="Arial" w:hAnsi="Arial"/>
          <w:sz w:val="20"/>
          <w:szCs w:val="20"/>
        </w:rPr>
        <w:t xml:space="preserve"> expedida pelo distribuidor da sede da pessoa jurídica, com data não superior a 180 (cento e oitenta) dias, da data limite para o recebimento das propostas da presente licitação.</w:t>
      </w:r>
    </w:p>
    <w:p>
      <w:pPr>
        <w:pStyle w:val="Normal"/>
        <w:numPr>
          <w:ilvl w:val="2"/>
          <w:numId w:val="31"/>
        </w:numPr>
        <w:tabs>
          <w:tab w:val="clear" w:pos="709"/>
          <w:tab w:val="left" w:pos="0" w:leader="none"/>
          <w:tab w:val="left" w:pos="284" w:leader="none"/>
        </w:tabs>
        <w:ind w:left="284" w:hanging="284"/>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tabs>
          <w:tab w:val="clear" w:pos="709"/>
          <w:tab w:val="left" w:pos="284" w:leader="none"/>
          <w:tab w:val="left" w:pos="426" w:leader="none"/>
        </w:tabs>
        <w:jc w:val="both"/>
        <w:rPr>
          <w:rFonts w:ascii="Arial" w:hAnsi="Arial" w:cs="Arial"/>
        </w:rPr>
      </w:pPr>
      <w:r>
        <w:rPr>
          <w:rFonts w:cs="Arial" w:ascii="Arial" w:hAnsi="Arial"/>
          <w:b/>
          <w:bCs/>
        </w:rPr>
        <w:t>d) DOCUMENTAÇÃO COMPLEMENTAR</w:t>
      </w:r>
    </w:p>
    <w:p>
      <w:pPr>
        <w:pStyle w:val="Normal"/>
        <w:tabs>
          <w:tab w:val="clear" w:pos="709"/>
          <w:tab w:val="left" w:pos="284" w:leader="none"/>
          <w:tab w:val="left" w:pos="426" w:leader="none"/>
        </w:tabs>
        <w:jc w:val="both"/>
        <w:rPr>
          <w:rFonts w:ascii="Arial" w:hAnsi="Arial" w:cs="Arial"/>
        </w:rPr>
      </w:pPr>
      <w:r>
        <w:rPr>
          <w:rFonts w:cs="Arial" w:ascii="Arial" w:hAnsi="Arial"/>
          <w:b/>
          <w:bCs/>
        </w:rPr>
        <w:t xml:space="preserve">1. </w:t>
      </w:r>
      <w:r>
        <w:rPr>
          <w:rFonts w:cs="Arial" w:ascii="Arial" w:hAnsi="Arial"/>
        </w:rPr>
        <w:t xml:space="preserve">Declarações gerais, conforme modelo do </w:t>
      </w:r>
      <w:r>
        <w:rPr>
          <w:rFonts w:cs="Arial" w:ascii="Arial" w:hAnsi="Arial"/>
          <w:b/>
        </w:rPr>
        <w:t xml:space="preserve">Anexo I </w:t>
      </w:r>
      <w:r>
        <w:rPr>
          <w:rFonts w:cs="Arial" w:ascii="Arial" w:hAnsi="Arial"/>
        </w:rPr>
        <w:t>do Regulamento Geral deste Edital.</w:t>
      </w:r>
    </w:p>
    <w:p>
      <w:pPr>
        <w:pStyle w:val="Normal"/>
        <w:numPr>
          <w:ilvl w:val="0"/>
          <w:numId w:val="0"/>
        </w:numPr>
        <w:tabs>
          <w:tab w:val="clear" w:pos="709"/>
          <w:tab w:val="left" w:pos="284" w:leader="none"/>
          <w:tab w:val="left" w:pos="426" w:leader="none"/>
        </w:tabs>
        <w:ind w:left="0" w:hanging="0"/>
        <w:jc w:val="both"/>
        <w:rPr>
          <w:rFonts w:ascii="Arial" w:hAnsi="Arial" w:cs="Arial"/>
        </w:rPr>
      </w:pPr>
      <w:r>
        <w:rPr>
          <w:rFonts w:cs="Arial" w:ascii="Arial" w:hAnsi="Arial"/>
          <w:b/>
          <w:bCs/>
        </w:rPr>
        <w:t xml:space="preserve">2. </w:t>
      </w: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conforme modelo do </w:t>
      </w:r>
      <w:r>
        <w:rPr>
          <w:rFonts w:cs="Arial" w:ascii="Arial" w:hAnsi="Arial"/>
          <w:b/>
        </w:rPr>
        <w:t>Anexo II</w:t>
      </w:r>
      <w:r>
        <w:rPr>
          <w:rFonts w:cs="Arial" w:ascii="Arial" w:hAnsi="Arial"/>
        </w:rPr>
        <w:t xml:space="preserve"> do Regulamento Geral deste Edital.</w:t>
      </w:r>
    </w:p>
    <w:p>
      <w:pPr>
        <w:pStyle w:val="Normal"/>
        <w:numPr>
          <w:ilvl w:val="0"/>
          <w:numId w:val="0"/>
        </w:numPr>
        <w:tabs>
          <w:tab w:val="clear" w:pos="709"/>
          <w:tab w:val="left" w:pos="284" w:leader="none"/>
          <w:tab w:val="left" w:pos="426" w:leader="none"/>
        </w:tabs>
        <w:ind w:left="0" w:hanging="0"/>
        <w:jc w:val="both"/>
        <w:rPr>
          <w:rFonts w:ascii="Arial" w:hAnsi="Arial" w:cs="Arial"/>
        </w:rPr>
      </w:pPr>
      <w:r>
        <w:rPr>
          <w:rFonts w:cs="Arial" w:ascii="Arial" w:hAnsi="Arial"/>
          <w:b/>
          <w:bCs/>
        </w:rPr>
        <w:t>3.</w:t>
      </w:r>
      <w:r>
        <w:rPr>
          <w:rFonts w:cs="Arial" w:ascii="Arial" w:hAnsi="Arial"/>
        </w:rPr>
        <w:t xml:space="preserve"> Para efeito de concessão de tratamento favorecido previsto na Lei Complementar nº 123/2006, alterada pela Lei Complementar nº 147/2014 e Decreto Municipal nº 12.437/2007:</w:t>
      </w:r>
    </w:p>
    <w:p>
      <w:pPr>
        <w:pStyle w:val="Normal"/>
        <w:numPr>
          <w:ilvl w:val="0"/>
          <w:numId w:val="0"/>
        </w:numPr>
        <w:tabs>
          <w:tab w:val="clear" w:pos="709"/>
          <w:tab w:val="left" w:pos="284" w:leader="none"/>
          <w:tab w:val="left" w:pos="426" w:leader="none"/>
        </w:tabs>
        <w:ind w:left="284" w:hanging="0"/>
        <w:jc w:val="both"/>
        <w:rPr>
          <w:rFonts w:ascii="Arial" w:hAnsi="Arial" w:cs="Arial"/>
        </w:rPr>
      </w:pPr>
      <w:r>
        <w:rPr>
          <w:rFonts w:cs="Arial" w:ascii="Arial" w:hAnsi="Arial"/>
          <w:b/>
          <w:bCs/>
        </w:rPr>
        <w:t>3.1</w:t>
      </w:r>
      <w:r>
        <w:rPr>
          <w:rFonts w:cs="Arial" w:ascii="Arial" w:hAnsi="Arial"/>
        </w:rPr>
        <w:t xml:space="preserve">. Declaração de enquadramento de ME/EPP, conforme modelo do </w:t>
      </w:r>
      <w:r>
        <w:rPr>
          <w:rFonts w:cs="Arial" w:ascii="Arial" w:hAnsi="Arial"/>
          <w:b/>
        </w:rPr>
        <w:t xml:space="preserve">Anexo III </w:t>
      </w:r>
      <w:r>
        <w:rPr>
          <w:rFonts w:cs="Arial" w:ascii="Arial" w:hAnsi="Arial"/>
        </w:rPr>
        <w:t>do Regulamento Geral deste Edital.</w:t>
      </w:r>
    </w:p>
    <w:p>
      <w:pPr>
        <w:pStyle w:val="Normal"/>
        <w:numPr>
          <w:ilvl w:val="0"/>
          <w:numId w:val="0"/>
        </w:numPr>
        <w:tabs>
          <w:tab w:val="clear" w:pos="709"/>
          <w:tab w:val="left" w:pos="284" w:leader="none"/>
          <w:tab w:val="left" w:pos="426" w:leader="none"/>
        </w:tabs>
        <w:ind w:left="284" w:hanging="0"/>
        <w:jc w:val="both"/>
        <w:rPr>
          <w:rFonts w:ascii="Arial" w:hAnsi="Arial" w:cs="Arial"/>
        </w:rPr>
      </w:pPr>
      <w:r>
        <w:rPr>
          <w:rFonts w:cs="Arial" w:ascii="Arial" w:hAnsi="Arial"/>
          <w:b/>
          <w:bCs/>
        </w:rPr>
        <w:t>3.2.</w:t>
      </w:r>
      <w:r>
        <w:rPr>
          <w:rFonts w:cs="Arial" w:ascii="Arial" w:hAnsi="Arial"/>
        </w:rPr>
        <w:t xml:space="preserve"> Comprovação da condição de Microempresa (ME) ou Empresa de Pequeno Porte (EPP), devendo ser feita com a apresentação de um dos seguintes documentos:</w:t>
      </w:r>
    </w:p>
    <w:p>
      <w:pPr>
        <w:pStyle w:val="Normal"/>
        <w:numPr>
          <w:ilvl w:val="0"/>
          <w:numId w:val="0"/>
        </w:numPr>
        <w:tabs>
          <w:tab w:val="clear" w:pos="709"/>
          <w:tab w:val="left" w:pos="284" w:leader="none"/>
          <w:tab w:val="left" w:pos="426" w:leader="none"/>
        </w:tabs>
        <w:ind w:left="284" w:hanging="0"/>
        <w:jc w:val="both"/>
        <w:rPr>
          <w:rFonts w:ascii="Arial" w:hAnsi="Arial" w:cs="Arial"/>
        </w:rPr>
      </w:pPr>
      <w:r>
        <w:rPr>
          <w:rFonts w:cs="Arial" w:ascii="Arial" w:hAnsi="Arial"/>
        </w:rPr>
      </w:r>
    </w:p>
    <w:p>
      <w:pPr>
        <w:pStyle w:val="Normal"/>
        <w:numPr>
          <w:ilvl w:val="0"/>
          <w:numId w:val="0"/>
        </w:numPr>
        <w:tabs>
          <w:tab w:val="clear" w:pos="709"/>
          <w:tab w:val="left" w:pos="284" w:leader="none"/>
          <w:tab w:val="left" w:pos="426" w:leader="none"/>
        </w:tabs>
        <w:ind w:left="284" w:hanging="0"/>
        <w:jc w:val="both"/>
        <w:rPr>
          <w:rFonts w:ascii="Arial" w:hAnsi="Arial" w:cs="Arial"/>
        </w:rPr>
      </w:pPr>
      <w:r>
        <w:rPr>
          <w:rFonts w:cs="Arial" w:ascii="Arial" w:hAnsi="Arial"/>
        </w:rPr>
      </w:r>
    </w:p>
    <w:p>
      <w:pPr>
        <w:pStyle w:val="Normal"/>
        <w:numPr>
          <w:ilvl w:val="0"/>
          <w:numId w:val="0"/>
        </w:numPr>
        <w:tabs>
          <w:tab w:val="clear" w:pos="709"/>
          <w:tab w:val="left" w:pos="426" w:leader="none"/>
          <w:tab w:val="left" w:pos="567" w:leader="none"/>
          <w:tab w:val="left" w:pos="1134" w:leader="none"/>
        </w:tabs>
        <w:ind w:left="567" w:hanging="0"/>
        <w:jc w:val="both"/>
        <w:rPr>
          <w:rFonts w:ascii="Arial" w:hAnsi="Arial" w:cs="Arial"/>
        </w:rPr>
      </w:pPr>
      <w:r>
        <w:rPr>
          <w:rFonts w:cs="Arial" w:ascii="Arial" w:hAnsi="Arial"/>
          <w:b/>
          <w:bCs/>
        </w:rPr>
        <w:t>3.2.1.</w:t>
      </w:r>
      <w:r>
        <w:rPr>
          <w:rFonts w:cs="Arial" w:ascii="Arial" w:hAnsi="Arial"/>
        </w:rPr>
        <w:t xml:space="preserve"> Certidão expedida pela Junta Comercial, caso exerçam atividade comercial, com data inferior a 180 dias;</w:t>
      </w:r>
    </w:p>
    <w:p>
      <w:pPr>
        <w:pStyle w:val="Normal"/>
        <w:numPr>
          <w:ilvl w:val="0"/>
          <w:numId w:val="0"/>
        </w:numPr>
        <w:tabs>
          <w:tab w:val="clear" w:pos="709"/>
          <w:tab w:val="left" w:pos="426" w:leader="none"/>
          <w:tab w:val="left" w:pos="567" w:leader="none"/>
          <w:tab w:val="left" w:pos="1134" w:leader="none"/>
        </w:tabs>
        <w:ind w:left="567" w:hanging="0"/>
        <w:jc w:val="both"/>
        <w:rPr>
          <w:rFonts w:ascii="Arial" w:hAnsi="Arial" w:cs="Arial"/>
        </w:rPr>
      </w:pPr>
      <w:r>
        <w:rPr>
          <w:rFonts w:cs="Arial" w:ascii="Arial" w:hAnsi="Arial"/>
          <w:b/>
          <w:bCs/>
        </w:rPr>
        <w:t>3.2.2</w:t>
      </w:r>
      <w:r>
        <w:rPr>
          <w:rFonts w:cs="Arial" w:ascii="Arial" w:hAnsi="Arial"/>
        </w:rPr>
        <w:t>. Documento expedido pelo Registro Civil das Pessoas Jurídicas, caso atuem em outra área que não a comercial, com data inferior a 180 dias.</w:t>
      </w:r>
    </w:p>
    <w:p>
      <w:pPr>
        <w:pStyle w:val="Normal"/>
        <w:numPr>
          <w:ilvl w:val="0"/>
          <w:numId w:val="0"/>
        </w:numPr>
        <w:tabs>
          <w:tab w:val="clear" w:pos="709"/>
          <w:tab w:val="left" w:pos="284" w:leader="none"/>
          <w:tab w:val="left" w:pos="426" w:leader="none"/>
          <w:tab w:val="left" w:pos="567" w:leader="none"/>
        </w:tabs>
        <w:ind w:left="0" w:hanging="0"/>
        <w:jc w:val="both"/>
        <w:rPr>
          <w:rFonts w:ascii="Arial" w:hAnsi="Arial" w:cs="Arial"/>
        </w:rPr>
      </w:pPr>
      <w:r>
        <w:rPr>
          <w:rFonts w:cs="Arial" w:ascii="Arial" w:hAnsi="Arial"/>
          <w:b/>
          <w:bCs/>
        </w:rPr>
        <w:t>4.</w:t>
      </w:r>
      <w:r>
        <w:rPr>
          <w:rFonts w:cs="Arial" w:ascii="Arial" w:hAnsi="Arial"/>
        </w:rPr>
        <w:t xml:space="preserve"> Modelo de Proposta</w:t>
      </w:r>
      <w:bookmarkStart w:id="0" w:name="_GoBack"/>
      <w:bookmarkEnd w:id="0"/>
      <w:r>
        <w:rPr>
          <w:rFonts w:cs="Arial" w:ascii="Arial" w:hAnsi="Arial"/>
        </w:rPr>
        <w:t xml:space="preserve"> (</w:t>
      </w:r>
      <w:r>
        <w:rPr>
          <w:rFonts w:cs="Arial" w:ascii="Arial" w:hAnsi="Arial"/>
          <w:b/>
          <w:bCs/>
        </w:rPr>
        <w:t>Anexo IV</w:t>
      </w:r>
      <w:r>
        <w:rPr>
          <w:rFonts w:cs="Arial" w:ascii="Arial" w:hAnsi="Arial"/>
        </w:rPr>
        <w:t>).</w:t>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t xml:space="preserve">Piracicaba, </w:t>
      </w:r>
      <w:r>
        <w:rPr>
          <w:rFonts w:cs="Arial" w:ascii="Arial" w:hAnsi="Arial"/>
        </w:rPr>
        <w:t>21 de fevereiro de 2024.</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center"/>
        <w:rPr>
          <w:rFonts w:ascii="Arial" w:hAnsi="Arial" w:cs="Arial"/>
        </w:rPr>
      </w:pPr>
      <w:r>
        <w:rPr>
          <w:rFonts w:cs="Arial" w:ascii="Arial" w:hAnsi="Arial"/>
        </w:rPr>
        <w:t>Priscila Camargo Rodrigues Grecchi</w:t>
      </w:r>
    </w:p>
    <w:p>
      <w:pPr>
        <w:pStyle w:val="Normal"/>
        <w:jc w:val="center"/>
        <w:rPr>
          <w:rFonts w:ascii="Arial" w:hAnsi="Arial" w:cs="Arial"/>
          <w:b/>
          <w:b/>
        </w:rPr>
      </w:pPr>
      <w:r>
        <w:rPr>
          <w:rFonts w:cs="Arial" w:ascii="Arial" w:hAnsi="Arial"/>
          <w:b/>
        </w:rPr>
        <w:t>Chef</w:t>
      </w:r>
      <w:bookmarkStart w:id="1" w:name="_GoBack_Copia_1"/>
      <w:bookmarkEnd w:id="1"/>
      <w:r>
        <w:rPr>
          <w:rFonts w:cs="Arial" w:ascii="Arial" w:hAnsi="Arial"/>
          <w:b/>
        </w:rPr>
        <w:t>e de Setor de Dispensa de Licitação</w:t>
      </w:r>
    </w:p>
    <w:p>
      <w:pPr>
        <w:pStyle w:val="Normal"/>
        <w:jc w:val="center"/>
        <w:rPr>
          <w:rFonts w:ascii="Arial" w:hAnsi="Arial" w:cs="Arial"/>
        </w:rPr>
      </w:pPr>
      <w:r>
        <w:rPr>
          <w:rFonts w:cs="Arial" w:ascii="Arial" w:hAnsi="Arial"/>
        </w:rPr>
      </w:r>
    </w:p>
    <w:p>
      <w:pPr>
        <w:pStyle w:val="Normal"/>
        <w:jc w:val="center"/>
        <w:rPr>
          <w:rFonts w:ascii="Arial" w:hAnsi="Arial" w:cs="Arial"/>
          <w:b/>
          <w:b/>
        </w:rPr>
      </w:pPr>
      <w:r>
        <w:rPr>
          <w:rFonts w:cs="Arial" w:ascii="Arial" w:hAnsi="Arial"/>
          <w:b/>
        </w:rPr>
      </w:r>
    </w:p>
    <w:p>
      <w:pPr>
        <w:pStyle w:val="Normal"/>
        <w:jc w:val="center"/>
        <w:rPr>
          <w:rFonts w:ascii="Arial" w:hAnsi="Arial" w:cs="Arial"/>
          <w:b/>
          <w:b/>
        </w:rPr>
      </w:pPr>
      <w:r>
        <w:rPr>
          <w:rFonts w:cs="Arial" w:ascii="Arial" w:hAnsi="Arial"/>
          <w:b/>
        </w:rPr>
      </w:r>
    </w:p>
    <w:p>
      <w:pPr>
        <w:pStyle w:val="Corpodotexto"/>
        <w:ind w:left="3969" w:hanging="0"/>
        <w:jc w:val="center"/>
        <w:rPr>
          <w:sz w:val="20"/>
          <w:szCs w:val="20"/>
          <w:highlight w:val="yellow"/>
        </w:rPr>
      </w:pPr>
      <w:r>
        <w:rPr>
          <w:sz w:val="20"/>
          <w:szCs w:val="20"/>
          <w:highlight w:val="yellow"/>
        </w:rPr>
      </w:r>
      <w:r>
        <w:br w:type="page"/>
      </w:r>
    </w:p>
    <w:p>
      <w:pPr>
        <w:pStyle w:val="Ttulo2"/>
        <w:numPr>
          <w:ilvl w:val="1"/>
          <w:numId w:val="1"/>
        </w:numPr>
        <w:ind w:left="0" w:hanging="0"/>
        <w:rPr/>
      </w:pPr>
      <w:r>
        <w:rPr/>
        <w:t>REGULAMENTO GERAL</w:t>
      </w:r>
    </w:p>
    <w:p>
      <w:pPr>
        <w:pStyle w:val="Ttulo2"/>
        <w:numPr>
          <w:ilvl w:val="0"/>
          <w:numId w:val="0"/>
        </w:numPr>
        <w:tabs>
          <w:tab w:val="clear" w:pos="709"/>
          <w:tab w:val="left" w:pos="708" w:leader="none"/>
          <w:tab w:val="left" w:pos="851" w:leader="none"/>
        </w:tabs>
        <w:ind w:left="0" w:hanging="0"/>
        <w:rPr>
          <w:lang w:val="pt-BR"/>
        </w:rPr>
      </w:pPr>
      <w:r>
        <w:rPr>
          <w:lang w:val="pt-BR"/>
        </w:rPr>
        <w:t>DISPENSA ELETRÔNICA</w:t>
      </w:r>
    </w:p>
    <w:p>
      <w:pPr>
        <w:pStyle w:val="Ttulo2"/>
        <w:numPr>
          <w:ilvl w:val="0"/>
          <w:numId w:val="1"/>
        </w:numPr>
        <w:tabs>
          <w:tab w:val="clear" w:pos="709"/>
          <w:tab w:val="left" w:pos="708" w:leader="none"/>
          <w:tab w:val="left" w:pos="851" w:leader="none"/>
        </w:tabs>
        <w:ind w:left="432" w:hanging="0"/>
        <w:rPr/>
      </w:pPr>
      <w:r>
        <w:rPr/>
      </w:r>
    </w:p>
    <w:p>
      <w:pPr>
        <w:pStyle w:val="Normal"/>
        <w:jc w:val="both"/>
        <w:rPr>
          <w:rFonts w:ascii="Arial" w:hAnsi="Arial" w:cs="Arial"/>
          <w:b/>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ind w:left="0" w:hanging="0"/>
        <w:jc w:val="both"/>
        <w:rPr>
          <w:rFonts w:ascii="Arial" w:hAnsi="Arial" w:cs="Arial"/>
          <w:b/>
          <w:b/>
          <w:bCs/>
        </w:rPr>
      </w:pPr>
      <w:r>
        <w:rPr>
          <w:rFonts w:cs="Arial" w:ascii="Arial" w:hAnsi="Arial"/>
          <w:b/>
          <w:bCs/>
        </w:rPr>
      </w:r>
    </w:p>
    <w:p>
      <w:pPr>
        <w:pStyle w:val="Normal"/>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ind w:left="0" w:hanging="0"/>
        <w:jc w:val="both"/>
        <w:rPr>
          <w:rFonts w:ascii="Arial" w:hAnsi="Arial" w:cs="Arial"/>
          <w:highlight w:val="yellow"/>
        </w:rPr>
      </w:pPr>
      <w:r>
        <w:rPr>
          <w:rFonts w:cs="Arial" w:ascii="Arial" w:hAnsi="Arial"/>
          <w:highlight w:val="yellow"/>
        </w:rPr>
      </w:r>
    </w:p>
    <w:p>
      <w:pPr>
        <w:pStyle w:val="Normal"/>
        <w:jc w:val="both"/>
        <w:rPr>
          <w:rFonts w:ascii="Arial" w:hAnsi="Arial" w:cs="Arial"/>
        </w:rPr>
      </w:pPr>
      <w:r>
        <w:rPr>
          <w:rFonts w:cs="Arial" w:ascii="Arial" w:hAnsi="Arial"/>
          <w:b/>
          <w:bCs/>
        </w:rPr>
        <w:t>1. REFERÊNCIA DE TEMPO</w:t>
      </w:r>
    </w:p>
    <w:p>
      <w:pPr>
        <w:pStyle w:val="Normal"/>
        <w:numPr>
          <w:ilvl w:val="0"/>
          <w:numId w:val="1"/>
        </w:numPr>
        <w:ind w:left="0" w:hanging="0"/>
        <w:jc w:val="both"/>
        <w:rPr>
          <w:rFonts w:ascii="Arial" w:hAnsi="Arial" w:cs="Arial"/>
        </w:rPr>
      </w:pPr>
      <w:r>
        <w:rPr>
          <w:rFonts w:cs="Arial" w:ascii="Arial" w:hAnsi="Arial"/>
        </w:rPr>
      </w:r>
    </w:p>
    <w:p>
      <w:pPr>
        <w:pStyle w:val="Ttulo3"/>
        <w:numPr>
          <w:ilvl w:val="2"/>
          <w:numId w:val="1"/>
        </w:numPr>
        <w:ind w:left="0" w:hanging="0"/>
        <w:jc w:val="both"/>
        <w:rPr>
          <w:b w:val="false"/>
          <w:b w:val="false"/>
          <w:sz w:val="20"/>
          <w:szCs w:val="20"/>
        </w:rPr>
      </w:pPr>
      <w:r>
        <w:rPr>
          <w:b w:val="false"/>
          <w:sz w:val="20"/>
          <w:szCs w:val="20"/>
        </w:rPr>
        <w:t>1.1.</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ind w:left="0" w:hanging="0"/>
        <w:jc w:val="both"/>
        <w:rPr>
          <w:rFonts w:ascii="Arial" w:hAnsi="Arial" w:cs="Arial"/>
          <w:highlight w:val="yellow"/>
        </w:rPr>
      </w:pPr>
      <w:r>
        <w:rPr>
          <w:rFonts w:cs="Arial" w:ascii="Arial" w:hAnsi="Arial"/>
          <w:highlight w:val="yellow"/>
        </w:rPr>
      </w:r>
    </w:p>
    <w:p>
      <w:pPr>
        <w:pStyle w:val="Normal"/>
        <w:jc w:val="both"/>
        <w:rPr>
          <w:rFonts w:ascii="Arial" w:hAnsi="Arial" w:cs="Arial"/>
        </w:rPr>
      </w:pPr>
      <w:r>
        <w:rPr>
          <w:rFonts w:cs="Arial" w:ascii="Arial" w:hAnsi="Arial"/>
          <w:b/>
          <w:bCs/>
        </w:rPr>
        <w:t>2. CONDIÇÕES PARA PARTICIPAÇÃO</w:t>
      </w:r>
    </w:p>
    <w:p>
      <w:pPr>
        <w:pStyle w:val="Normal"/>
        <w:numPr>
          <w:ilvl w:val="0"/>
          <w:numId w:val="1"/>
        </w:numPr>
        <w:ind w:left="0" w:hanging="0"/>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2.1 A participação na presente dispensa eletrônica se dará mediante Sistema de Dispensa Eletrônica integrante do Portal BNC, disponível no endereço eletrônico </w:t>
      </w:r>
      <w:hyperlink r:id="rId4">
        <w:r>
          <w:rPr>
            <w:rStyle w:val="LinkdaInternet"/>
            <w:rFonts w:cs="Arial" w:ascii="Arial" w:hAnsi="Arial"/>
          </w:rPr>
          <w:t>www.bnc.org.br</w:t>
        </w:r>
      </w:hyperlink>
      <w:r>
        <w:rPr>
          <w:rFonts w:cs="Arial" w:ascii="Arial" w:hAnsi="Arial"/>
        </w:rPr>
        <w:t>.</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2.2. Os fornecedores deverão se cadastrar previamente no Portal BNC para acesso ao sistema e operacionalização.</w:t>
      </w:r>
    </w:p>
    <w:p>
      <w:pPr>
        <w:pStyle w:val="Normal"/>
        <w:numPr>
          <w:ilvl w:val="0"/>
          <w:numId w:val="1"/>
        </w:numPr>
        <w:ind w:left="0" w:hanging="0"/>
        <w:jc w:val="both"/>
        <w:rPr>
          <w:rFonts w:ascii="Arial" w:hAnsi="Arial" w:cs="Arial"/>
          <w:highlight w:val="yellow"/>
        </w:rPr>
      </w:pPr>
      <w:r>
        <w:rPr>
          <w:rFonts w:cs="Arial" w:ascii="Arial" w:hAnsi="Arial"/>
          <w:highlight w:val="yellow"/>
        </w:rPr>
      </w:r>
    </w:p>
    <w:p>
      <w:pPr>
        <w:pStyle w:val="Ttulo9"/>
        <w:numPr>
          <w:ilvl w:val="8"/>
          <w:numId w:val="1"/>
        </w:numPr>
        <w:tabs>
          <w:tab w:val="left" w:pos="709" w:leader="none"/>
        </w:tabs>
        <w:ind w:left="0" w:hanging="0"/>
        <w:rPr>
          <w:b w:val="false"/>
          <w:b w:val="false"/>
          <w:i w:val="false"/>
          <w:i w:val="false"/>
          <w:sz w:val="20"/>
          <w:szCs w:val="20"/>
        </w:rPr>
      </w:pPr>
      <w:r>
        <w:rPr>
          <w:b w:val="false"/>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ind w:left="0" w:hanging="0"/>
        <w:jc w:val="both"/>
        <w:rPr>
          <w:rFonts w:ascii="Arial" w:hAnsi="Arial" w:cs="Arial"/>
        </w:rPr>
      </w:pPr>
      <w:r>
        <w:rPr>
          <w:rFonts w:cs="Arial" w:ascii="Arial" w:hAnsi="Arial"/>
        </w:rPr>
      </w:r>
    </w:p>
    <w:p>
      <w:pPr>
        <w:pStyle w:val="Standard"/>
        <w:numPr>
          <w:ilvl w:val="0"/>
          <w:numId w:val="1"/>
        </w:numPr>
        <w:tabs>
          <w:tab w:val="left" w:pos="709" w:leader="none"/>
        </w:tabs>
        <w:ind w:left="0" w:hanging="0"/>
        <w:jc w:val="both"/>
        <w:rPr>
          <w:rFonts w:ascii="Arial" w:hAnsi="Arial" w:cs="Arial"/>
        </w:rPr>
      </w:pPr>
      <w:r>
        <w:rPr>
          <w:rFonts w:cs="Arial" w:ascii="Arial" w:hAnsi="Arial"/>
        </w:rPr>
        <w:t xml:space="preserve">2.3.1.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ind w:left="0" w:hanging="0"/>
        <w:jc w:val="both"/>
        <w:rPr>
          <w:rFonts w:ascii="Arial" w:hAnsi="Arial" w:cs="Arial"/>
        </w:rPr>
      </w:pPr>
      <w:r>
        <w:rPr>
          <w:rFonts w:cs="Arial" w:ascii="Arial" w:hAnsi="Arial"/>
        </w:rPr>
      </w:r>
    </w:p>
    <w:p>
      <w:pPr>
        <w:pStyle w:val="Standard"/>
        <w:jc w:val="both"/>
        <w:rPr>
          <w:rFonts w:ascii="Arial" w:hAnsi="Arial" w:cs="Arial"/>
        </w:rPr>
      </w:pPr>
      <w:r>
        <w:rPr>
          <w:rFonts w:cs="Arial" w:ascii="Arial" w:hAnsi="Arial"/>
        </w:rPr>
        <w:t>2.3.1.a.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ind w:left="0" w:hanging="0"/>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ind w:left="0" w:hanging="0"/>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2.4.1. autor do anteprojeto, do projeto básico ou do projeto executivo, pessoa física ou jurídica, quando a licitação versar sobre obra, serviços ou fornecimento de bens a ele relacionados;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2.4.2.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2.4.3. pessoa física ou jurídica que se encontre, ao tempo da licitação, impossibilidade de participar da licitação em decorrência de sanção que lhe foi imposta;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2.4.3.1. a sanção de impedimento de licitar, disposta no Art. 156, III da Lei 14.133/2021, impedirá o responsável de licitar ou contratar no âmbito da Administração direta e indireta do ente federativo que tiver aplicado a sanção;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2.4.3.2. a sanção de declaração de inidoneidade, disposta no Art. 156, IV da Lei 14.133/2021, impedirá o responsável  de licitar no âmbito da Administração direta e indireta de todos os entes federativos.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2.4.4.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2.4.5. empresas controladoras, controladas ou coligadas, nos termos da Lei n° 6.404, de 15 de dezembro de 1976, concorrendo entre si;</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2.4.6.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ind w:left="0" w:hanging="0"/>
        <w:jc w:val="both"/>
        <w:rPr>
          <w:rFonts w:ascii="Arial" w:hAnsi="Arial" w:cs="Arial"/>
        </w:rPr>
      </w:pPr>
      <w:r>
        <w:rPr>
          <w:rFonts w:cs="Arial" w:ascii="Arial" w:hAnsi="Arial"/>
        </w:rPr>
      </w:r>
    </w:p>
    <w:p>
      <w:pPr>
        <w:pStyle w:val="Normal"/>
        <w:numPr>
          <w:ilvl w:val="0"/>
          <w:numId w:val="1"/>
        </w:numPr>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caps/>
        </w:rPr>
        <w:t>3. credenciamento NO APLICATIVO LICITAÇÕES</w:t>
      </w:r>
    </w:p>
    <w:p>
      <w:pPr>
        <w:pStyle w:val="Normal"/>
        <w:numPr>
          <w:ilvl w:val="0"/>
          <w:numId w:val="1"/>
        </w:numPr>
        <w:ind w:firstLine="284"/>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3.1.</w:t>
      </w:r>
      <w:r>
        <w:rPr>
          <w:rFonts w:cs="Arial" w:ascii="Arial" w:hAnsi="Arial"/>
        </w:rPr>
        <w:t xml:space="preserve"> Para acesso ao sistema eletrônico, os interessados em participar da DISPENSA ELETRÔNICA deverão se cadastrar, para obtenção do login de usuário e senha pessoal (intransferíveis), através do endereço eletrônico </w:t>
      </w:r>
      <w:hyperlink r:id="rId5">
        <w:r>
          <w:rPr>
            <w:rStyle w:val="LinkdaInternet"/>
            <w:rFonts w:cs="Arial" w:ascii="Arial" w:hAnsi="Arial"/>
          </w:rPr>
          <w:t>www.bnc.org.br</w:t>
        </w:r>
      </w:hyperlink>
      <w:r>
        <w:rPr>
          <w:rFonts w:cs="Arial" w:ascii="Arial" w:hAnsi="Arial"/>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Corpodotexto"/>
        <w:numPr>
          <w:ilvl w:val="0"/>
          <w:numId w:val="1"/>
        </w:numPr>
        <w:rPr>
          <w:sz w:val="20"/>
          <w:szCs w:val="20"/>
        </w:rPr>
      </w:pPr>
      <w:r>
        <w:rPr>
          <w:sz w:val="20"/>
          <w:szCs w:val="20"/>
        </w:rPr>
      </w:r>
    </w:p>
    <w:p>
      <w:pPr>
        <w:pStyle w:val="Normal"/>
        <w:numPr>
          <w:ilvl w:val="0"/>
          <w:numId w:val="1"/>
        </w:numPr>
        <w:ind w:firstLine="284"/>
        <w:jc w:val="both"/>
        <w:rPr>
          <w:rFonts w:ascii="Arial" w:hAnsi="Arial" w:cs="Arial"/>
          <w:highlight w:val="yellow"/>
        </w:rPr>
      </w:pPr>
      <w:r>
        <w:rPr>
          <w:rFonts w:cs="Arial" w:ascii="Arial" w:hAnsi="Arial"/>
          <w:highlight w:val="yellow"/>
        </w:rPr>
      </w:r>
    </w:p>
    <w:p>
      <w:pPr>
        <w:pStyle w:val="Normal"/>
        <w:jc w:val="both"/>
        <w:rPr>
          <w:rFonts w:ascii="Arial" w:hAnsi="Arial" w:cs="Arial"/>
        </w:rPr>
      </w:pPr>
      <w:r>
        <w:rPr>
          <w:rFonts w:cs="Arial" w:ascii="Arial" w:hAnsi="Arial"/>
          <w:b/>
          <w:bCs/>
        </w:rPr>
        <w:t>4. ENVIO DAS PROPOSTAS ELETRÔNICAS DE PREÇOS</w:t>
      </w:r>
    </w:p>
    <w:p>
      <w:pPr>
        <w:pStyle w:val="Normal"/>
        <w:numPr>
          <w:ilvl w:val="0"/>
          <w:numId w:val="1"/>
        </w:numPr>
        <w:ind w:firstLine="284"/>
        <w:jc w:val="both"/>
        <w:rPr>
          <w:rFonts w:ascii="Arial" w:hAnsi="Arial" w:cs="Arial"/>
        </w:rPr>
      </w:pPr>
      <w:r>
        <w:rPr>
          <w:rFonts w:cs="Arial" w:ascii="Arial" w:hAnsi="Arial"/>
        </w:rPr>
      </w:r>
    </w:p>
    <w:p>
      <w:pPr>
        <w:pStyle w:val="Normal"/>
        <w:numPr>
          <w:ilvl w:val="0"/>
          <w:numId w:val="1"/>
        </w:numPr>
        <w:ind w:left="0" w:hanging="6"/>
        <w:jc w:val="both"/>
        <w:rPr>
          <w:rFonts w:ascii="Arial" w:hAnsi="Arial" w:cs="Arial"/>
          <w:b/>
          <w:b/>
          <w:bCs/>
        </w:rPr>
      </w:pPr>
      <w:r>
        <w:rPr>
          <w:rFonts w:cs="Arial" w:ascii="Arial" w:hAnsi="Arial"/>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jc w:val="both"/>
        <w:rPr>
          <w:rFonts w:ascii="Arial" w:hAnsi="Arial" w:cs="Arial"/>
          <w:b/>
          <w:b/>
          <w:bCs/>
        </w:rPr>
      </w:pPr>
      <w:r>
        <w:rPr>
          <w:rFonts w:cs="Arial" w:ascii="Arial" w:hAnsi="Arial"/>
          <w:b/>
          <w:bCs/>
        </w:rPr>
      </w:r>
    </w:p>
    <w:p>
      <w:pPr>
        <w:pStyle w:val="Normal"/>
        <w:numPr>
          <w:ilvl w:val="0"/>
          <w:numId w:val="1"/>
        </w:numPr>
        <w:ind w:left="0" w:hanging="6"/>
        <w:jc w:val="both"/>
        <w:rPr>
          <w:rFonts w:ascii="Arial" w:hAnsi="Arial" w:cs="Arial"/>
        </w:rPr>
      </w:pPr>
      <w:r>
        <w:rPr>
          <w:rFonts w:cs="Arial" w:ascii="Arial" w:hAnsi="Arial"/>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jc w:val="both"/>
        <w:rPr>
          <w:rFonts w:ascii="Arial" w:hAnsi="Arial" w:cs="Arial"/>
        </w:rPr>
      </w:pPr>
      <w:r>
        <w:rPr>
          <w:rFonts w:cs="Arial" w:ascii="Arial" w:hAnsi="Arial"/>
        </w:rPr>
      </w:r>
    </w:p>
    <w:p>
      <w:pPr>
        <w:pStyle w:val="Normal"/>
        <w:numPr>
          <w:ilvl w:val="0"/>
          <w:numId w:val="1"/>
        </w:numPr>
        <w:ind w:left="0" w:hanging="6"/>
        <w:jc w:val="both"/>
        <w:rPr>
          <w:rFonts w:ascii="Arial" w:hAnsi="Arial" w:cs="Arial"/>
        </w:rPr>
      </w:pPr>
      <w:r>
        <w:rPr>
          <w:rFonts w:cs="Arial" w:ascii="Arial" w:hAnsi="Arial"/>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jc w:val="both"/>
        <w:rPr>
          <w:rFonts w:ascii="Arial" w:hAnsi="Arial" w:cs="Arial"/>
          <w:b/>
          <w:b/>
          <w:bCs/>
        </w:rPr>
      </w:pPr>
      <w:r>
        <w:rPr>
          <w:rFonts w:cs="Arial" w:ascii="Arial" w:hAnsi="Arial"/>
          <w:b/>
          <w:bCs/>
        </w:rPr>
      </w:r>
    </w:p>
    <w:p>
      <w:pPr>
        <w:pStyle w:val="Normal"/>
        <w:numPr>
          <w:ilvl w:val="0"/>
          <w:numId w:val="1"/>
        </w:numPr>
        <w:ind w:left="0" w:hanging="6"/>
        <w:jc w:val="both"/>
        <w:rPr>
          <w:rFonts w:ascii="Arial" w:hAnsi="Arial" w:cs="Arial"/>
        </w:rPr>
      </w:pPr>
      <w:r>
        <w:rPr>
          <w:rFonts w:cs="Arial" w:ascii="Arial" w:hAnsi="Arial"/>
          <w:bCs/>
        </w:rPr>
        <w:t>4.4.</w:t>
      </w:r>
      <w:r>
        <w:rPr>
          <w:rFonts w:cs="Arial" w:ascii="Arial" w:hAnsi="Arial"/>
          <w:b/>
          <w:bCs/>
        </w:rPr>
        <w:t xml:space="preserve">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ind w:left="284" w:hanging="0"/>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jc w:val="both"/>
        <w:rPr>
          <w:rFonts w:ascii="Arial" w:hAnsi="Arial" w:cs="Arial"/>
        </w:rPr>
      </w:pPr>
      <w:r>
        <w:rPr>
          <w:rFonts w:cs="Arial" w:ascii="Arial" w:hAnsi="Arial"/>
        </w:rPr>
      </w:r>
    </w:p>
    <w:p>
      <w:pPr>
        <w:pStyle w:val="Normal"/>
        <w:numPr>
          <w:ilvl w:val="0"/>
          <w:numId w:val="1"/>
        </w:numPr>
        <w:ind w:left="0" w:hanging="6"/>
        <w:jc w:val="both"/>
        <w:rPr>
          <w:rFonts w:ascii="Arial" w:hAnsi="Arial" w:cs="Arial"/>
        </w:rPr>
      </w:pPr>
      <w:r>
        <w:rPr>
          <w:rFonts w:cs="Arial" w:ascii="Arial" w:hAnsi="Arial"/>
          <w:bCs/>
        </w:rPr>
        <w:t>4.5.</w:t>
      </w:r>
      <w:r>
        <w:rPr>
          <w:rFonts w:cs="Arial" w:ascii="Arial" w:hAnsi="Arial"/>
          <w:b/>
          <w:bCs/>
        </w:rPr>
        <w:t xml:space="preserve">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jc w:val="both"/>
        <w:rPr>
          <w:rFonts w:ascii="Arial" w:hAnsi="Arial" w:cs="Arial"/>
        </w:rPr>
      </w:pPr>
      <w:r>
        <w:rPr>
          <w:rFonts w:cs="Arial" w:ascii="Arial" w:hAnsi="Arial"/>
        </w:rPr>
      </w:r>
    </w:p>
    <w:p>
      <w:pPr>
        <w:pStyle w:val="Normal"/>
        <w:numPr>
          <w:ilvl w:val="0"/>
          <w:numId w:val="1"/>
        </w:numPr>
        <w:ind w:left="0" w:hanging="6"/>
        <w:jc w:val="both"/>
        <w:rPr>
          <w:rFonts w:ascii="Arial" w:hAnsi="Arial" w:cs="Arial"/>
        </w:rPr>
      </w:pPr>
      <w:r>
        <w:rPr>
          <w:rFonts w:cs="Arial" w:ascii="Arial" w:hAnsi="Arial"/>
          <w:bCs/>
        </w:rPr>
        <w:t>4.6.</w:t>
      </w:r>
      <w:r>
        <w:rPr>
          <w:rFonts w:cs="Arial" w:ascii="Arial" w:hAnsi="Arial"/>
          <w:b/>
          <w:bCs/>
        </w:rPr>
        <w:t xml:space="preserve">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jc w:val="both"/>
        <w:rPr>
          <w:rFonts w:ascii="Arial" w:hAnsi="Arial" w:cs="Arial"/>
        </w:rPr>
      </w:pPr>
      <w:r>
        <w:rPr>
          <w:rFonts w:cs="Arial" w:ascii="Arial" w:hAnsi="Arial"/>
        </w:rPr>
      </w:r>
    </w:p>
    <w:p>
      <w:pPr>
        <w:pStyle w:val="Normal"/>
        <w:numPr>
          <w:ilvl w:val="0"/>
          <w:numId w:val="1"/>
        </w:numPr>
        <w:ind w:left="0" w:hanging="6"/>
        <w:jc w:val="both"/>
        <w:rPr>
          <w:rFonts w:ascii="Arial" w:hAnsi="Arial" w:cs="Arial"/>
        </w:rPr>
      </w:pPr>
      <w:r>
        <w:rPr>
          <w:rFonts w:cs="Arial" w:ascii="Arial" w:hAnsi="Arial"/>
          <w:bCs/>
        </w:rPr>
        <w:t>4.7.</w:t>
      </w:r>
      <w:r>
        <w:rPr>
          <w:rFonts w:cs="Arial" w:ascii="Arial" w:hAnsi="Arial"/>
          <w:b/>
          <w:bCs/>
        </w:rPr>
        <w:t xml:space="preserve"> </w:t>
      </w:r>
      <w:r>
        <w:rPr>
          <w:rFonts w:cs="Arial" w:ascii="Arial" w:hAnsi="Arial"/>
        </w:rPr>
        <w:t>Os catálogos, bulas e demais documentos referentes à proposta, solicitados no Termo de Referência deste Edital, deverão ser anexados no ícone “Documentação Complementar”.</w:t>
      </w:r>
    </w:p>
    <w:p>
      <w:pPr>
        <w:pStyle w:val="Normal"/>
        <w:numPr>
          <w:ilvl w:val="0"/>
          <w:numId w:val="1"/>
        </w:numPr>
        <w:ind w:firstLine="284"/>
        <w:rPr>
          <w:rFonts w:ascii="Arial" w:hAnsi="Arial" w:cs="Arial"/>
          <w:highlight w:val="yellow"/>
        </w:rPr>
      </w:pPr>
      <w:r>
        <w:rPr>
          <w:rFonts w:cs="Arial" w:ascii="Arial" w:hAnsi="Arial"/>
          <w:highlight w:val="yellow"/>
        </w:rPr>
      </w:r>
    </w:p>
    <w:p>
      <w:pPr>
        <w:pStyle w:val="Normal"/>
        <w:numPr>
          <w:ilvl w:val="0"/>
          <w:numId w:val="1"/>
        </w:numPr>
        <w:ind w:firstLine="284"/>
        <w:rPr>
          <w:rFonts w:ascii="Arial" w:hAnsi="Arial" w:cs="Arial"/>
          <w:highlight w:val="yellow"/>
        </w:rPr>
      </w:pPr>
      <w:r>
        <w:rPr>
          <w:rFonts w:cs="Arial" w:ascii="Arial" w:hAnsi="Arial"/>
          <w:highlight w:val="yellow"/>
        </w:rPr>
      </w:r>
    </w:p>
    <w:p>
      <w:pPr>
        <w:pStyle w:val="Normal"/>
        <w:rPr>
          <w:rFonts w:ascii="Arial" w:hAnsi="Arial" w:cs="Arial"/>
          <w:b/>
          <w:b/>
        </w:rPr>
      </w:pPr>
      <w:r>
        <w:rPr>
          <w:rFonts w:cs="Arial" w:ascii="Arial" w:hAnsi="Arial"/>
          <w:b/>
        </w:rPr>
        <w:t xml:space="preserve">5. HABILITAÇÃO: </w:t>
      </w:r>
    </w:p>
    <w:p>
      <w:pPr>
        <w:pStyle w:val="Normal"/>
        <w:numPr>
          <w:ilvl w:val="0"/>
          <w:numId w:val="1"/>
        </w:numPr>
        <w:ind w:firstLine="284"/>
        <w:rPr>
          <w:rFonts w:ascii="Arial" w:hAnsi="Arial" w:cs="Arial"/>
          <w:b/>
          <w:b/>
        </w:rPr>
      </w:pPr>
      <w:r>
        <w:rPr>
          <w:rFonts w:cs="Arial" w:ascii="Arial" w:hAnsi="Arial"/>
          <w:b/>
        </w:rPr>
      </w:r>
    </w:p>
    <w:p>
      <w:pPr>
        <w:pStyle w:val="Normal"/>
        <w:jc w:val="both"/>
        <w:rPr>
          <w:rFonts w:ascii="Arial" w:hAnsi="Arial" w:cs="Arial"/>
        </w:rPr>
      </w:pPr>
      <w:r>
        <w:rPr>
          <w:rFonts w:cs="Arial" w:ascii="Arial" w:hAnsi="Arial"/>
        </w:rPr>
        <w:t>5.1 Os documentos a serem exigidos para fins de habilitação constam no Termo de Referência do Edital de Dispensa Eletrônica e será solicitado do fornecedor declarado vencedor da fase de lances.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5.2 As entregas dos documentos no sistema deverão ser no prazo máximo 06 horas. </w:t>
      </w:r>
    </w:p>
    <w:p>
      <w:pPr>
        <w:pStyle w:val="Normal"/>
        <w:numPr>
          <w:ilvl w:val="0"/>
          <w:numId w:val="1"/>
        </w:numPr>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5.4 Será inabilitado o fornecedor que não comprovar sua habilitação, seja por não apresentar quaisquer dos documentos exigidos, ou apresentá-los em desacordo com o estabelecido neste Edital de Dispensa Eletrônica.</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5.5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5.5.1. Neste caso a empresa de proposta subsequente terá também prazo de 6 horas para apresentação dos documentos de habilitação e catálogos/bulas.</w:t>
      </w:r>
    </w:p>
    <w:p>
      <w:pPr>
        <w:pStyle w:val="Normal"/>
        <w:jc w:val="both"/>
        <w:rPr>
          <w:rFonts w:ascii="Arial" w:hAnsi="Arial" w:cs="Arial"/>
        </w:rPr>
      </w:pPr>
      <w:r>
        <w:rPr>
          <w:rFonts w:cs="Arial" w:ascii="Arial" w:hAnsi="Arial"/>
        </w:rPr>
      </w:r>
    </w:p>
    <w:p>
      <w:pPr>
        <w:pStyle w:val="Normal"/>
        <w:jc w:val="both"/>
        <w:rPr>
          <w:rFonts w:ascii="Arial" w:hAnsi="Arial" w:eastAsia="Arial" w:cs="Arial"/>
        </w:rPr>
      </w:pPr>
      <w:r>
        <w:rPr>
          <w:rFonts w:cs="Arial" w:ascii="Arial" w:hAnsi="Arial"/>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jc w:val="both"/>
        <w:rPr>
          <w:rFonts w:ascii="Arial" w:hAnsi="Arial" w:eastAsia="Arial" w:cs="Arial"/>
        </w:rPr>
      </w:pPr>
      <w:r>
        <w:rPr>
          <w:rFonts w:eastAsia="Arial" w:cs="Arial" w:ascii="Arial" w:hAnsi="Arial"/>
        </w:rPr>
        <w:t xml:space="preserve">  </w:t>
      </w:r>
    </w:p>
    <w:p>
      <w:pPr>
        <w:pStyle w:val="Corpodotextorecuado"/>
        <w:rPr>
          <w:bCs/>
          <w:color w:val="auto"/>
          <w:sz w:val="20"/>
          <w:szCs w:val="20"/>
        </w:rPr>
      </w:pPr>
      <w:r>
        <w:rPr>
          <w:rFonts w:eastAsia="Arial"/>
          <w:bCs/>
          <w:color w:val="auto"/>
          <w:sz w:val="20"/>
          <w:szCs w:val="20"/>
          <w:lang w:val="pt-BR"/>
        </w:rPr>
        <w:t>5</w:t>
      </w:r>
      <w:r>
        <w:rPr>
          <w:rFonts w:eastAsia="Arial"/>
          <w:bCs/>
          <w:color w:val="auto"/>
          <w:sz w:val="20"/>
          <w:szCs w:val="20"/>
        </w:rPr>
        <w:t>.</w:t>
      </w:r>
      <w:r>
        <w:rPr>
          <w:rFonts w:eastAsia="Arial"/>
          <w:bCs/>
          <w:color w:val="auto"/>
          <w:sz w:val="20"/>
          <w:szCs w:val="20"/>
          <w:lang w:val="pt-BR"/>
        </w:rPr>
        <w:t>7</w:t>
      </w:r>
      <w:r>
        <w:rPr>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ind w:left="284" w:hanging="0"/>
        <w:jc w:val="both"/>
        <w:rPr>
          <w:rFonts w:ascii="Arial" w:hAnsi="Arial" w:cs="Arial"/>
          <w:strike/>
        </w:rPr>
      </w:pPr>
      <w:r>
        <w:rPr>
          <w:rFonts w:cs="Arial" w:ascii="Arial" w:hAnsi="Arial"/>
          <w:strike/>
        </w:rPr>
      </w:r>
    </w:p>
    <w:p>
      <w:pPr>
        <w:pStyle w:val="Normal"/>
        <w:rPr>
          <w:rFonts w:ascii="Arial" w:hAnsi="Arial" w:cs="Arial"/>
        </w:rPr>
      </w:pPr>
      <w:r>
        <w:rPr>
          <w:rFonts w:eastAsia="Arial" w:cs="Arial" w:ascii="Arial" w:hAnsi="Arial"/>
        </w:rPr>
        <w:t>5.8</w:t>
      </w:r>
      <w:r>
        <w:rPr>
          <w:rFonts w:cs="Arial" w:ascii="Arial" w:hAnsi="Arial"/>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5.10.</w:t>
      </w:r>
      <w:r>
        <w:rPr>
          <w:rFonts w:cs="Arial" w:ascii="Arial" w:hAnsi="Arial"/>
          <w:b/>
          <w:bCs/>
        </w:rPr>
        <w:t xml:space="preserve">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5.11.</w:t>
      </w:r>
      <w:r>
        <w:rPr>
          <w:rFonts w:cs="Arial" w:ascii="Arial" w:hAnsi="Arial"/>
          <w:b/>
          <w:bCs/>
        </w:rPr>
        <w:t xml:space="preserve">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5.12.</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ind w:left="284" w:hanging="0"/>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5.13.</w:t>
      </w:r>
      <w:r>
        <w:rPr>
          <w:rFonts w:cs="Arial" w:ascii="Arial" w:hAnsi="Arial"/>
        </w:rPr>
        <w:t xml:space="preserve"> atualização de documentos cuja validade tenha expirado após a data de recebimento das propostas.</w:t>
      </w:r>
    </w:p>
    <w:p>
      <w:pPr>
        <w:pStyle w:val="Normal"/>
        <w:numPr>
          <w:ilvl w:val="0"/>
          <w:numId w:val="1"/>
        </w:numPr>
        <w:jc w:val="both"/>
        <w:rPr>
          <w:rFonts w:ascii="Arial" w:hAnsi="Arial" w:cs="Arial"/>
          <w:highlight w:val="yellow"/>
        </w:rPr>
      </w:pPr>
      <w:r>
        <w:rPr>
          <w:rFonts w:cs="Arial" w:ascii="Arial" w:hAnsi="Arial"/>
        </w:rPr>
        <w:t xml:space="preserve"> </w:t>
      </w:r>
    </w:p>
    <w:p>
      <w:pPr>
        <w:pStyle w:val="Normal"/>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6.1.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pPr>
        <w:pStyle w:val="Normal"/>
        <w:jc w:val="both"/>
        <w:rPr>
          <w:rFonts w:ascii="Arial" w:hAnsi="Arial" w:cs="Arial"/>
        </w:rPr>
      </w:pPr>
      <w:r>
        <w:rPr>
          <w:rFonts w:cs="Arial" w:ascii="Arial" w:hAnsi="Arial"/>
        </w:rPr>
      </w:r>
    </w:p>
    <w:p>
      <w:pPr>
        <w:pStyle w:val="Normal"/>
        <w:jc w:val="both"/>
        <w:rPr>
          <w:rFonts w:ascii="Arial" w:hAnsi="Arial" w:cs="Arial"/>
          <w:highlight w:val="yellow"/>
        </w:rPr>
      </w:pPr>
      <w:r>
        <w:rPr>
          <w:rFonts w:cs="Arial" w:ascii="Arial" w:hAnsi="Arial"/>
        </w:rPr>
        <w:t>6.2. Iniciada a etapa competitiva, os fornecedores deverão encaminhar lances exclusivamente por meio do sistema eletrônico, sendo imediatamente informados do seu recebimento e do valor consignado no registro</w:t>
      </w:r>
      <w:r>
        <w:rPr>
          <w:rFonts w:cs="Arial" w:ascii="Arial" w:hAnsi="Arial"/>
          <w:highlight w:val="yellow"/>
        </w:rPr>
        <w:t xml:space="preserve">.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6.2.1. O lance deverá ser ofertado pelo valor unitário quando o critério de julgamento for por item e valor total quando a dispensa for julgada por Lote. </w:t>
      </w:r>
    </w:p>
    <w:p>
      <w:pPr>
        <w:pStyle w:val="Normal"/>
        <w:jc w:val="both"/>
        <w:rPr>
          <w:rFonts w:ascii="Arial" w:hAnsi="Arial" w:cs="Arial"/>
          <w:b/>
          <w:b/>
          <w:highlight w:val="yellow"/>
        </w:rPr>
      </w:pPr>
      <w:r>
        <w:rPr>
          <w:rFonts w:cs="Arial" w:ascii="Arial" w:hAnsi="Arial"/>
          <w:b/>
          <w:highlight w:val="yellow"/>
        </w:rPr>
      </w:r>
    </w:p>
    <w:p>
      <w:pPr>
        <w:pStyle w:val="Normal"/>
        <w:jc w:val="both"/>
        <w:rPr>
          <w:rFonts w:ascii="Arial" w:hAnsi="Arial" w:cs="Arial"/>
        </w:rPr>
      </w:pPr>
      <w:r>
        <w:rPr>
          <w:rFonts w:cs="Arial" w:ascii="Arial" w:hAnsi="Arial"/>
        </w:rPr>
        <w:t xml:space="preserve">6.3. O fornecedor somente poderá oferecer valor inferior em relação ao último lance por ele ofertado e registrado pelo sistema.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6.3.1.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6.4. Havendo lances iguais ao menor já ofertado, prevalecerá aquele que for recebido e registrado primeiro no sistema.</w:t>
      </w:r>
    </w:p>
    <w:p>
      <w:pPr>
        <w:pStyle w:val="Normal"/>
        <w:jc w:val="both"/>
        <w:rPr>
          <w:rFonts w:ascii="Arial" w:hAnsi="Arial" w:cs="Arial"/>
        </w:rPr>
      </w:pPr>
      <w:r>
        <w:rPr>
          <w:rFonts w:cs="Arial" w:ascii="Arial" w:hAnsi="Arial"/>
        </w:rPr>
        <w:t xml:space="preserve">. </w:t>
      </w:r>
    </w:p>
    <w:p>
      <w:pPr>
        <w:pStyle w:val="Normal"/>
        <w:jc w:val="both"/>
        <w:rPr>
          <w:rFonts w:ascii="Arial" w:hAnsi="Arial" w:cs="Arial"/>
        </w:rPr>
      </w:pPr>
      <w:r>
        <w:rPr>
          <w:rFonts w:cs="Arial" w:ascii="Arial" w:hAnsi="Arial"/>
        </w:rPr>
        <w:t xml:space="preserve">6.5. Caso o fornecedor não apresente lances, concorrerá com o valor de sua proposta.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6.6. Durante o procedimento, os fornecedores serão informados, em tempo real, do valor do menor lance registrado, vedada a identificação do fornecedor.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6.7. Imediatamente após o termino do prazo estabelecido para a fase de lances, haverá o seu encerramento, com o ordenamento e divulgação dos lances, pelo sistema, em ordem crescente de classificação.</w:t>
      </w:r>
    </w:p>
    <w:p>
      <w:pPr>
        <w:pStyle w:val="Ttulo8"/>
        <w:numPr>
          <w:ilvl w:val="0"/>
          <w:numId w:val="0"/>
        </w:numPr>
        <w:ind w:left="0" w:hanging="0"/>
        <w:rPr>
          <w:rFonts w:cs="Arial"/>
          <w:b w:val="false"/>
          <w:b w:val="false"/>
          <w:bCs w:val="false"/>
          <w:sz w:val="20"/>
          <w:szCs w:val="20"/>
          <w:lang w:val="pt-BR"/>
        </w:rPr>
      </w:pPr>
      <w:r>
        <w:rPr>
          <w:rFonts w:cs="Arial"/>
          <w:b w:val="false"/>
          <w:bCs w:val="false"/>
          <w:sz w:val="20"/>
          <w:szCs w:val="20"/>
          <w:lang w:val="pt-BR"/>
        </w:rPr>
      </w:r>
    </w:p>
    <w:p>
      <w:pPr>
        <w:pStyle w:val="Normal"/>
        <w:numPr>
          <w:ilvl w:val="0"/>
          <w:numId w:val="1"/>
        </w:numPr>
        <w:jc w:val="both"/>
        <w:rPr>
          <w:rFonts w:ascii="Arial" w:hAnsi="Arial" w:cs="Arial"/>
        </w:rPr>
      </w:pPr>
      <w:r>
        <w:rPr>
          <w:rFonts w:cs="Arial" w:ascii="Arial" w:hAnsi="Arial"/>
        </w:rPr>
      </w:r>
    </w:p>
    <w:p>
      <w:pPr>
        <w:pStyle w:val="Normal"/>
        <w:jc w:val="both"/>
        <w:rPr>
          <w:rFonts w:ascii="Arial" w:hAnsi="Arial" w:cs="Arial"/>
          <w:b/>
          <w:b/>
          <w:bCs/>
        </w:rPr>
      </w:pPr>
      <w:r>
        <w:rPr>
          <w:rFonts w:cs="Arial" w:ascii="Arial" w:hAnsi="Arial"/>
          <w:b/>
          <w:bCs/>
        </w:rPr>
        <w:t xml:space="preserve">7. FASE DE JULGAMENTO </w:t>
      </w:r>
    </w:p>
    <w:p>
      <w:pPr>
        <w:pStyle w:val="Normal"/>
        <w:jc w:val="both"/>
        <w:rPr>
          <w:rFonts w:ascii="Arial" w:hAnsi="Arial" w:cs="Arial"/>
          <w:b/>
          <w:b/>
          <w:bCs/>
        </w:rPr>
      </w:pPr>
      <w:r>
        <w:rPr>
          <w:rFonts w:cs="Arial" w:ascii="Arial" w:hAnsi="Arial"/>
          <w:b/>
          <w:bCs/>
        </w:rPr>
      </w:r>
    </w:p>
    <w:p>
      <w:pPr>
        <w:pStyle w:val="Normal"/>
        <w:jc w:val="both"/>
        <w:rPr>
          <w:rFonts w:ascii="Arial" w:hAnsi="Arial" w:cs="Arial"/>
        </w:rPr>
      </w:pPr>
      <w:r>
        <w:rPr>
          <w:rFonts w:cs="Arial" w:ascii="Arial" w:hAnsi="Arial"/>
        </w:rPr>
        <w:t xml:space="preserve">8.1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jc w:val="both"/>
        <w:rPr>
          <w:rFonts w:ascii="Arial" w:hAnsi="Arial" w:cs="Arial"/>
        </w:rPr>
      </w:pPr>
      <w:r>
        <w:rPr>
          <w:rFonts w:cs="Arial" w:ascii="Arial" w:hAnsi="Arial"/>
        </w:rPr>
      </w:r>
    </w:p>
    <w:p>
      <w:pPr>
        <w:pStyle w:val="Normal"/>
        <w:rPr>
          <w:rFonts w:ascii="Arial" w:hAnsi="Arial" w:cs="Arial"/>
        </w:rPr>
      </w:pPr>
      <w:r>
        <w:rPr>
          <w:rFonts w:cs="Arial" w:ascii="Arial" w:hAnsi="Arial"/>
        </w:rPr>
        <w:t xml:space="preserve">7.2 Será desclassificada a proposta vencedora que: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7.2.1 Contiver vícios insanáveis;</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7.2.2 Não obedecer às especificações técnicas expressas neste aviso ou em seu(s) anexo(s);</w:t>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7.2 Se a proposta ou lance vencedor for desclassificado, será examinada a proposta ou lance subsequente, e, assim sucessivamente, na ordem de classificação.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7.3. Após análise dos documentos de habilitação, será aprovada a empresa que cumprir todos os requisitos deste Edital</w:t>
      </w:r>
    </w:p>
    <w:p>
      <w:pPr>
        <w:pStyle w:val="Normal"/>
        <w:jc w:val="both"/>
        <w:rPr>
          <w:rFonts w:ascii="Arial" w:hAnsi="Arial" w:cs="Arial"/>
        </w:rPr>
      </w:pPr>
      <w:r>
        <w:rPr>
          <w:rFonts w:cs="Arial" w:ascii="Arial" w:hAnsi="Arial"/>
        </w:rPr>
      </w:r>
    </w:p>
    <w:p>
      <w:pPr>
        <w:pStyle w:val="Normal"/>
        <w:numPr>
          <w:ilvl w:val="0"/>
          <w:numId w:val="1"/>
        </w:numPr>
        <w:ind w:left="0" w:hanging="6"/>
        <w:jc w:val="both"/>
        <w:rPr>
          <w:rFonts w:ascii="Arial" w:hAnsi="Arial" w:cs="Arial"/>
        </w:rPr>
      </w:pPr>
      <w:r>
        <w:rPr>
          <w:rFonts w:cs="Arial" w:ascii="Arial" w:hAnsi="Arial"/>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9. SANÇÕES ADMINISTRATIVAS</w:t>
      </w:r>
    </w:p>
    <w:p>
      <w:pPr>
        <w:pStyle w:val="Normal"/>
        <w:numPr>
          <w:ilvl w:val="0"/>
          <w:numId w:val="1"/>
        </w:numPr>
        <w:ind w:firstLine="284"/>
        <w:jc w:val="both"/>
        <w:rPr>
          <w:rFonts w:ascii="Arial" w:hAnsi="Arial" w:cs="Arial"/>
          <w:highlight w:val="yellow"/>
        </w:rPr>
      </w:pPr>
      <w:r>
        <w:rPr>
          <w:rFonts w:cs="Arial" w:ascii="Arial" w:hAnsi="Arial"/>
          <w:highlight w:val="yellow"/>
        </w:rPr>
      </w:r>
    </w:p>
    <w:p>
      <w:pPr>
        <w:pStyle w:val="Normal"/>
        <w:numPr>
          <w:ilvl w:val="0"/>
          <w:numId w:val="1"/>
        </w:numPr>
        <w:jc w:val="both"/>
        <w:rPr>
          <w:rFonts w:ascii="Arial" w:hAnsi="Arial" w:cs="Arial"/>
        </w:rPr>
      </w:pPr>
      <w:r>
        <w:rPr>
          <w:rFonts w:cs="Arial" w:ascii="Arial" w:hAnsi="Arial"/>
          <w:bCs/>
        </w:rPr>
        <w:t>9.1.</w:t>
      </w:r>
      <w:r>
        <w:rPr>
          <w:rFonts w:cs="Arial" w:ascii="Arial" w:hAnsi="Arial"/>
          <w:b/>
          <w:bCs/>
        </w:rPr>
        <w:t xml:space="preserve"> </w:t>
      </w:r>
      <w:r>
        <w:rPr>
          <w:rFonts w:cs="Arial" w:ascii="Arial" w:hAnsi="Arial"/>
        </w:rPr>
        <w:t>Comete infração administrativa, nos termos da lei, o interessado que, com dolo ou culpa:</w:t>
      </w:r>
    </w:p>
    <w:p>
      <w:pPr>
        <w:pStyle w:val="Normal"/>
        <w:numPr>
          <w:ilvl w:val="0"/>
          <w:numId w:val="1"/>
        </w:numPr>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9.1.1.</w:t>
      </w:r>
      <w:r>
        <w:rPr>
          <w:rFonts w:cs="Arial" w:ascii="Arial" w:hAnsi="Arial"/>
        </w:rPr>
        <w:t xml:space="preserve"> </w:t>
      </w:r>
      <w:bookmarkStart w:id="2" w:name="_Hlk114652595"/>
      <w:bookmarkStart w:id="3" w:name="_Ref114668085"/>
      <w:r>
        <w:rPr>
          <w:rFonts w:cs="Arial" w:ascii="Arial" w:hAnsi="Arial"/>
        </w:rPr>
        <w:t>deixar de entregar a documentação exigida para o certame ou não entregar qualquer documento que tenha sido solicitado pelo/a pregoeiro/a durante o certame;</w:t>
      </w:r>
      <w:bookmarkEnd w:id="3"/>
    </w:p>
    <w:p>
      <w:pPr>
        <w:pStyle w:val="Normal"/>
        <w:numPr>
          <w:ilvl w:val="0"/>
          <w:numId w:val="1"/>
        </w:numPr>
        <w:ind w:left="284" w:hanging="0"/>
        <w:jc w:val="both"/>
        <w:rPr>
          <w:rFonts w:ascii="Arial" w:hAnsi="Arial" w:cs="Arial"/>
        </w:rPr>
      </w:pPr>
      <w:r>
        <w:rPr>
          <w:rFonts w:cs="Arial" w:ascii="Arial" w:hAnsi="Arial"/>
        </w:rPr>
      </w:r>
      <w:bookmarkStart w:id="4" w:name="_Ref114668108"/>
      <w:bookmarkStart w:id="5" w:name="_Ref114668108"/>
    </w:p>
    <w:p>
      <w:pPr>
        <w:pStyle w:val="Normal"/>
        <w:jc w:val="both"/>
        <w:rPr>
          <w:rFonts w:ascii="Arial" w:hAnsi="Arial" w:cs="Arial"/>
        </w:rPr>
      </w:pPr>
      <w:r>
        <w:rPr>
          <w:rFonts w:cs="Arial" w:ascii="Arial" w:hAnsi="Arial"/>
          <w:bCs/>
        </w:rPr>
        <w:t>9.1.2.</w:t>
      </w:r>
      <w:r>
        <w:rPr>
          <w:rFonts w:cs="Arial" w:ascii="Arial" w:hAnsi="Arial"/>
        </w:rPr>
        <w:t xml:space="preserve"> salvo em decorrência de fato superveniente devidamente justificado, não mantiver a proposta em especial quando:</w:t>
      </w:r>
      <w:bookmarkEnd w:id="5"/>
    </w:p>
    <w:p>
      <w:pPr>
        <w:pStyle w:val="Normal"/>
        <w:numPr>
          <w:ilvl w:val="0"/>
          <w:numId w:val="1"/>
        </w:numPr>
        <w:ind w:left="284" w:hanging="0"/>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9.1.2.1.</w:t>
      </w:r>
      <w:r>
        <w:rPr>
          <w:rFonts w:cs="Arial" w:ascii="Arial" w:hAnsi="Arial"/>
          <w:b/>
          <w:bCs/>
        </w:rPr>
        <w:t xml:space="preserve"> </w:t>
      </w:r>
      <w:r>
        <w:rPr>
          <w:rFonts w:cs="Arial" w:ascii="Arial" w:hAnsi="Arial"/>
        </w:rPr>
        <w:t xml:space="preserve">não enviar a proposta adequada ao último lance ofertado ou após a negociação; </w:t>
      </w:r>
    </w:p>
    <w:p>
      <w:pPr>
        <w:pStyle w:val="Normal"/>
        <w:numPr>
          <w:ilvl w:val="0"/>
          <w:numId w:val="1"/>
        </w:numPr>
        <w:ind w:left="426" w:hanging="0"/>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9.1.2.2.</w:t>
      </w:r>
      <w:r>
        <w:rPr>
          <w:rFonts w:cs="Arial" w:ascii="Arial" w:hAnsi="Arial"/>
          <w:b/>
          <w:bCs/>
        </w:rPr>
        <w:t xml:space="preserve"> </w:t>
      </w:r>
      <w:r>
        <w:rPr>
          <w:rFonts w:cs="Arial" w:ascii="Arial" w:hAnsi="Arial"/>
        </w:rPr>
        <w:t xml:space="preserve">recusar-se a enviar o detalhamento da proposta quando exigível; </w:t>
      </w:r>
    </w:p>
    <w:p>
      <w:pPr>
        <w:pStyle w:val="Normal"/>
        <w:numPr>
          <w:ilvl w:val="0"/>
          <w:numId w:val="1"/>
        </w:numPr>
        <w:ind w:left="426" w:hanging="0"/>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9.1.2.3.</w:t>
      </w:r>
      <w:r>
        <w:rPr>
          <w:rFonts w:cs="Arial" w:ascii="Arial" w:hAnsi="Arial"/>
          <w:b/>
          <w:bCs/>
        </w:rPr>
        <w:t xml:space="preserve"> </w:t>
      </w:r>
      <w:r>
        <w:rPr>
          <w:rFonts w:cs="Arial" w:ascii="Arial" w:hAnsi="Arial"/>
        </w:rPr>
        <w:t xml:space="preserve">pedir para ser desclassificado quando encerrada a etapa competitiva; ou </w:t>
      </w:r>
    </w:p>
    <w:p>
      <w:pPr>
        <w:pStyle w:val="Normal"/>
        <w:numPr>
          <w:ilvl w:val="0"/>
          <w:numId w:val="1"/>
        </w:numPr>
        <w:ind w:left="426" w:hanging="0"/>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9.1.2.4.</w:t>
      </w:r>
      <w:r>
        <w:rPr>
          <w:rFonts w:cs="Arial" w:ascii="Arial" w:hAnsi="Arial"/>
          <w:b/>
          <w:bCs/>
        </w:rPr>
        <w:t xml:space="preserve"> </w:t>
      </w:r>
      <w:r>
        <w:rPr>
          <w:rFonts w:cs="Arial" w:ascii="Arial" w:hAnsi="Arial"/>
        </w:rPr>
        <w:t>deixar de apresentar amostra;</w:t>
      </w:r>
    </w:p>
    <w:p>
      <w:pPr>
        <w:pStyle w:val="Normal"/>
        <w:numPr>
          <w:ilvl w:val="0"/>
          <w:numId w:val="1"/>
        </w:numPr>
        <w:ind w:left="426" w:hanging="0"/>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9.1.2.5.</w:t>
      </w:r>
      <w:r>
        <w:rPr>
          <w:rFonts w:cs="Arial" w:ascii="Arial" w:hAnsi="Arial"/>
          <w:b/>
          <w:bCs/>
        </w:rPr>
        <w:t xml:space="preserve"> </w:t>
      </w:r>
      <w:r>
        <w:rPr>
          <w:rFonts w:cs="Arial" w:ascii="Arial" w:hAnsi="Arial"/>
        </w:rPr>
        <w:t xml:space="preserve">apresentar proposta ou amostra em desacordo com as especificações do edital; </w:t>
      </w:r>
    </w:p>
    <w:p>
      <w:pPr>
        <w:pStyle w:val="Normal"/>
        <w:numPr>
          <w:ilvl w:val="0"/>
          <w:numId w:val="1"/>
        </w:numPr>
        <w:ind w:left="284" w:hanging="0"/>
        <w:jc w:val="both"/>
        <w:rPr>
          <w:rFonts w:ascii="Arial" w:hAnsi="Arial" w:cs="Arial"/>
        </w:rPr>
      </w:pPr>
      <w:r>
        <w:rPr>
          <w:rFonts w:cs="Arial" w:ascii="Arial" w:hAnsi="Arial"/>
        </w:rPr>
      </w:r>
      <w:bookmarkStart w:id="6" w:name="_Ref114668139"/>
      <w:bookmarkStart w:id="7" w:name="_Ref114668139"/>
    </w:p>
    <w:p>
      <w:pPr>
        <w:pStyle w:val="Normal"/>
        <w:jc w:val="both"/>
        <w:rPr>
          <w:rFonts w:ascii="Arial" w:hAnsi="Arial" w:cs="Arial"/>
        </w:rPr>
      </w:pPr>
      <w:r>
        <w:rPr>
          <w:rFonts w:cs="Arial" w:ascii="Arial" w:hAnsi="Arial"/>
          <w:bCs/>
        </w:rPr>
        <w:t>9.1.3.</w:t>
      </w:r>
      <w:r>
        <w:rPr>
          <w:rFonts w:cs="Arial" w:ascii="Arial" w:hAnsi="Arial"/>
        </w:rPr>
        <w:t xml:space="preserve"> não celebrar o contrato ou não entregar a documentação exigida para a contratação, quando convocado dentro do prazo de validade de sua proposta;</w:t>
      </w:r>
      <w:bookmarkEnd w:id="7"/>
    </w:p>
    <w:p>
      <w:pPr>
        <w:pStyle w:val="Normal"/>
        <w:numPr>
          <w:ilvl w:val="0"/>
          <w:numId w:val="1"/>
        </w:numPr>
        <w:ind w:left="284" w:hanging="0"/>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ind w:left="284" w:hanging="0"/>
        <w:jc w:val="both"/>
        <w:rPr>
          <w:rFonts w:ascii="Arial" w:hAnsi="Arial" w:cs="Arial"/>
        </w:rPr>
      </w:pPr>
      <w:r>
        <w:rPr>
          <w:rFonts w:cs="Arial" w:ascii="Arial" w:hAnsi="Arial"/>
        </w:rPr>
      </w:r>
      <w:bookmarkStart w:id="8" w:name="_Ref114668249"/>
      <w:bookmarkStart w:id="9" w:name="_Ref114668249"/>
    </w:p>
    <w:p>
      <w:pPr>
        <w:pStyle w:val="Normal"/>
        <w:numPr>
          <w:ilvl w:val="0"/>
          <w:numId w:val="1"/>
        </w:numPr>
        <w:ind w:left="0" w:hanging="0"/>
        <w:jc w:val="both"/>
        <w:rPr>
          <w:rFonts w:ascii="Arial" w:hAnsi="Arial" w:cs="Arial"/>
        </w:rPr>
      </w:pPr>
      <w:r>
        <w:rPr>
          <w:rFonts w:cs="Arial" w:ascii="Arial" w:hAnsi="Arial"/>
          <w:bCs/>
        </w:rPr>
        <w:t>9.1.4.</w:t>
      </w:r>
      <w:r>
        <w:rPr>
          <w:rFonts w:cs="Arial" w:ascii="Arial" w:hAnsi="Arial"/>
        </w:rPr>
        <w:t xml:space="preserve"> apresentar declaração ou documentação falsa exigida para o certame ou prestar declaração falsa durante a licitação</w:t>
      </w:r>
      <w:bookmarkEnd w:id="9"/>
    </w:p>
    <w:p>
      <w:pPr>
        <w:pStyle w:val="Normal"/>
        <w:numPr>
          <w:ilvl w:val="0"/>
          <w:numId w:val="1"/>
        </w:numPr>
        <w:ind w:left="284" w:hanging="0"/>
        <w:jc w:val="both"/>
        <w:rPr>
          <w:rFonts w:ascii="Arial" w:hAnsi="Arial" w:cs="Arial"/>
        </w:rPr>
      </w:pPr>
      <w:r>
        <w:rPr>
          <w:rFonts w:cs="Arial" w:ascii="Arial" w:hAnsi="Arial"/>
        </w:rPr>
      </w:r>
      <w:bookmarkStart w:id="10" w:name="_Ref114668245"/>
      <w:bookmarkStart w:id="11" w:name="_Ref114668245"/>
    </w:p>
    <w:p>
      <w:pPr>
        <w:pStyle w:val="Normal"/>
        <w:numPr>
          <w:ilvl w:val="0"/>
          <w:numId w:val="1"/>
        </w:numPr>
        <w:ind w:left="0" w:hanging="0"/>
        <w:jc w:val="both"/>
        <w:rPr>
          <w:rFonts w:ascii="Arial" w:hAnsi="Arial" w:cs="Arial"/>
        </w:rPr>
      </w:pPr>
      <w:r>
        <w:rPr>
          <w:rFonts w:cs="Arial" w:ascii="Arial" w:hAnsi="Arial"/>
          <w:bCs/>
        </w:rPr>
        <w:t>9.1.5.</w:t>
      </w:r>
      <w:r>
        <w:rPr>
          <w:rFonts w:cs="Arial" w:ascii="Arial" w:hAnsi="Arial"/>
        </w:rPr>
        <w:t xml:space="preserve"> fraudar a licitação</w:t>
      </w:r>
      <w:bookmarkEnd w:id="11"/>
      <w:r>
        <w:rPr>
          <w:rFonts w:cs="Arial" w:ascii="Arial" w:hAnsi="Arial"/>
        </w:rPr>
        <w:t>;</w:t>
      </w:r>
    </w:p>
    <w:p>
      <w:pPr>
        <w:pStyle w:val="Normal"/>
        <w:numPr>
          <w:ilvl w:val="0"/>
          <w:numId w:val="1"/>
        </w:numPr>
        <w:ind w:left="284" w:hanging="0"/>
        <w:jc w:val="both"/>
        <w:rPr>
          <w:rFonts w:ascii="Arial" w:hAnsi="Arial" w:cs="Arial"/>
        </w:rPr>
      </w:pPr>
      <w:r>
        <w:rPr>
          <w:rFonts w:cs="Arial" w:ascii="Arial" w:hAnsi="Arial"/>
        </w:rPr>
      </w:r>
      <w:bookmarkStart w:id="12" w:name="_Ref114668247"/>
      <w:bookmarkStart w:id="13" w:name="_Ref114668247"/>
    </w:p>
    <w:p>
      <w:pPr>
        <w:pStyle w:val="Normal"/>
        <w:numPr>
          <w:ilvl w:val="0"/>
          <w:numId w:val="1"/>
        </w:numPr>
        <w:ind w:left="0" w:hanging="0"/>
        <w:jc w:val="both"/>
        <w:rPr>
          <w:rFonts w:ascii="Arial" w:hAnsi="Arial" w:cs="Arial"/>
        </w:rPr>
      </w:pPr>
      <w:r>
        <w:rPr>
          <w:rFonts w:cs="Arial" w:ascii="Arial" w:hAnsi="Arial"/>
          <w:bCs/>
        </w:rPr>
        <w:t>9.1.6.</w:t>
      </w:r>
      <w:r>
        <w:rPr>
          <w:rFonts w:cs="Arial" w:ascii="Arial" w:hAnsi="Arial"/>
        </w:rPr>
        <w:t xml:space="preserve"> comportar-se de modo inidôneo ou cometer fraude de qualquer natureza, em especial quando:</w:t>
      </w:r>
      <w:bookmarkEnd w:id="13"/>
    </w:p>
    <w:p>
      <w:pPr>
        <w:pStyle w:val="Normal"/>
        <w:numPr>
          <w:ilvl w:val="0"/>
          <w:numId w:val="1"/>
        </w:numPr>
        <w:ind w:left="284" w:hanging="0"/>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9.1.6.1.</w:t>
      </w:r>
      <w:r>
        <w:rPr>
          <w:rFonts w:cs="Arial" w:ascii="Arial" w:hAnsi="Arial"/>
        </w:rPr>
        <w:t xml:space="preserve"> agir em conluio ou em desconformidade com a lei; </w:t>
      </w:r>
    </w:p>
    <w:p>
      <w:pPr>
        <w:pStyle w:val="Normal"/>
        <w:numPr>
          <w:ilvl w:val="0"/>
          <w:numId w:val="1"/>
        </w:numPr>
        <w:ind w:left="426" w:hanging="0"/>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9.1.6.2.</w:t>
      </w:r>
      <w:r>
        <w:rPr>
          <w:rFonts w:cs="Arial" w:ascii="Arial" w:hAnsi="Arial"/>
        </w:rPr>
        <w:t xml:space="preserve"> induzir deliberadamente a erro no julgamento; </w:t>
      </w:r>
    </w:p>
    <w:p>
      <w:pPr>
        <w:pStyle w:val="Normal"/>
        <w:numPr>
          <w:ilvl w:val="0"/>
          <w:numId w:val="1"/>
        </w:numPr>
        <w:ind w:left="426" w:hanging="0"/>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9.1.6.3.</w:t>
      </w:r>
      <w:r>
        <w:rPr>
          <w:rFonts w:cs="Arial" w:ascii="Arial" w:hAnsi="Arial"/>
        </w:rPr>
        <w:t xml:space="preserve"> apresentar amostra falsificada ou deteriorada; </w:t>
      </w:r>
    </w:p>
    <w:p>
      <w:pPr>
        <w:pStyle w:val="Normal"/>
        <w:numPr>
          <w:ilvl w:val="0"/>
          <w:numId w:val="1"/>
        </w:numPr>
        <w:ind w:left="284" w:hanging="0"/>
        <w:jc w:val="both"/>
        <w:rPr>
          <w:rFonts w:ascii="Arial" w:hAnsi="Arial" w:cs="Arial"/>
        </w:rPr>
      </w:pPr>
      <w:r>
        <w:rPr>
          <w:rFonts w:cs="Arial" w:ascii="Arial" w:hAnsi="Arial"/>
        </w:rPr>
      </w:r>
      <w:bookmarkStart w:id="14" w:name="_Ref114668251"/>
      <w:bookmarkStart w:id="15" w:name="_Ref114668251"/>
    </w:p>
    <w:p>
      <w:pPr>
        <w:pStyle w:val="Normal"/>
        <w:numPr>
          <w:ilvl w:val="0"/>
          <w:numId w:val="1"/>
        </w:numPr>
        <w:ind w:left="0" w:hanging="0"/>
        <w:jc w:val="both"/>
        <w:rPr>
          <w:rFonts w:ascii="Arial" w:hAnsi="Arial" w:cs="Arial"/>
        </w:rPr>
      </w:pPr>
      <w:r>
        <w:rPr>
          <w:rFonts w:cs="Arial" w:ascii="Arial" w:hAnsi="Arial"/>
          <w:bCs/>
        </w:rPr>
        <w:t>9.1.7.</w:t>
      </w:r>
      <w:r>
        <w:rPr>
          <w:rFonts w:cs="Arial" w:ascii="Arial" w:hAnsi="Arial"/>
        </w:rPr>
        <w:t xml:space="preserve"> praticar atos ilícitos com vistas a frustrar os objetivos da licitação</w:t>
      </w:r>
      <w:bookmarkEnd w:id="15"/>
      <w:r>
        <w:rPr>
          <w:rFonts w:cs="Arial" w:ascii="Arial" w:hAnsi="Arial"/>
        </w:rPr>
        <w:t>;</w:t>
      </w:r>
    </w:p>
    <w:p>
      <w:pPr>
        <w:pStyle w:val="Normal"/>
        <w:numPr>
          <w:ilvl w:val="0"/>
          <w:numId w:val="1"/>
        </w:numPr>
        <w:ind w:left="0" w:hanging="0"/>
        <w:jc w:val="both"/>
        <w:rPr>
          <w:rFonts w:ascii="Arial" w:hAnsi="Arial" w:cs="Arial"/>
        </w:rPr>
      </w:pPr>
      <w:r>
        <w:rPr>
          <w:rFonts w:cs="Arial" w:ascii="Arial" w:hAnsi="Arial"/>
        </w:rPr>
      </w:r>
      <w:bookmarkStart w:id="16" w:name="_Ref114668252"/>
      <w:bookmarkStart w:id="17" w:name="_Ref114668252"/>
    </w:p>
    <w:p>
      <w:pPr>
        <w:pStyle w:val="Normal"/>
        <w:numPr>
          <w:ilvl w:val="0"/>
          <w:numId w:val="1"/>
        </w:numPr>
        <w:ind w:left="0" w:hanging="0"/>
        <w:jc w:val="both"/>
        <w:rPr>
          <w:rFonts w:ascii="Arial" w:hAnsi="Arial" w:cs="Arial"/>
        </w:rPr>
      </w:pPr>
      <w:r>
        <w:rPr>
          <w:rFonts w:cs="Arial" w:ascii="Arial" w:hAnsi="Arial"/>
          <w:bCs/>
        </w:rPr>
        <w:t>9.1.8.</w:t>
      </w:r>
      <w:r>
        <w:rPr>
          <w:rFonts w:cs="Arial" w:ascii="Arial" w:hAnsi="Arial"/>
        </w:rPr>
        <w:t xml:space="preserve"> praticar ato lesivo previsto no </w:t>
      </w:r>
      <w:r>
        <w:fldChar w:fldCharType="begin"/>
      </w:r>
      <w:r>
        <w:rPr>
          <w:rFonts w:cs="Arial" w:ascii="Arial" w:hAnsi="Arial"/>
        </w:rPr>
        <w:instrText xml:space="preserve"> HYPERLINK "https://www.planalto.gov.br/ccivil_03/_ato2011-2014/2013/lei/l12846.htm" \l "art5"</w:instrText>
      </w:r>
      <w:r>
        <w:rPr>
          <w:rFonts w:cs="Arial" w:ascii="Arial" w:hAnsi="Arial"/>
        </w:rPr>
        <w:fldChar w:fldCharType="separate"/>
      </w:r>
      <w:r>
        <w:rPr>
          <w:rFonts w:cs="Arial" w:ascii="Arial" w:hAnsi="Arial"/>
        </w:rPr>
        <w:t>art. 5º da Lei n.º 12.846, de 2013</w:t>
      </w:r>
      <w:r>
        <w:rPr>
          <w:rFonts w:cs="Arial" w:ascii="Arial" w:hAnsi="Arial"/>
        </w:rPr>
        <w:fldChar w:fldCharType="end"/>
      </w:r>
      <w:r>
        <w:rPr>
          <w:rFonts w:cs="Arial" w:ascii="Arial" w:hAnsi="Arial"/>
        </w:rPr>
        <w:t>.</w:t>
      </w:r>
      <w:bookmarkEnd w:id="2"/>
      <w:bookmarkEnd w:id="17"/>
    </w:p>
    <w:p>
      <w:pPr>
        <w:pStyle w:val="Normal"/>
        <w:numPr>
          <w:ilvl w:val="0"/>
          <w:numId w:val="1"/>
        </w:numPr>
        <w:ind w:left="0" w:hanging="432"/>
        <w:jc w:val="both"/>
        <w:rPr>
          <w:rFonts w:ascii="Arial" w:hAnsi="Arial" w:cs="Arial"/>
          <w:highlight w:val="yellow"/>
        </w:rPr>
      </w:pPr>
      <w:r>
        <w:rPr>
          <w:rFonts w:cs="Arial" w:ascii="Arial" w:hAnsi="Arial"/>
          <w:highlight w:val="yellow"/>
        </w:rPr>
      </w:r>
    </w:p>
    <w:p>
      <w:pPr>
        <w:pStyle w:val="Normal"/>
        <w:numPr>
          <w:ilvl w:val="0"/>
          <w:numId w:val="1"/>
        </w:numPr>
        <w:ind w:left="0" w:hanging="0"/>
        <w:jc w:val="both"/>
        <w:rPr>
          <w:rFonts w:ascii="Arial" w:hAnsi="Arial" w:cs="Arial"/>
        </w:rPr>
      </w:pPr>
      <w:r>
        <w:rPr>
          <w:rFonts w:cs="Arial" w:ascii="Arial" w:hAnsi="Arial"/>
          <w:bCs/>
        </w:rPr>
        <w:t>9.2.</w:t>
      </w:r>
      <w:r>
        <w:rPr>
          <w:rFonts w:cs="Arial" w:ascii="Arial" w:hAnsi="Arial"/>
          <w:b/>
          <w:bCs/>
        </w:rPr>
        <w:t xml:space="preserve"> </w:t>
      </w:r>
      <w:r>
        <w:rPr>
          <w:rFonts w:cs="Arial" w:ascii="Arial" w:hAnsi="Arial"/>
        </w:rPr>
        <w:t>O não cumprimento, por parte dos interessados, dos preços e condições constantes de sua coleta, acarretará as seguintes sanções:</w:t>
      </w:r>
    </w:p>
    <w:p>
      <w:pPr>
        <w:pStyle w:val="Normal"/>
        <w:numPr>
          <w:ilvl w:val="0"/>
          <w:numId w:val="1"/>
        </w:numPr>
        <w:ind w:left="0" w:hanging="432"/>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9.2.1</w:t>
      </w:r>
      <w:r>
        <w:rPr>
          <w:rFonts w:cs="Arial" w:ascii="Arial" w:hAnsi="Arial"/>
          <w:b/>
          <w:bCs/>
        </w:rPr>
        <w:t>.</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ind w:left="0" w:hanging="0"/>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9.2.2.</w:t>
      </w:r>
      <w:r>
        <w:rPr>
          <w:rFonts w:cs="Arial" w:ascii="Arial" w:hAnsi="Arial"/>
          <w:b/>
          <w:bCs/>
        </w:rPr>
        <w:t xml:space="preserve"> </w:t>
      </w:r>
      <w:r>
        <w:rPr>
          <w:rFonts w:cs="Arial" w:ascii="Arial" w:hAnsi="Arial"/>
        </w:rPr>
        <w:t>Pela inexecução parcial, multa de 10% (dez por cento) sobre o valor do empenho;</w:t>
      </w:r>
    </w:p>
    <w:p>
      <w:pPr>
        <w:pStyle w:val="Normal"/>
        <w:numPr>
          <w:ilvl w:val="0"/>
          <w:numId w:val="1"/>
        </w:numPr>
        <w:ind w:left="0" w:hanging="0"/>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9.2.3.</w:t>
      </w:r>
      <w:r>
        <w:rPr>
          <w:rFonts w:cs="Arial" w:ascii="Arial" w:hAnsi="Arial"/>
          <w:b/>
          <w:bCs/>
        </w:rPr>
        <w:t xml:space="preserve"> </w:t>
      </w:r>
      <w:r>
        <w:rPr>
          <w:rFonts w:cs="Arial" w:ascii="Arial" w:hAnsi="Arial"/>
        </w:rPr>
        <w:t>Pela inexecução total, multa de 20% (vinte por cento) sobre o valor do empenho;</w:t>
      </w:r>
    </w:p>
    <w:p>
      <w:pPr>
        <w:pStyle w:val="Normal"/>
        <w:numPr>
          <w:ilvl w:val="0"/>
          <w:numId w:val="1"/>
        </w:numPr>
        <w:ind w:left="0" w:hanging="0"/>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9.2.4.</w:t>
      </w:r>
      <w:r>
        <w:rPr>
          <w:rFonts w:cs="Arial" w:ascii="Arial" w:hAnsi="Arial"/>
          <w:b/>
          <w:bCs/>
        </w:rPr>
        <w:t xml:space="preserve"> </w:t>
      </w:r>
      <w:r>
        <w:rPr>
          <w:rFonts w:cs="Arial" w:ascii="Arial" w:hAnsi="Arial"/>
        </w:rPr>
        <w:t xml:space="preserve">Suspensão temporária da participação nas COLETAS ELETRÔNICAS DE PREÇOS, com o descredenciamento no Cadastro do </w:t>
      </w:r>
      <w:hyperlink r:id="rId6">
        <w:r>
          <w:rPr>
            <w:rStyle w:val="LinkdaInternet"/>
            <w:rFonts w:cs="Arial" w:ascii="Arial" w:hAnsi="Arial"/>
          </w:rPr>
          <w:t>www.bnc.org.br</w:t>
        </w:r>
      </w:hyperlink>
    </w:p>
    <w:p>
      <w:pPr>
        <w:pStyle w:val="Normal"/>
        <w:numPr>
          <w:ilvl w:val="0"/>
          <w:numId w:val="1"/>
        </w:numPr>
        <w:ind w:left="0" w:hanging="432"/>
        <w:jc w:val="both"/>
        <w:rPr>
          <w:rFonts w:ascii="Arial" w:hAnsi="Arial" w:cs="Arial"/>
          <w:b/>
          <w:b/>
          <w:bCs/>
        </w:rPr>
      </w:pPr>
      <w:r>
        <w:rPr>
          <w:rFonts w:cs="Arial" w:ascii="Arial" w:hAnsi="Arial"/>
          <w:b/>
          <w:bCs/>
        </w:rPr>
      </w:r>
    </w:p>
    <w:p>
      <w:pPr>
        <w:pStyle w:val="Normal"/>
        <w:numPr>
          <w:ilvl w:val="0"/>
          <w:numId w:val="1"/>
        </w:numPr>
        <w:ind w:left="0" w:hanging="0"/>
        <w:jc w:val="both"/>
        <w:rPr>
          <w:rFonts w:ascii="Arial" w:hAnsi="Arial" w:cs="Arial"/>
          <w:b/>
          <w:b/>
          <w:bCs/>
        </w:rPr>
      </w:pPr>
      <w:r>
        <w:rPr>
          <w:rFonts w:cs="Arial" w:ascii="Arial" w:hAnsi="Arial"/>
          <w:bCs/>
        </w:rPr>
        <w:t>9.3.</w:t>
      </w:r>
      <w:r>
        <w:rPr>
          <w:rFonts w:cs="Arial" w:ascii="Arial" w:hAnsi="Arial"/>
          <w:b/>
          <w:bCs/>
        </w:rPr>
        <w:t xml:space="preserve"> A aplicação das sanções previstas neste edital não exclui, em hipótese alguma, a obrigação de reparação integral dos danos causados.</w:t>
      </w:r>
    </w:p>
    <w:p>
      <w:pPr>
        <w:pStyle w:val="Normal"/>
        <w:numPr>
          <w:ilvl w:val="0"/>
          <w:numId w:val="1"/>
        </w:numPr>
        <w:ind w:left="0" w:firstLine="284"/>
        <w:jc w:val="center"/>
        <w:rPr>
          <w:rFonts w:ascii="Arial" w:hAnsi="Arial" w:cs="Arial"/>
          <w:highlight w:val="yellow"/>
        </w:rPr>
      </w:pPr>
      <w:r>
        <w:rPr>
          <w:rFonts w:cs="Arial" w:ascii="Arial" w:hAnsi="Arial"/>
          <w:highlight w:val="yellow"/>
        </w:rPr>
      </w:r>
    </w:p>
    <w:p>
      <w:pPr>
        <w:pStyle w:val="Normal"/>
        <w:numPr>
          <w:ilvl w:val="0"/>
          <w:numId w:val="1"/>
        </w:numPr>
        <w:ind w:left="0" w:firstLine="284"/>
        <w:jc w:val="both"/>
        <w:rPr>
          <w:rFonts w:ascii="Arial" w:hAnsi="Arial" w:cs="Arial"/>
        </w:rPr>
      </w:pPr>
      <w:r>
        <w:rPr>
          <w:rFonts w:cs="Arial" w:ascii="Arial" w:hAnsi="Arial"/>
        </w:rPr>
      </w:r>
      <w:r>
        <w:br w:type="page"/>
      </w:r>
    </w:p>
    <w:p>
      <w:pPr>
        <w:pStyle w:val="Corpodotextorecuado"/>
        <w:widowControl w:val="false"/>
        <w:overflowPunct w:val="false"/>
        <w:spacing w:lineRule="auto" w:line="240"/>
        <w:jc w:val="center"/>
        <w:textAlignment w:val="auto"/>
        <w:rPr>
          <w:b/>
          <w:b/>
          <w:bCs/>
          <w:color w:val="auto"/>
          <w:sz w:val="20"/>
          <w:szCs w:val="20"/>
          <w:lang w:val="pt-BR"/>
        </w:rPr>
      </w:pPr>
      <w:r>
        <w:rPr>
          <w:b/>
          <w:bCs/>
          <w:color w:val="auto"/>
          <w:sz w:val="20"/>
          <w:szCs w:val="20"/>
        </w:rPr>
        <w:t>ANEXO I</w:t>
      </w:r>
    </w:p>
    <w:p>
      <w:pPr>
        <w:pStyle w:val="Normal"/>
        <w:jc w:val="center"/>
        <w:rPr>
          <w:rFonts w:ascii="Arial" w:hAnsi="Arial" w:cs="Arial"/>
          <w:b/>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3"/>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left="720" w:hanging="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Corpodotextorecuado"/>
        <w:widowControl w:val="false"/>
        <w:overflowPunct w:val="false"/>
        <w:spacing w:lineRule="auto" w:line="240"/>
        <w:jc w:val="center"/>
        <w:textAlignment w:val="auto"/>
        <w:rPr>
          <w:b/>
          <w:b/>
          <w:bCs/>
          <w:color w:val="auto"/>
          <w:sz w:val="20"/>
          <w:szCs w:val="20"/>
          <w:lang w:val="pt-BR"/>
        </w:rPr>
      </w:pPr>
      <w:r>
        <w:rPr>
          <w:b/>
          <w:bCs/>
          <w:color w:val="auto"/>
          <w:sz w:val="20"/>
          <w:szCs w:val="20"/>
        </w:rPr>
        <w:t>ANEXO II</w:t>
      </w:r>
    </w:p>
    <w:p>
      <w:pPr>
        <w:pStyle w:val="Normal"/>
        <w:ind w:firstLine="561"/>
        <w:jc w:val="center"/>
        <w:rPr>
          <w:rFonts w:ascii="Arial" w:hAnsi="Arial" w:cs="Arial"/>
          <w:b/>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Corpodotextorecuado"/>
        <w:widowControl w:val="false"/>
        <w:overflowPunct w:val="false"/>
        <w:spacing w:lineRule="auto" w:line="240"/>
        <w:jc w:val="center"/>
        <w:rPr>
          <w:b/>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
          <w:bCs/>
        </w:rPr>
      </w:pPr>
      <w:r>
        <w:rPr>
          <w:rFonts w:cs="Arial" w:ascii="Arial" w:hAnsi="Arial"/>
        </w:rPr>
        <w:t>====================================================================================</w:t>
      </w:r>
    </w:p>
    <w:p>
      <w:pPr>
        <w:pStyle w:val="Normal"/>
        <w:jc w:val="center"/>
        <w:rPr>
          <w:rFonts w:ascii="Arial" w:hAnsi="Arial" w:cs="Arial"/>
          <w:b/>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
          <w:bCs/>
        </w:rPr>
      </w:pPr>
      <w:r>
        <w:rPr>
          <w:rFonts w:cs="Arial" w:ascii="Arial" w:hAnsi="Arial"/>
        </w:rPr>
        <w:t>====================================================================================</w:t>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textAlignment w:val="auto"/>
        <w:rPr>
          <w:color w:val="auto"/>
          <w:sz w:val="20"/>
          <w:szCs w:val="20"/>
        </w:rPr>
      </w:pPr>
      <w:r>
        <w:rPr>
          <w:color w:val="auto"/>
          <w:sz w:val="20"/>
          <w:szCs w:val="20"/>
        </w:rPr>
      </w:r>
    </w:p>
    <w:p>
      <w:pPr>
        <w:pStyle w:val="Corpodotextorecuado"/>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Corpodotextorecuado"/>
        <w:widowControl w:val="false"/>
        <w:tabs>
          <w:tab w:val="clear" w:pos="709"/>
          <w:tab w:val="left" w:pos="284" w:leader="none"/>
        </w:tabs>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b w:val="false"/>
          <w:sz w:val="20"/>
        </w:rPr>
      </w:pPr>
      <w:r>
        <w:rPr>
          <w:b w:val="false"/>
          <w:sz w:val="20"/>
        </w:rPr>
        <w:t>Telefone:</w:t>
      </w:r>
    </w:p>
    <w:p>
      <w:pPr>
        <w:pStyle w:val="Corpodetexto21"/>
        <w:tabs>
          <w:tab w:val="clear" w:pos="709"/>
          <w:tab w:val="left" w:pos="284" w:leader="none"/>
        </w:tabs>
        <w:rPr>
          <w:b w:val="false"/>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6"/>
        <w:gridCol w:w="844"/>
        <w:gridCol w:w="855"/>
        <w:gridCol w:w="4533"/>
        <w:gridCol w:w="1416"/>
        <w:gridCol w:w="1700"/>
      </w:tblGrid>
      <w:tr>
        <w:trPr>
          <w:trHeight w:val="283" w:hRule="atLeast"/>
        </w:trPr>
        <w:tc>
          <w:tcPr>
            <w:tcW w:w="56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Item</w:t>
            </w:r>
          </w:p>
        </w:tc>
        <w:tc>
          <w:tcPr>
            <w:tcW w:w="844"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Quant.</w:t>
            </w:r>
          </w:p>
        </w:tc>
        <w:tc>
          <w:tcPr>
            <w:tcW w:w="855"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Total</w:t>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4"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5"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4"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5"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b/>
          <w:color w:val="auto"/>
        </w:rPr>
      </w:pPr>
      <w:r>
        <w:rPr>
          <w:color w:val="auto"/>
        </w:rPr>
        <w:t>Nº Conta Corrente</w:t>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Corpodotextorecuado"/>
        <w:widowControl w:val="false"/>
        <w:overflowPunct w:val="fals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
    </w:p>
    <w:sectPr>
      <w:headerReference w:type="default" r:id="rId7"/>
      <w:footerReference w:type="default" r:id="rId8"/>
      <w:type w:val="nextPage"/>
      <w:pgSz w:w="11906" w:h="16838"/>
      <w:pgMar w:left="1134" w:right="850" w:gutter="0" w:header="1146" w:top="1418" w:footer="420" w:bottom="568"/>
      <w:pgNumType w:fmt="decimal"/>
      <w:formProt w:val="false"/>
      <w:textDirection w:val="lrTb"/>
      <w:docGrid w:type="default" w:linePitch="600" w:charSpace="5734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roman"/>
    <w:pitch w:val="variable"/>
  </w:font>
  <w:font w:name="Tahoma">
    <w:charset w:val="00"/>
    <w:family w:val="roman"/>
    <w:pitch w:val="variable"/>
  </w:font>
  <w:font w:name="Basic Sans SemiBold">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hanging="0"/>
      <w:rPr>
        <w:rFonts w:ascii="Arial" w:hAnsi="Arial" w:cs="Arial"/>
      </w:rPr>
    </w:pPr>
    <w:r>
      <w:rPr>
        <w:rFonts w:cs="Arial" w:ascii="Arial" w:hAnsi="Arial"/>
      </w:rPr>
      <w:drawing>
        <wp:anchor behindDoc="1" distT="0" distB="0" distL="0" distR="0" simplePos="0" locked="0" layoutInCell="0" allowOverlap="1" relativeHeight="13">
          <wp:simplePos x="0" y="0"/>
          <wp:positionH relativeFrom="column">
            <wp:posOffset>-6985</wp:posOffset>
          </wp:positionH>
          <wp:positionV relativeFrom="paragraph">
            <wp:posOffset>-2540</wp:posOffset>
          </wp:positionV>
          <wp:extent cx="6306820" cy="601345"/>
          <wp:effectExtent l="0" t="0" r="0" b="0"/>
          <wp:wrapNone/>
          <wp:docPr id="2" name="Imagem 1457267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descr=""/>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pPr>
      <w:pStyle w:val="Normal"/>
      <w:ind w:left="3346" w:hanging="0"/>
      <w:rPr>
        <w:rFonts w:ascii="Arial" w:hAnsi="Arial" w:cs="Arial"/>
        <w:sz w:val="16"/>
      </w:rPr>
    </w:pPr>
    <w:r>
      <w:rPr>
        <w:rFonts w:cs="Arial" w:ascii="Arial" w:hAnsi="Arial"/>
        <w:sz w:val="16"/>
      </w:rPr>
      <w:t xml:space="preserve">Dispensa Eletrônica nº </w:t>
    </w:r>
    <w:r>
      <w:rPr>
        <w:rFonts w:cs="Arial" w:ascii="Arial" w:hAnsi="Arial"/>
        <w:sz w:val="16"/>
      </w:rPr>
      <w:t>43/2024</w:t>
    </w:r>
    <w:r>
      <w:rPr>
        <w:rFonts w:cs="Arial" w:ascii="Arial" w:hAnsi="Arial"/>
        <w:sz w:val="16"/>
      </w:rPr>
      <w:t xml:space="preserve">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12</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12</w:t>
    </w:r>
    <w:r>
      <w:rPr>
        <w:sz w:val="16"/>
        <w:b/>
        <w:rFonts w:cs="Arial" w:ascii="Arial" w:hAnsi="Arial"/>
      </w:rPr>
      <w:fldChar w:fldCharType="end"/>
    </w:r>
  </w:p>
  <w:p>
    <w:pPr>
      <w:pStyle w:val="Normal"/>
      <w:ind w:left="3346" w:hanging="0"/>
      <w:rPr>
        <w:rFonts w:ascii="Arial" w:hAnsi="Arial" w:cs="Arial"/>
        <w:sz w:val="4"/>
        <w:szCs w:val="4"/>
      </w:rPr>
    </w:pPr>
    <w:r>
      <w:rPr>
        <w:rFonts w:cs="Arial" w:ascii="Arial" w:hAnsi="Arial"/>
        <w:sz w:val="4"/>
        <w:szCs w:val="4"/>
      </w:rPr>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pPr>
      <w:pStyle w:val="Normal"/>
      <w:jc w:val="center"/>
      <w:rPr/>
    </w:pPr>
    <w:r>
      <w:rPr/>
    </w:r>
  </w:p>
  <w:p>
    <w:pPr>
      <w:pStyle w:val="Normal"/>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25">
          <wp:simplePos x="0" y="0"/>
          <wp:positionH relativeFrom="column">
            <wp:posOffset>0</wp:posOffset>
          </wp:positionH>
          <wp:positionV relativeFrom="paragraph">
            <wp:posOffset>-534035</wp:posOffset>
          </wp:positionV>
          <wp:extent cx="2041525" cy="568325"/>
          <wp:effectExtent l="0" t="0" r="0" b="0"/>
          <wp:wrapNone/>
          <wp:docPr id="1"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5"/>
    <w:lvlOverride w:ilvl="0">
      <w:startOverride w:val="1"/>
    </w:lvlOverride>
  </w:num>
  <w:num w:numId="21">
    <w:abstractNumId w:val="5"/>
  </w:num>
  <w:num w:numId="22">
    <w:abstractNumId w:val="5"/>
  </w:num>
  <w:num w:numId="23">
    <w:abstractNumId w:val="5"/>
  </w:num>
  <w:num w:numId="24">
    <w:abstractNumId w:val="5"/>
    <w:lvlOverride w:ilvl="0">
      <w:startOverride w:val="1"/>
    </w:lvlOverride>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bering>
</file>

<file path=word/settings.xml><?xml version="1.0" encoding="utf-8"?>
<w:settings xmlns:w="http://schemas.openxmlformats.org/wordprocessingml/2006/main">
  <w:zoom w:percent="100"/>
  <w:displayBackgroundShape/>
  <w:defaultTabStop w:val="709"/>
  <w:autoHyphenation w:val="true"/>
  <w:hyphenationZone w:val="425"/>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Ttulo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val="true"/>
      <w:keepLines/>
      <w:numPr>
        <w:ilvl w:val="4"/>
        <w:numId w:val="1"/>
      </w:numPr>
      <w:jc w:val="center"/>
      <w:outlineLvl w:val="4"/>
    </w:pPr>
    <w:rPr>
      <w:b/>
      <w:sz w:val="28"/>
      <w:lang w:val="x-none"/>
    </w:rPr>
  </w:style>
  <w:style w:type="paragraph" w:styleId="Ttulo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val="true"/>
      <w:numPr>
        <w:ilvl w:val="6"/>
        <w:numId w:val="1"/>
      </w:numPr>
      <w:ind w:left="561" w:hanging="0"/>
      <w:jc w:val="both"/>
      <w:outlineLvl w:val="6"/>
    </w:pPr>
    <w:rPr>
      <w:rFonts w:ascii="Arial" w:hAnsi="Arial" w:cs="Arial"/>
      <w:b/>
      <w:bCs/>
      <w:sz w:val="22"/>
      <w:szCs w:val="22"/>
    </w:rPr>
  </w:style>
  <w:style w:type="paragraph" w:styleId="Ttulo8">
    <w:name w:val="Heading 8"/>
    <w:basedOn w:val="Normal"/>
    <w:next w:val="Normal"/>
    <w:link w:val="Ttulo8Char"/>
    <w:qFormat/>
    <w:pPr>
      <w:keepNext w:val="true"/>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val="true"/>
      <w:numPr>
        <w:ilvl w:val="8"/>
        <w:numId w:val="1"/>
      </w:numPr>
      <w:ind w:left="0"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Linkdainternetvisitado">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LinkdaInternet">
    <w:name w:val="Hyperlink"/>
    <w:basedOn w:val="DefaultParagraphFont"/>
    <w:unhideWhenUsed/>
    <w:rsid w:val="00dc4724"/>
    <w:rPr>
      <w:color w:val="0563C1" w:themeColor="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jc w:val="both"/>
    </w:pPr>
    <w:rPr>
      <w:rFonts w:ascii="Arial" w:hAnsi="Arial" w:cs="Arial"/>
      <w:sz w:val="22"/>
      <w:szCs w:val="22"/>
      <w:lang w:val="x-none"/>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tulododocumento">
    <w:name w:val="Title"/>
    <w:basedOn w:val="Ttulo21"/>
    <w:next w:val="Corpodotexto"/>
    <w:qFormat/>
    <w:pPr/>
    <w:rPr/>
  </w:style>
  <w:style w:type="paragraph" w:styleId="Caption">
    <w:name w:val="caption"/>
    <w:basedOn w:val="Normal"/>
    <w:qFormat/>
    <w:pPr>
      <w:suppressLineNumbers/>
      <w:spacing w:before="120" w:after="120"/>
    </w:pPr>
    <w:rPr>
      <w:rFonts w:cs="Mangal"/>
      <w:i/>
      <w:iCs/>
      <w:sz w:val="24"/>
      <w:szCs w:val="24"/>
    </w:rPr>
  </w:style>
  <w:style w:type="paragraph" w:styleId="Ttulo21" w:customStyle="1">
    <w:name w:val="Título21"/>
    <w:basedOn w:val="Ttulo20"/>
    <w:next w:val="Corpodotexto"/>
    <w:qFormat/>
    <w:pPr/>
    <w:rPr>
      <w:sz w:val="56"/>
      <w:szCs w:val="56"/>
    </w:rPr>
  </w:style>
  <w:style w:type="paragraph" w:styleId="Ttulo20" w:customStyle="1">
    <w:name w:val="Título20"/>
    <w:basedOn w:val="Normal"/>
    <w:next w:val="Subttulo"/>
    <w:qFormat/>
    <w:pPr>
      <w:jc w:val="center"/>
      <w:textAlignment w:val="baseline"/>
    </w:pPr>
    <w:rPr>
      <w:b/>
      <w:bCs/>
      <w:sz w:val="28"/>
      <w:szCs w:val="28"/>
      <w:lang w:val="x-none"/>
    </w:rPr>
  </w:style>
  <w:style w:type="paragraph" w:styleId="Ttulo19" w:customStyle="1">
    <w:name w:val="Título19"/>
    <w:basedOn w:val="Normal"/>
    <w:next w:val="Corpodotexto"/>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Corpodotexto"/>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Corpodotexto"/>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Corpodotexto"/>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Corpodotexto"/>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Corpodotexto"/>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Corpodotexto"/>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Corpodotexto"/>
    <w:qFormat/>
    <w:pPr>
      <w:keepNext w:val="true"/>
      <w:spacing w:before="240" w:after="120"/>
    </w:pPr>
    <w:rPr>
      <w:rFonts w:ascii="Arial" w:hAnsi="Arial" w:eastAsia="Microsoft YaHei" w:cs="Mangal"/>
      <w:sz w:val="28"/>
      <w:szCs w:val="28"/>
    </w:rPr>
  </w:style>
  <w:style w:type="paragraph" w:styleId="Ttulo11" w:customStyle="1">
    <w:name w:val="Título11"/>
    <w:basedOn w:val="Normal"/>
    <w:next w:val="Corpodotexto"/>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Corpodotexto"/>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1" w:customStyle="1">
    <w:name w:val="Título9"/>
    <w:basedOn w:val="Normal"/>
    <w:next w:val="Corpodotexto"/>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1" w:customStyle="1">
    <w:name w:val="Título8"/>
    <w:basedOn w:val="Normal"/>
    <w:next w:val="Corpodotexto"/>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1" w:customStyle="1">
    <w:name w:val="Título7"/>
    <w:basedOn w:val="Normal"/>
    <w:next w:val="Corpodotexto"/>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1" w:customStyle="1">
    <w:name w:val="Título6"/>
    <w:basedOn w:val="Normal"/>
    <w:next w:val="Corpodotexto"/>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1" w:customStyle="1">
    <w:name w:val="Título5"/>
    <w:basedOn w:val="Normal"/>
    <w:next w:val="Corpodotexto"/>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1" w:customStyle="1">
    <w:name w:val="Título4"/>
    <w:basedOn w:val="Normal"/>
    <w:next w:val="Corpodotexto"/>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1" w:customStyle="1">
    <w:name w:val="Título3"/>
    <w:basedOn w:val="Normal"/>
    <w:next w:val="Corpodotexto"/>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
    <w:name w:val="Header"/>
    <w:basedOn w:val="Normal"/>
    <w:pPr>
      <w:tabs>
        <w:tab w:val="clear" w:pos="709"/>
        <w:tab w:val="center" w:pos="4419" w:leader="none"/>
        <w:tab w:val="right" w:pos="8838" w:leader="none"/>
      </w:tabs>
    </w:pPr>
    <w:rPr/>
  </w:style>
  <w:style w:type="paragraph" w:styleId="Rodap">
    <w:name w:val="Footer"/>
    <w:basedOn w:val="Normal"/>
    <w:pPr>
      <w:tabs>
        <w:tab w:val="clear" w:pos="709"/>
        <w:tab w:val="center" w:pos="4419" w:leader="none"/>
        <w:tab w:val="right" w:pos="8838" w:leader="none"/>
      </w:tabs>
    </w:pPr>
    <w:rPr/>
  </w:style>
  <w:style w:type="paragraph" w:styleId="Corpodotextorecuado">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left="993" w:hanging="284"/>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left="284" w:hanging="284"/>
      <w:jc w:val="both"/>
    </w:pPr>
    <w:rPr>
      <w:rFonts w:ascii="Arial" w:hAnsi="Arial" w:cs="Arial"/>
      <w:color w:val="000000"/>
    </w:rPr>
  </w:style>
  <w:style w:type="paragraph" w:styleId="Subttulo">
    <w:name w:val="Subtitle"/>
    <w:basedOn w:val="Normal"/>
    <w:next w:val="Corpodotexto"/>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left="284" w:hanging="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left="993" w:hanging="284"/>
      <w:jc w:val="both"/>
    </w:pPr>
    <w:rPr>
      <w:rFonts w:ascii="Arial" w:hAnsi="Arial" w:cs="Arial"/>
      <w:color w:val="000000"/>
    </w:rPr>
  </w:style>
  <w:style w:type="paragraph" w:styleId="Ttulo110" w:customStyle="1">
    <w:name w:val="Título1"/>
    <w:basedOn w:val="Normal"/>
    <w:next w:val="Corpodotexto"/>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hanging="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left="851" w:hanging="851"/>
      <w:jc w:val="both"/>
    </w:pPr>
    <w:rPr>
      <w:b/>
      <w:bCs/>
      <w:sz w:val="24"/>
      <w:szCs w:val="24"/>
    </w:rPr>
  </w:style>
  <w:style w:type="paragraph" w:styleId="Recuodecorpodetexto23" w:customStyle="1">
    <w:name w:val="Recuo de corpo de texto 23"/>
    <w:basedOn w:val="Normal"/>
    <w:qFormat/>
    <w:pPr>
      <w:spacing w:before="120" w:after="0"/>
      <w:ind w:left="993" w:hanging="284"/>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2" w:customStyle="1">
    <w:name w:val="Título2"/>
    <w:basedOn w:val="Normal"/>
    <w:next w:val="Corpodotexto"/>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Corpodotexto"/>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hanging="0"/>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left="567" w:right="567" w:hanging="0"/>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Ttulo1"/>
    <w:next w:val="Normal"/>
    <w:link w:val="Nivel01Char"/>
    <w:qFormat/>
    <w:rsid w:val="00ed126a"/>
    <w:pPr>
      <w:keepLines/>
      <w:numPr>
        <w:ilvl w:val="0"/>
        <w:numId w:val="6"/>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6"/>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6"/>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left="851" w:hanging="0"/>
    </w:pPr>
    <w:rPr>
      <w:color w:val="auto"/>
    </w:rPr>
  </w:style>
  <w:style w:type="paragraph" w:styleId="Nivel5" w:customStyle="1">
    <w:name w:val="Nivel 5"/>
    <w:basedOn w:val="Nivel4"/>
    <w:qFormat/>
    <w:rsid w:val="00ed126a"/>
    <w:pPr>
      <w:ind w:left="1276" w:hanging="0"/>
    </w:pPr>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bnc.org.br/" TargetMode="External"/><Relationship Id="rId3" Type="http://schemas.openxmlformats.org/officeDocument/2006/relationships/hyperlink" Target="mailto:compradireta@piracicaba.sp.gov.br" TargetMode="External"/><Relationship Id="rId4" Type="http://schemas.openxmlformats.org/officeDocument/2006/relationships/hyperlink" Target="http://www.bnc.org.br/" TargetMode="External"/><Relationship Id="rId5" Type="http://schemas.openxmlformats.org/officeDocument/2006/relationships/hyperlink" Target="http://www.bnc.org.br/" TargetMode="External"/><Relationship Id="rId6" Type="http://schemas.openxmlformats.org/officeDocument/2006/relationships/hyperlink" Target="http://www.bnc.org.br/"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Relationship Id="rId14" Type="http://schemas.openxmlformats.org/officeDocument/2006/relationships/customXml" Target="../customXml/item2.xml"/><Relationship Id="rId15" Type="http://schemas.openxmlformats.org/officeDocument/2006/relationships/customXml" Target="../customXml/item3.xml"/><Relationship Id="rId16"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http://purl.org/dc/elements/1.1/"/>
    <ds:schemaRef ds:uri="http://schemas.microsoft.com/office/2006/metadata/properties"/>
    <ds:schemaRef ds:uri="http://purl.org/dc/terms/"/>
    <ds:schemaRef ds:uri="71763c0a-43a9-4215-9c1e-ac13867d38db"/>
    <ds:schemaRef ds:uri="http://schemas.openxmlformats.org/package/2006/metadata/core-properties"/>
    <ds:schemaRef ds:uri="http://schemas.microsoft.com/office/2006/documentManagement/typ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5854C4F2-045E-4503-9E35-85FF10CEF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574</TotalTime>
  <Application>LibreOffice/7.4.5.1$Windows_X86_64 LibreOffice_project/9c0871452b3918c1019dde9bfac75448afc4b57f</Application>
  <AppVersion>15.0000</AppVersion>
  <Pages>12</Pages>
  <Words>4559</Words>
  <Characters>26575</Characters>
  <CharactersWithSpaces>30970</CharactersWithSpaces>
  <Paragraphs>253</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2023-10-27T14:01:00Z</dcterms:created>
  <dc:creator>Thiago Luiz Araujo Santos</dc:creator>
  <dc:description/>
  <dc:language>pt-BR</dc:language>
  <cp:lastModifiedBy/>
  <cp:lastPrinted>2023-08-30T16:56:00Z</cp:lastPrinted>
  <dcterms:modified xsi:type="dcterms:W3CDTF">2024-02-21T08:36:16Z</dcterms:modified>
  <cp:revision>35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