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false"/>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DISPENSA ELETRÔNICA nº 61/2024</w:t>
      </w:r>
      <w:r>
        <w:rPr>
          <w:b/>
          <w:color w:val="auto"/>
          <w:sz w:val="20"/>
          <w:szCs w:val="20"/>
        </w:rPr>
        <w:t xml:space="preserve"> </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overflowPunct w:val="fals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false"/>
        <w:spacing w:lineRule="auto" w:line="240"/>
        <w:ind w:firstLine="561"/>
        <w:jc w:val="left"/>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tabs>
          <w:tab w:val="clear" w:pos="709"/>
          <w:tab w:val="left" w:pos="284" w:leader="none"/>
        </w:tabs>
        <w:overflowPunct w:val="false"/>
        <w:spacing w:lineRule="auto" w:line="240"/>
        <w:rPr>
          <w:color w:val="auto"/>
          <w:sz w:val="20"/>
          <w:szCs w:val="20"/>
          <w:lang w:val="pt-BR"/>
        </w:rPr>
      </w:pPr>
      <w:r>
        <w:rPr>
          <w:color w:val="auto"/>
          <w:sz w:val="20"/>
          <w:szCs w:val="20"/>
          <w:lang w:val="pt-BR"/>
        </w:rPr>
      </w:r>
    </w:p>
    <w:p>
      <w:pPr>
        <w:pStyle w:val="Corpodotextorecuado"/>
        <w:widowControl w:val="false"/>
        <w:numPr>
          <w:ilvl w:val="0"/>
          <w:numId w:val="4"/>
        </w:numPr>
        <w:tabs>
          <w:tab w:val="clear" w:pos="709"/>
          <w:tab w:val="left" w:pos="284" w:leader="none"/>
        </w:tabs>
        <w:overflowPunct w:val="false"/>
        <w:spacing w:lineRule="auto" w:line="240"/>
        <w:rPr>
          <w:color w:val="auto"/>
          <w:sz w:val="20"/>
          <w:szCs w:val="20"/>
          <w:lang w:val="pt-BR"/>
        </w:rPr>
      </w:pPr>
      <w:r>
        <w:rPr>
          <w:color w:val="auto"/>
          <w:sz w:val="20"/>
          <w:szCs w:val="20"/>
        </w:rPr>
        <w:t>Número do proces</w:t>
      </w:r>
      <w:r>
        <w:rPr>
          <w:color w:val="auto"/>
          <w:sz w:val="20"/>
          <w:szCs w:val="20"/>
          <w:lang w:val="pt-BR"/>
        </w:rPr>
        <w:t>so:</w:t>
      </w:r>
      <w:r>
        <w:rPr>
          <w:b/>
          <w:color w:val="auto"/>
          <w:sz w:val="20"/>
          <w:szCs w:val="20"/>
          <w:lang w:val="pt-BR"/>
        </w:rPr>
        <w:t xml:space="preserve"> 30.282/2024</w:t>
      </w:r>
    </w:p>
    <w:p>
      <w:pPr>
        <w:pStyle w:val="Corpodotextorecuado"/>
        <w:widowControl w:val="false"/>
        <w:numPr>
          <w:ilvl w:val="0"/>
          <w:numId w:val="4"/>
        </w:numPr>
        <w:tabs>
          <w:tab w:val="clear" w:pos="709"/>
          <w:tab w:val="left" w:pos="284" w:leader="none"/>
        </w:tabs>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15/03/2024  – 08:00 h</w:t>
      </w:r>
      <w:r>
        <w:rPr>
          <w:color w:val="auto"/>
          <w:sz w:val="20"/>
          <w:szCs w:val="20"/>
        </w:rPr>
        <w:t xml:space="preserve"> </w:t>
      </w:r>
    </w:p>
    <w:p>
      <w:pPr>
        <w:pStyle w:val="Corpodotextorecuado"/>
        <w:widowControl w:val="false"/>
        <w:numPr>
          <w:ilvl w:val="0"/>
          <w:numId w:val="4"/>
        </w:numPr>
        <w:tabs>
          <w:tab w:val="clear" w:pos="709"/>
          <w:tab w:val="left" w:pos="284" w:leader="none"/>
        </w:tabs>
        <w:rPr>
          <w:color w:val="auto"/>
          <w:sz w:val="20"/>
          <w:szCs w:val="20"/>
        </w:rPr>
      </w:pPr>
      <w:r>
        <w:rPr>
          <w:color w:val="auto"/>
          <w:sz w:val="20"/>
          <w:szCs w:val="20"/>
        </w:rPr>
        <w:t>Data de início de lances: 15/03/2024</w:t>
      </w:r>
      <w:r>
        <w:rPr>
          <w:color w:val="auto"/>
          <w:sz w:val="20"/>
          <w:szCs w:val="20"/>
          <w:lang w:val="pt-BR"/>
        </w:rPr>
        <w:t xml:space="preserve"> – 09:00 h</w:t>
      </w:r>
      <w:r>
        <w:rPr>
          <w:color w:val="auto"/>
          <w:sz w:val="20"/>
          <w:szCs w:val="20"/>
        </w:rPr>
        <w:t xml:space="preserve"> </w:t>
      </w:r>
    </w:p>
    <w:p>
      <w:pPr>
        <w:pStyle w:val="Corpodotextorecuado"/>
        <w:widowControl w:val="false"/>
        <w:numPr>
          <w:ilvl w:val="0"/>
          <w:numId w:val="4"/>
        </w:numPr>
        <w:tabs>
          <w:tab w:val="clear" w:pos="709"/>
          <w:tab w:val="left" w:pos="284" w:leader="none"/>
        </w:tabs>
        <w:rPr>
          <w:color w:val="auto"/>
          <w:sz w:val="20"/>
          <w:szCs w:val="20"/>
        </w:rPr>
      </w:pPr>
      <w:r>
        <w:rPr>
          <w:color w:val="auto"/>
          <w:sz w:val="20"/>
          <w:szCs w:val="20"/>
        </w:rPr>
        <w:t xml:space="preserve">Data de encerramento de lances: </w:t>
      </w:r>
      <w:r>
        <w:rPr>
          <w:color w:val="auto"/>
          <w:sz w:val="20"/>
          <w:szCs w:val="20"/>
          <w:lang w:val="pt-BR"/>
        </w:rPr>
        <w:t>15/03/2024 – 15:00 h</w:t>
      </w:r>
      <w:r>
        <w:rPr>
          <w:color w:val="auto"/>
          <w:sz w:val="20"/>
          <w:szCs w:val="20"/>
        </w:rPr>
        <w:t xml:space="preserve"> </w:t>
      </w:r>
    </w:p>
    <w:p>
      <w:pPr>
        <w:pStyle w:val="Corpodotextorecuado"/>
        <w:widowControl w:val="false"/>
        <w:numPr>
          <w:ilvl w:val="0"/>
          <w:numId w:val="4"/>
        </w:numPr>
        <w:tabs>
          <w:tab w:val="clear" w:pos="709"/>
          <w:tab w:val="left" w:pos="284" w:leader="none"/>
        </w:tabs>
        <w:overflowPunct w:val="false"/>
        <w:spacing w:lineRule="auto" w:line="240"/>
        <w:jc w:val="left"/>
        <w:rPr>
          <w:b/>
          <w:b/>
          <w:bCs/>
          <w:color w:val="auto"/>
          <w:sz w:val="20"/>
          <w:szCs w:val="20"/>
        </w:rPr>
      </w:pPr>
      <w:r>
        <w:rPr>
          <w:color w:val="auto"/>
          <w:sz w:val="20"/>
          <w:szCs w:val="20"/>
        </w:rPr>
        <w:t xml:space="preserve">Endereço eletrônico: </w:t>
      </w:r>
      <w:hyperlink r:id="rId2">
        <w:r>
          <w:rPr>
            <w:rStyle w:val="LinkdaInternet"/>
            <w:sz w:val="20"/>
            <w:szCs w:val="20"/>
          </w:rPr>
          <w:t>www.bnc.org.br</w:t>
        </w:r>
      </w:hyperlink>
      <w:r>
        <w:rPr>
          <w:sz w:val="20"/>
          <w:szCs w:val="20"/>
          <w:lang w:val="pt-BR"/>
        </w:rPr>
        <w:t xml:space="preserve"> </w:t>
      </w:r>
    </w:p>
    <w:p>
      <w:pPr>
        <w:pStyle w:val="Corpodotextorecuado"/>
        <w:widowControl w:val="false"/>
        <w:tabs>
          <w:tab w:val="clear" w:pos="709"/>
          <w:tab w:val="left" w:pos="284" w:leader="none"/>
        </w:tabs>
        <w:overflowPunct w:val="false"/>
        <w:spacing w:lineRule="auto" w:line="240"/>
        <w:jc w:val="left"/>
        <w:rPr>
          <w:b/>
          <w:b/>
          <w:bCs/>
          <w:color w:val="auto"/>
          <w:sz w:val="20"/>
          <w:szCs w:val="20"/>
          <w:highlight w:val="yellow"/>
        </w:rPr>
      </w:pPr>
      <w:r>
        <w:rPr>
          <w:b/>
          <w:bCs/>
          <w:color w:val="auto"/>
          <w:sz w:val="20"/>
          <w:szCs w:val="20"/>
          <w:highlight w:val="yellow"/>
        </w:rPr>
      </w:r>
    </w:p>
    <w:p>
      <w:pPr>
        <w:pStyle w:val="Normal"/>
        <w:shd w:val="clear" w:color="auto" w:fill="DDDDDD"/>
        <w:ind w:firstLine="561"/>
        <w:rPr>
          <w:rFonts w:ascii="Arial" w:hAnsi="Arial" w:cs="Arial"/>
        </w:rPr>
      </w:pPr>
      <w:r>
        <w:rPr>
          <w:rFonts w:cs="Arial" w:ascii="Arial" w:hAnsi="Arial"/>
          <w:b/>
          <w:bCs/>
        </w:rPr>
        <w:t>2. DO OBJETO: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a)</w:t>
      </w:r>
      <w:r>
        <w:rPr>
          <w:rFonts w:cs="Arial" w:ascii="Arial" w:hAnsi="Arial"/>
        </w:rPr>
        <w:t xml:space="preserve"> Objeto:</w:t>
      </w:r>
      <w:r>
        <w:rPr>
          <w:rFonts w:cs="Arial" w:ascii="Arial" w:hAnsi="Arial"/>
          <w:b/>
        </w:rPr>
        <w:t xml:space="preserve"> </w:t>
      </w:r>
      <w:r>
        <w:rPr>
          <w:rFonts w:cs="Arial" w:ascii="Arial" w:hAnsi="Arial"/>
          <w:b w:val="false"/>
          <w:i w:val="false"/>
          <w:caps w:val="false"/>
          <w:smallCaps w:val="false"/>
          <w:spacing w:val="0"/>
        </w:rPr>
        <w:t>Aquisição de 20 sacos de estopa extra branca (com 10Kg cada).</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b)</w:t>
      </w:r>
      <w:r>
        <w:rPr>
          <w:rFonts w:cs="Arial" w:ascii="Arial" w:hAnsi="Arial"/>
        </w:rPr>
        <w:t xml:space="preserve">  Unidade Requisitante: </w:t>
      </w:r>
      <w:r>
        <w:rPr>
          <w:rFonts w:cs="Arial" w:ascii="Arial" w:hAnsi="Arial"/>
          <w:b w:val="false"/>
          <w:i w:val="false"/>
          <w:caps w:val="false"/>
          <w:smallCaps w:val="false"/>
          <w:spacing w:val="0"/>
          <w:sz w:val="20"/>
          <w:szCs w:val="20"/>
        </w:rPr>
        <w:t>Secretaria Municipal de Transportes Internos.</w:t>
      </w:r>
      <w:r>
        <w:rPr>
          <w:rFonts w:cs="Arial" w:ascii="Arial" w:hAnsi="Arial"/>
          <w:sz w:val="20"/>
          <w:szCs w:val="20"/>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 xml:space="preserve">c) </w:t>
      </w:r>
      <w:r>
        <w:rPr>
          <w:rFonts w:cs="Arial" w:ascii="Arial" w:hAnsi="Arial"/>
        </w:rPr>
        <w:t xml:space="preserve"> Fonte de recursos: </w:t>
      </w:r>
      <w:r>
        <w:rPr>
          <w:rFonts w:cs="Arial" w:ascii="Arial" w:hAnsi="Arial"/>
          <w:b w:val="false"/>
          <w:i w:val="false"/>
          <w:caps w:val="false"/>
          <w:smallCaps w:val="false"/>
          <w:spacing w:val="0"/>
          <w:sz w:val="20"/>
          <w:szCs w:val="20"/>
        </w:rPr>
        <w:t>150100 – 152075 – 3.3390.30.22 - 0101011000 (tesouro).</w:t>
      </w:r>
      <w:r>
        <w:rPr>
          <w:rFonts w:cs="Arial" w:ascii="Arial" w:hAnsi="Arial"/>
          <w:sz w:val="20"/>
          <w:szCs w:val="20"/>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 xml:space="preserve">d) </w:t>
      </w:r>
      <w:r>
        <w:rPr>
          <w:rFonts w:cs="Arial" w:ascii="Arial" w:hAnsi="Arial"/>
        </w:rPr>
        <w:t xml:space="preserve"> Valor estimado da contratação:</w:t>
      </w:r>
      <w:r>
        <w:rPr>
          <w:rFonts w:cs="Arial" w:ascii="Arial" w:hAnsi="Arial"/>
          <w:b/>
          <w:bCs/>
        </w:rPr>
        <w:t xml:space="preserve"> </w:t>
      </w:r>
      <w:r>
        <w:rPr>
          <w:rFonts w:cs="Arial" w:ascii="Arial" w:hAnsi="Arial"/>
          <w:b/>
          <w:bCs/>
          <w:i w:val="false"/>
          <w:caps w:val="false"/>
          <w:smallCaps w:val="false"/>
          <w:spacing w:val="0"/>
        </w:rPr>
        <w:t>R$ 3.620,00 (Três mil, seiscentos e vinte reais).</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e)</w:t>
      </w:r>
      <w:r>
        <w:rPr>
          <w:rFonts w:cs="Arial" w:ascii="Arial" w:hAnsi="Arial"/>
        </w:rPr>
        <w:t xml:space="preserve">  Prazo de contratação: Até a entrega definitiva do objeto.</w:t>
      </w:r>
    </w:p>
    <w:p>
      <w:pPr>
        <w:pStyle w:val="Normal"/>
        <w:tabs>
          <w:tab w:val="clear" w:pos="709"/>
          <w:tab w:val="left" w:pos="284" w:leader="none"/>
        </w:tabs>
        <w:jc w:val="both"/>
        <w:rPr>
          <w:rFonts w:ascii="Arial" w:hAnsi="Arial" w:cs="Arial"/>
          <w:highlight w:val="yellow"/>
        </w:rPr>
      </w:pPr>
      <w:r>
        <w:rPr>
          <w:rFonts w:cs="Arial" w:ascii="Arial" w:hAnsi="Arial"/>
          <w:b/>
        </w:rPr>
        <w:t xml:space="preserve">f) </w:t>
      </w:r>
      <w:r>
        <w:rPr>
          <w:rFonts w:cs="Arial" w:ascii="Arial" w:hAnsi="Arial"/>
        </w:rPr>
        <w:t>Amparo Legal: Art. 75, Inciso II (será aplicado o benefício da LC 123/06, conforme item 2.3.1 do Regulamento Geral).</w:t>
      </w:r>
    </w:p>
    <w:p>
      <w:pPr>
        <w:pStyle w:val="Normal"/>
        <w:tabs>
          <w:tab w:val="clear" w:pos="709"/>
          <w:tab w:val="left" w:pos="284" w:leader="none"/>
        </w:tabs>
        <w:ind w:left="561" w:hanging="0"/>
        <w:jc w:val="both"/>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rPr>
      </w:pPr>
      <w:r>
        <w:rPr>
          <w:rFonts w:cs="Arial" w:ascii="Arial" w:hAnsi="Arial"/>
          <w:b/>
          <w:bCs/>
        </w:rPr>
        <w:t>3. DA PROPOSTA:</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26"/>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7"/>
        </w:numPr>
        <w:tabs>
          <w:tab w:val="clear" w:pos="709"/>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Municipal Nº 17.640/18.</w:t>
      </w:r>
    </w:p>
    <w:p>
      <w:pPr>
        <w:pStyle w:val="Normal"/>
        <w:tabs>
          <w:tab w:val="clear" w:pos="709"/>
          <w:tab w:val="left" w:pos="284" w:leader="none"/>
        </w:tabs>
        <w:jc w:val="both"/>
        <w:rPr>
          <w:rFonts w:ascii="Arial" w:hAnsi="Arial" w:cs="Arial"/>
        </w:rPr>
      </w:pPr>
      <w:r>
        <w:rPr>
          <w:rFonts w:cs="Arial" w:ascii="Arial" w:hAnsi="Arial"/>
          <w:b/>
        </w:rPr>
        <w:t>b.1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tabs>
          <w:tab w:val="clear" w:pos="709"/>
          <w:tab w:val="left" w:pos="284" w:leader="none"/>
        </w:tabs>
        <w:jc w:val="both"/>
        <w:rPr>
          <w:rFonts w:ascii="Arial" w:hAnsi="Arial" w:cs="Arial"/>
          <w:b/>
          <w:b/>
          <w:u w:val="single"/>
        </w:rPr>
      </w:pPr>
      <w:r>
        <w:rPr>
          <w:rFonts w:cs="Arial" w:ascii="Arial" w:hAnsi="Arial"/>
        </w:rPr>
        <w:t>O envio da Nota Fiscal Eletrônica deverá ser feito no e-mail: notafiscal@piracicaba.sp.gov.br</w:t>
      </w:r>
    </w:p>
    <w:p>
      <w:pPr>
        <w:pStyle w:val="Normal"/>
        <w:numPr>
          <w:ilvl w:val="0"/>
          <w:numId w:val="28"/>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w:t>
      </w:r>
    </w:p>
    <w:p>
      <w:pPr>
        <w:pStyle w:val="Normal"/>
        <w:numPr>
          <w:ilvl w:val="0"/>
          <w:numId w:val="29"/>
        </w:numPr>
        <w:tabs>
          <w:tab w:val="clear" w:pos="709"/>
          <w:tab w:val="left" w:pos="284" w:leader="none"/>
        </w:tabs>
        <w:jc w:val="both"/>
        <w:rPr>
          <w:rFonts w:ascii="Arial" w:hAnsi="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rPr>
            </w:pPr>
            <w:r>
              <w:rPr>
                <w:rFonts w:cs="Arial" w:ascii="Arial" w:hAnsi="Arial"/>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20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b w:val="false"/>
                <w:i w:val="false"/>
                <w:caps w:val="false"/>
                <w:smallCaps w:val="false"/>
                <w:spacing w:val="0"/>
              </w:rPr>
              <w:t>SACO DE 10 KG DE ESTOPA EXTRA BRANCA</w:t>
            </w:r>
          </w:p>
        </w:tc>
      </w:tr>
    </w:tbl>
    <w:p>
      <w:pPr>
        <w:pStyle w:val="Normal"/>
        <w:tabs>
          <w:tab w:val="clear" w:pos="709"/>
          <w:tab w:val="left" w:pos="284" w:leader="none"/>
        </w:tabs>
        <w:jc w:val="both"/>
        <w:rPr>
          <w:rFonts w:ascii="Arial" w:hAnsi="Arial" w:eastAsia="Arial" w:cs="Arial"/>
        </w:rPr>
      </w:pPr>
      <w:r>
        <w:rPr/>
      </w:r>
    </w:p>
    <w:p>
      <w:pPr>
        <w:pStyle w:val="Normal"/>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3450" w:leader="none"/>
        </w:tabs>
        <w:ind w:firstLine="561"/>
        <w:jc w:val="both"/>
        <w:rPr>
          <w:rFonts w:ascii="Arial" w:hAnsi="Arial" w:cs="Arial"/>
          <w:b/>
          <w:b/>
          <w:bCs/>
        </w:rPr>
      </w:pPr>
      <w:r>
        <w:rPr>
          <w:rFonts w:cs="Arial" w:ascii="Arial" w:hAnsi="Arial"/>
          <w:b/>
          <w:bCs/>
        </w:rPr>
        <w:t>4. DOS REQUISITOS: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b/>
          <w:b/>
          <w:bCs/>
          <w:highlight w:val="yellow"/>
        </w:rPr>
      </w:pPr>
      <w:r>
        <w:rPr>
          <w:rFonts w:cs="Arial" w:ascii="Arial" w:hAnsi="Arial"/>
          <w:b/>
          <w:bCs/>
        </w:rPr>
        <w:t>a) EMBALAGENS:</w:t>
      </w:r>
      <w:r>
        <w:rPr>
          <w:rFonts w:cs="Arial" w:ascii="Arial" w:hAnsi="Arial"/>
        </w:rPr>
        <w:t xml:space="preserve"> Os produtos deverão ser acondicionados de acordo com a praxe do fabricante, garantindo sua integridade durante o transporte, armazenamento e uso, rotulados conforme a legislação em vigor.</w:t>
      </w:r>
    </w:p>
    <w:p>
      <w:pPr>
        <w:pStyle w:val="Normal"/>
        <w:numPr>
          <w:ilvl w:val="0"/>
          <w:numId w:val="0"/>
        </w:numPr>
        <w:tabs>
          <w:tab w:val="clear" w:pos="709"/>
          <w:tab w:val="left" w:pos="284" w:leader="none"/>
        </w:tabs>
        <w:ind w:left="0" w:right="-1" w:hanging="0"/>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5. DA ENTREGA:</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numPr>
          <w:ilvl w:val="0"/>
          <w:numId w:val="30"/>
        </w:numPr>
        <w:tabs>
          <w:tab w:val="clear" w:pos="709"/>
          <w:tab w:val="left" w:pos="284" w:leader="none"/>
        </w:tabs>
        <w:jc w:val="both"/>
        <w:rPr>
          <w:rFonts w:ascii="Arial" w:hAnsi="Arial" w:cs="Arial"/>
          <w:lang w:eastAsia="pt-BR"/>
        </w:rPr>
      </w:pPr>
      <w:r>
        <w:rPr>
          <w:rFonts w:cs="Arial" w:ascii="Arial" w:hAnsi="Arial"/>
          <w:lang w:eastAsia="pt-BR"/>
        </w:rPr>
        <w:t>Prazo de entrega: até o máximo de 07 (sete) dias, a contar da Ordem de Fornecimento, emitida pela Unidade Requisitante.</w:t>
      </w:r>
    </w:p>
    <w:p>
      <w:pPr>
        <w:pStyle w:val="Normal"/>
        <w:numPr>
          <w:ilvl w:val="0"/>
          <w:numId w:val="31"/>
        </w:numPr>
        <w:tabs>
          <w:tab w:val="clear" w:pos="709"/>
          <w:tab w:val="left" w:pos="284" w:leader="none"/>
        </w:tabs>
        <w:jc w:val="both"/>
        <w:rPr>
          <w:rFonts w:ascii="Arial" w:hAnsi="Arial" w:cs="Arial"/>
        </w:rPr>
      </w:pPr>
      <w:r>
        <w:rPr>
          <w:rFonts w:cs="Arial" w:ascii="Arial" w:hAnsi="Arial"/>
          <w:lang w:eastAsia="pt-BR"/>
        </w:rPr>
        <w:t xml:space="preserve">Local de entrega: </w:t>
      </w:r>
      <w:r>
        <w:rPr>
          <w:rFonts w:cs="Arial" w:ascii="Arial" w:hAnsi="Arial"/>
          <w:b w:val="false"/>
          <w:i w:val="false"/>
          <w:caps w:val="false"/>
          <w:smallCaps w:val="false"/>
          <w:spacing w:val="0"/>
          <w:sz w:val="20"/>
          <w:szCs w:val="20"/>
          <w:lang w:eastAsia="pt-BR"/>
        </w:rPr>
        <w:t>Secretaria Municipal de Transportes Internos. Setor Almoxarifado.</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sz w:val="20"/>
          <w:szCs w:val="20"/>
          <w:lang w:eastAsia="pt-BR"/>
        </w:rPr>
        <w:t xml:space="preserve">     </w:t>
      </w:r>
      <w:r>
        <w:rPr>
          <w:rFonts w:cs="Arial" w:ascii="Arial" w:hAnsi="Arial"/>
          <w:b w:val="false"/>
          <w:i w:val="false"/>
          <w:caps w:val="false"/>
          <w:smallCaps w:val="false"/>
          <w:spacing w:val="0"/>
          <w:sz w:val="20"/>
          <w:szCs w:val="20"/>
          <w:lang w:eastAsia="pt-BR"/>
        </w:rPr>
        <w:t>Av. Dr. Paulo de Moraes nº 2021 Bairro Paulista CEP: 13400-890</w:t>
      </w:r>
      <w:r>
        <w:rPr>
          <w:rFonts w:cs="Arial" w:ascii="Arial" w:hAnsi="Arial"/>
          <w:sz w:val="20"/>
          <w:szCs w:val="20"/>
          <w:lang w:eastAsia="pt-BR"/>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sz w:val="20"/>
          <w:szCs w:val="20"/>
          <w:lang w:eastAsia="pt-BR"/>
        </w:rPr>
        <w:t xml:space="preserve">     </w:t>
      </w:r>
      <w:r>
        <w:rPr>
          <w:rFonts w:cs="Arial" w:ascii="Arial" w:hAnsi="Arial"/>
          <w:b w:val="false"/>
          <w:i w:val="false"/>
          <w:caps w:val="false"/>
          <w:smallCaps w:val="false"/>
          <w:spacing w:val="0"/>
          <w:sz w:val="20"/>
          <w:szCs w:val="20"/>
          <w:lang w:eastAsia="pt-BR"/>
        </w:rPr>
        <w:t>Horário de entrega: das 07:00 às 11:00 horas e das 13:00 às 16 horas, de segunda a sexta-feira.</w:t>
      </w:r>
      <w:r>
        <w:rPr>
          <w:rFonts w:cs="Arial" w:ascii="Arial" w:hAnsi="Arial"/>
          <w:sz w:val="20"/>
          <w:szCs w:val="20"/>
          <w:lang w:eastAsia="pt-BR"/>
        </w:rPr>
        <w:t xml:space="preserve"> </w:t>
      </w:r>
    </w:p>
    <w:p>
      <w:pPr>
        <w:pStyle w:val="Normal"/>
        <w:numPr>
          <w:ilvl w:val="0"/>
          <w:numId w:val="32"/>
        </w:numPr>
        <w:tabs>
          <w:tab w:val="clear" w:pos="709"/>
          <w:tab w:val="left" w:pos="284" w:leader="none"/>
        </w:tabs>
        <w:jc w:val="both"/>
        <w:rPr>
          <w:rFonts w:ascii="Arial" w:hAnsi="Arial" w:cs="Arial"/>
        </w:rPr>
      </w:pPr>
      <w:r>
        <w:rPr>
          <w:rFonts w:cs="Arial" w:ascii="Arial" w:hAnsi="Arial"/>
          <w:b w:val="false"/>
          <w:i w:val="false"/>
          <w:caps w:val="false"/>
          <w:smallCaps w:val="false"/>
          <w:spacing w:val="0"/>
        </w:rPr>
        <w:t>A Contratada será responsável pelo transporte e descarregamento do produto, devendo entregá-los em perfeitas condições de uso.</w:t>
      </w:r>
      <w:r>
        <w:rPr>
          <w:rFonts w:cs="Arial" w:ascii="Arial" w:hAnsi="Arial"/>
        </w:rPr>
        <w:t xml:space="preserve"> </w:t>
      </w:r>
    </w:p>
    <w:p>
      <w:pPr>
        <w:pStyle w:val="Normal"/>
        <w:numPr>
          <w:ilvl w:val="0"/>
          <w:numId w:val="33"/>
        </w:numPr>
        <w:tabs>
          <w:tab w:val="clear" w:pos="709"/>
          <w:tab w:val="left" w:pos="284" w:leader="none"/>
        </w:tabs>
        <w:jc w:val="both"/>
        <w:rPr>
          <w:rFonts w:ascii="Arial" w:hAnsi="Arial" w:cs="Arial"/>
        </w:rPr>
      </w:pPr>
      <w:r>
        <w:rPr>
          <w:rFonts w:cs="Arial" w:ascii="Arial" w:hAnsi="Arial"/>
          <w:b w:val="false"/>
          <w:i w:val="false"/>
          <w:caps w:val="false"/>
          <w:smallCaps w:val="false"/>
          <w:spacing w:val="0"/>
        </w:rPr>
        <w:t>Se for constatada qualquer alteração na qualidade dos produtos, a contratada se compromete a trocá-los sem ônus para a contratante, no prazo máximo de 10 (dez) dias corridos a contar da notificação.</w:t>
      </w:r>
      <w:r>
        <w:rPr>
          <w:rFonts w:cs="Arial" w:ascii="Arial" w:hAnsi="Arial"/>
        </w:rPr>
        <w:t xml:space="preserve"> </w:t>
      </w:r>
    </w:p>
    <w:p>
      <w:pPr>
        <w:pStyle w:val="Normal"/>
        <w:jc w:val="both"/>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rPr>
      </w:pPr>
      <w:r>
        <w:rPr>
          <w:rFonts w:cs="Arial" w:ascii="Arial" w:hAnsi="Arial"/>
          <w:b/>
          <w:bCs/>
        </w:rPr>
        <w:t>6. DO FORNECIMENTO DE INFORMAÇÕES: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34"/>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serão fornecidos pela Divisão de Compras, sito à Rua Antônio Corrêa Barbosa nº 2233, 7º andar, nesta cidade ou pelo telefone (19) 3403-1020 ou pelo e-mail </w:t>
      </w:r>
      <w:hyperlink r:id="rId3">
        <w:r>
          <w:rPr>
            <w:rStyle w:val="Hyperlink1"/>
            <w:rFonts w:cs="Arial" w:ascii="Arial" w:hAnsi="Arial"/>
            <w:color w:val="auto"/>
          </w:rPr>
          <w:t>compradireta@piracicaba.sp.gov.br</w:t>
        </w:r>
      </w:hyperlink>
      <w:r>
        <w:rPr>
          <w:rFonts w:cs="Arial" w:ascii="Arial" w:hAnsi="Arial"/>
        </w:rPr>
        <w:t xml:space="preserve">. </w:t>
      </w:r>
    </w:p>
    <w:p>
      <w:pPr>
        <w:pStyle w:val="Normal"/>
        <w:numPr>
          <w:ilvl w:val="0"/>
          <w:numId w:val="35"/>
        </w:numPr>
        <w:tabs>
          <w:tab w:val="clear" w:pos="709"/>
          <w:tab w:val="left" w:pos="284" w:leader="none"/>
        </w:tabs>
        <w:jc w:val="both"/>
        <w:rPr>
          <w:rFonts w:ascii="Arial" w:hAnsi="Arial" w:cs="Arial"/>
        </w:rPr>
      </w:pPr>
      <w:r>
        <w:rPr>
          <w:rFonts w:eastAsia="Arial" w:cs="Arial" w:ascii="Arial" w:hAnsi="Arial"/>
        </w:rPr>
        <w:t xml:space="preserve">As </w:t>
      </w:r>
      <w:r>
        <w:rPr>
          <w:rFonts w:eastAsia="Arial" w:cs="Arial" w:ascii="Arial" w:hAnsi="Arial"/>
          <w:b/>
        </w:rPr>
        <w:t>dúvidas técnicas</w:t>
      </w:r>
      <w:r>
        <w:rPr>
          <w:rFonts w:eastAsia="Arial" w:cs="Arial" w:ascii="Arial" w:hAnsi="Arial"/>
        </w:rPr>
        <w:t xml:space="preserve"> poderão ser esclarecidas com: </w:t>
      </w:r>
      <w:r>
        <w:rPr>
          <w:rFonts w:eastAsia="Arial" w:cs="Arial" w:ascii="Arial" w:hAnsi="Arial"/>
          <w:b w:val="false"/>
          <w:i w:val="false"/>
          <w:caps w:val="false"/>
          <w:smallCaps w:val="false"/>
          <w:spacing w:val="0"/>
        </w:rPr>
        <w:t>Secretaria Municipal de Transportes Internos, com o (a) Sr.(a) Ivan José Zotelli (19) 3417-3800 e e-mail ivanzotelli@gmail.com</w:t>
      </w:r>
    </w:p>
    <w:p>
      <w:pPr>
        <w:pStyle w:val="Normal"/>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7. EXIGÊNCIA PARA HABILITAÇÃO:</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de 06 horas: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a) HABILITAÇÃO JURÍDICA</w:t>
      </w:r>
    </w:p>
    <w:p>
      <w:pPr>
        <w:pStyle w:val="Normal"/>
        <w:jc w:val="both"/>
        <w:rPr>
          <w:rFonts w:ascii="Arial" w:hAnsi="Arial" w:cs="Arial"/>
        </w:rPr>
      </w:pPr>
      <w:r>
        <w:rPr>
          <w:rFonts w:cs="Arial" w:ascii="Arial" w:hAnsi="Arial"/>
          <w:b/>
          <w:bCs/>
        </w:rPr>
        <w:t xml:space="preserve">1. </w:t>
      </w:r>
      <w:r>
        <w:rPr>
          <w:rFonts w:cs="Arial" w:ascii="Arial" w:hAnsi="Arial"/>
        </w:rPr>
        <w:t xml:space="preserve">Registro Comercial, no caso de empresa individual; </w:t>
      </w:r>
      <w:r>
        <w:rPr>
          <w:rFonts w:cs="Arial" w:ascii="Arial" w:hAnsi="Arial"/>
          <w:b/>
        </w:rPr>
        <w:t>ou</w:t>
      </w:r>
      <w:r>
        <w:rPr>
          <w:rFonts w:cs="Arial" w:ascii="Arial" w:hAnsi="Arial"/>
        </w:rPr>
        <w:t xml:space="preserve"> Ato constitutivo (Estatuto ou Contrato Social em vigor), devidamente registrado no Órgão competente, acompanhado de documento comprobatório da eleição dos atuais administradores; </w:t>
      </w:r>
      <w:r>
        <w:rPr>
          <w:rFonts w:cs="Arial" w:ascii="Arial" w:hAnsi="Arial"/>
          <w:b/>
        </w:rPr>
        <w:t>ou</w:t>
      </w:r>
      <w:r>
        <w:rPr>
          <w:rFonts w:cs="Arial" w:ascii="Arial" w:hAnsi="Arial"/>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b) REGULARIDADE FISCAL E TRABALHISTA</w:t>
      </w:r>
    </w:p>
    <w:p>
      <w:pPr>
        <w:pStyle w:val="Normal"/>
        <w:tabs>
          <w:tab w:val="clear" w:pos="709"/>
          <w:tab w:val="left" w:pos="284" w:leader="none"/>
        </w:tabs>
        <w:jc w:val="both"/>
        <w:rPr>
          <w:rFonts w:ascii="Arial" w:hAnsi="Arial" w:cs="Arial"/>
        </w:rPr>
      </w:pPr>
      <w:r>
        <w:rPr>
          <w:rFonts w:cs="Arial" w:ascii="Arial" w:hAnsi="Arial"/>
          <w:b/>
          <w:bCs/>
        </w:rPr>
        <w:t xml:space="preserve">1.  </w:t>
      </w:r>
      <w:r>
        <w:rPr>
          <w:rFonts w:cs="Arial" w:ascii="Arial" w:hAnsi="Arial"/>
        </w:rPr>
        <w:t>Inscrição no Cadastro Nacional de Pessoa Jurídica (CNPJ), do Ministério da Fazenda.</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2.</w:t>
      </w:r>
      <w:r>
        <w:rPr>
          <w:rFonts w:cs="Arial" w:ascii="Arial" w:hAnsi="Arial"/>
        </w:rPr>
        <w:t xml:space="preserve"> Certidão Conjunta Negativa de Débitos ou Positiva com Efeito de Negativa, relativa a Tributos Federais (inclusive as contribuições sociais) e à Dívida Ativa da União.</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 xml:space="preserve">3. </w:t>
      </w:r>
      <w:r>
        <w:rPr>
          <w:rFonts w:cs="Arial" w:ascii="Arial" w:hAnsi="Arial"/>
        </w:rPr>
        <w:t>Certidão negativa de Débitos ou Positiva com Efeito de Negativa de Tributos Estaduais relativos ao ICMS;</w:t>
      </w:r>
    </w:p>
    <w:p>
      <w:pPr>
        <w:pStyle w:val="Normal"/>
        <w:numPr>
          <w:ilvl w:val="0"/>
          <w:numId w:val="0"/>
        </w:numPr>
        <w:tabs>
          <w:tab w:val="clear" w:pos="709"/>
          <w:tab w:val="left" w:pos="284" w:leader="none"/>
          <w:tab w:val="left" w:pos="426" w:leader="none"/>
        </w:tabs>
        <w:ind w:left="284" w:hanging="0"/>
        <w:jc w:val="both"/>
        <w:rPr>
          <w:rFonts w:ascii="Arial" w:hAnsi="Arial" w:cs="Arial"/>
        </w:rPr>
      </w:pPr>
      <w:r>
        <w:rPr>
          <w:rFonts w:cs="Arial" w:ascii="Arial" w:hAnsi="Arial"/>
          <w:b/>
          <w:bCs/>
        </w:rPr>
        <w:t>3.1.</w:t>
      </w:r>
      <w:r>
        <w:rPr>
          <w:rFonts w:cs="Arial" w:ascii="Arial" w:hAnsi="Arial"/>
        </w:rPr>
        <w:t xml:space="preserve"> Será exigida comprovação somente sobre débitos inscritos em dívida ativa.</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4.</w:t>
      </w:r>
      <w:r>
        <w:rPr>
          <w:rFonts w:cs="Arial" w:ascii="Arial" w:hAnsi="Arial"/>
        </w:rPr>
        <w:t xml:space="preserve"> Certidão de regularidade de débito para com o Fundo de Garantia por Tempo de Serviço (FGTS).</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bCs/>
        </w:rPr>
        <w:t>5.</w:t>
      </w:r>
      <w:r>
        <w:rPr>
          <w:rFonts w:cs="Arial" w:ascii="Arial" w:hAnsi="Arial"/>
        </w:rPr>
        <w:t xml:space="preserve"> 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tabs>
          <w:tab w:val="clear" w:pos="709"/>
          <w:tab w:val="left" w:pos="284" w:leader="none"/>
        </w:tabs>
        <w:jc w:val="both"/>
        <w:rPr>
          <w:rFonts w:ascii="Arial" w:hAnsi="Arial" w:cs="Arial"/>
        </w:rPr>
      </w:pPr>
      <w:r>
        <w:rPr>
          <w:rFonts w:cs="Arial" w:ascii="Arial" w:hAnsi="Arial"/>
          <w:b/>
          <w:bCs/>
        </w:rPr>
        <w:t>c) QUALIFICAÇÃO ECONÔMICO-FINANCEIRA</w:t>
      </w:r>
    </w:p>
    <w:p>
      <w:pPr>
        <w:pStyle w:val="ListParagraph"/>
        <w:numPr>
          <w:ilvl w:val="1"/>
          <w:numId w:val="36"/>
        </w:numPr>
        <w:tabs>
          <w:tab w:val="clear" w:pos="709"/>
          <w:tab w:val="left" w:pos="284" w:leader="none"/>
        </w:tabs>
        <w:jc w:val="both"/>
        <w:rPr>
          <w:rFonts w:ascii="Arial" w:hAnsi="Arial" w:cs="Arial"/>
          <w:sz w:val="20"/>
          <w:szCs w:val="20"/>
        </w:rPr>
      </w:pPr>
      <w:r>
        <w:rPr>
          <w:rFonts w:cs="Arial" w:ascii="Arial" w:hAnsi="Arial"/>
          <w:sz w:val="20"/>
          <w:szCs w:val="20"/>
        </w:rPr>
        <w:t xml:space="preserve">Certidão negativa de </w:t>
      </w:r>
      <w:r>
        <w:rPr>
          <w:rFonts w:cs="Arial" w:ascii="Arial" w:hAnsi="Arial"/>
          <w:b/>
          <w:sz w:val="20"/>
          <w:szCs w:val="20"/>
        </w:rPr>
        <w:t>falência e concordata, recuperação judicial ou extrajudicial</w:t>
      </w:r>
      <w:r>
        <w:rPr>
          <w:rFonts w:cs="Arial" w:ascii="Arial" w:hAnsi="Arial"/>
          <w:sz w:val="20"/>
          <w:szCs w:val="20"/>
        </w:rPr>
        <w:t xml:space="preserve"> expedida pelo distribuidor da sede da pessoa jurídica, com data não superior a 180 (cento e oitenta) dias, da data limite para o recebimento das propostas da presente licitação.</w:t>
      </w:r>
    </w:p>
    <w:p>
      <w:pPr>
        <w:pStyle w:val="Normal"/>
        <w:numPr>
          <w:ilvl w:val="2"/>
          <w:numId w:val="37"/>
        </w:numPr>
        <w:tabs>
          <w:tab w:val="clear" w:pos="709"/>
          <w:tab w:val="left" w:pos="0" w:leader="none"/>
          <w:tab w:val="left" w:pos="284" w:leader="none"/>
        </w:tabs>
        <w:ind w:left="284" w:hanging="284"/>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tabs>
          <w:tab w:val="clear" w:pos="709"/>
          <w:tab w:val="left" w:pos="284" w:leader="none"/>
          <w:tab w:val="left" w:pos="426" w:leader="none"/>
        </w:tabs>
        <w:jc w:val="both"/>
        <w:rPr>
          <w:rFonts w:ascii="Arial" w:hAnsi="Arial" w:cs="Arial"/>
        </w:rPr>
      </w:pPr>
      <w:r>
        <w:rPr>
          <w:rFonts w:cs="Arial" w:ascii="Arial" w:hAnsi="Arial"/>
          <w:b/>
          <w:bCs/>
        </w:rPr>
        <w:t>d) DOCUMENTAÇÃO COMPLEMENTAR</w:t>
      </w:r>
    </w:p>
    <w:p>
      <w:pPr>
        <w:pStyle w:val="Normal"/>
        <w:tabs>
          <w:tab w:val="clear" w:pos="709"/>
          <w:tab w:val="left" w:pos="284" w:leader="none"/>
          <w:tab w:val="left" w:pos="426" w:leader="none"/>
        </w:tabs>
        <w:jc w:val="both"/>
        <w:rPr>
          <w:rFonts w:ascii="Arial" w:hAnsi="Arial" w:cs="Arial"/>
        </w:rPr>
      </w:pPr>
      <w:r>
        <w:rPr>
          <w:rFonts w:cs="Arial" w:ascii="Arial" w:hAnsi="Arial"/>
          <w:b/>
          <w:bCs/>
        </w:rPr>
        <w:t xml:space="preserve">1. </w:t>
      </w:r>
      <w:r>
        <w:rPr>
          <w:rFonts w:cs="Arial" w:ascii="Arial" w:hAnsi="Arial"/>
        </w:rPr>
        <w:t xml:space="preserve">Declarações gerais, conforme modelo do </w:t>
      </w:r>
      <w:r>
        <w:rPr>
          <w:rFonts w:cs="Arial" w:ascii="Arial" w:hAnsi="Arial"/>
          <w:b/>
        </w:rPr>
        <w:t xml:space="preserve">Anexo I </w:t>
      </w:r>
      <w:r>
        <w:rPr>
          <w:rFonts w:cs="Arial" w:ascii="Arial" w:hAnsi="Arial"/>
        </w:rPr>
        <w:t>do Regulamento Geral deste Edital.</w:t>
      </w:r>
    </w:p>
    <w:p>
      <w:pPr>
        <w:pStyle w:val="Normal"/>
        <w:numPr>
          <w:ilvl w:val="1"/>
          <w:numId w:val="38"/>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Pr>
          <w:rFonts w:cs="Arial" w:ascii="Arial" w:hAnsi="Arial"/>
          <w:b/>
        </w:rPr>
        <w:t>Anexo II</w:t>
      </w:r>
      <w:r>
        <w:rPr>
          <w:rFonts w:cs="Arial" w:ascii="Arial" w:hAnsi="Arial"/>
        </w:rPr>
        <w:t xml:space="preserve"> do Regulamento Geral deste Edital.</w:t>
      </w:r>
    </w:p>
    <w:p>
      <w:pPr>
        <w:pStyle w:val="Normal"/>
        <w:numPr>
          <w:ilvl w:val="1"/>
          <w:numId w:val="39"/>
        </w:numPr>
        <w:tabs>
          <w:tab w:val="clear" w:pos="709"/>
          <w:tab w:val="left" w:pos="284" w:leader="none"/>
          <w:tab w:val="left" w:pos="426" w:leader="none"/>
        </w:tabs>
        <w:jc w:val="both"/>
        <w:rPr>
          <w:rFonts w:ascii="Arial" w:hAnsi="Arial" w:cs="Arial"/>
        </w:rPr>
      </w:pPr>
      <w:r>
        <w:rPr>
          <w:rFonts w:cs="Arial" w:ascii="Arial" w:hAnsi="Arial"/>
        </w:rPr>
        <w:t>Para efeito de concessão de tratamento favorecido previsto na Lei Complementar nº 123/2006, alterada pela Lei Complementar nº 147/2014 e Decreto Municipal nº 12.437/2007:</w:t>
      </w:r>
    </w:p>
    <w:p>
      <w:pPr>
        <w:pStyle w:val="Normal"/>
        <w:numPr>
          <w:ilvl w:val="2"/>
          <w:numId w:val="40"/>
        </w:numPr>
        <w:tabs>
          <w:tab w:val="clear" w:pos="709"/>
          <w:tab w:val="left" w:pos="284" w:leader="none"/>
          <w:tab w:val="left" w:pos="426" w:leader="none"/>
        </w:tabs>
        <w:ind w:left="284" w:hanging="0"/>
        <w:jc w:val="both"/>
        <w:rPr>
          <w:rFonts w:ascii="Arial" w:hAnsi="Arial" w:cs="Arial"/>
        </w:rPr>
      </w:pPr>
      <w:r>
        <w:rPr>
          <w:rFonts w:cs="Arial" w:ascii="Arial" w:hAnsi="Arial"/>
        </w:rPr>
        <w:t xml:space="preserve">Declaração de enquadramento de ME/EPP, conforme modelo do </w:t>
      </w:r>
      <w:r>
        <w:rPr>
          <w:rFonts w:cs="Arial" w:ascii="Arial" w:hAnsi="Arial"/>
          <w:b/>
        </w:rPr>
        <w:t xml:space="preserve">Anexo III </w:t>
      </w:r>
      <w:r>
        <w:rPr>
          <w:rFonts w:cs="Arial" w:ascii="Arial" w:hAnsi="Arial"/>
        </w:rPr>
        <w:t>do Regulamento Geral deste Edital.</w:t>
      </w:r>
    </w:p>
    <w:p>
      <w:pPr>
        <w:pStyle w:val="Normal"/>
        <w:numPr>
          <w:ilvl w:val="2"/>
          <w:numId w:val="41"/>
        </w:numPr>
        <w:tabs>
          <w:tab w:val="clear" w:pos="709"/>
          <w:tab w:val="left" w:pos="284" w:leader="none"/>
          <w:tab w:val="left" w:pos="426" w:leader="none"/>
        </w:tabs>
        <w:ind w:left="284" w:hanging="0"/>
        <w:jc w:val="both"/>
        <w:rPr>
          <w:rFonts w:ascii="Arial" w:hAnsi="Arial" w:cs="Arial"/>
        </w:rPr>
      </w:pPr>
      <w:r>
        <w:rPr>
          <w:rFonts w:cs="Arial" w:ascii="Arial" w:hAnsi="Arial"/>
        </w:rPr>
        <w:t>Comprovação da condição de Microempresa (ME) ou Empresa de Pequeno Porte (EPP), devendo ser feita com a apresentação de um dos seguintes documentos:</w:t>
      </w:r>
    </w:p>
    <w:p>
      <w:pPr>
        <w:pStyle w:val="Normal"/>
        <w:numPr>
          <w:ilvl w:val="3"/>
          <w:numId w:val="42"/>
        </w:numPr>
        <w:tabs>
          <w:tab w:val="clear" w:pos="709"/>
          <w:tab w:val="left" w:pos="426" w:leader="none"/>
          <w:tab w:val="left" w:pos="567" w:leader="none"/>
          <w:tab w:val="left" w:pos="1134" w:leader="none"/>
        </w:tabs>
        <w:ind w:left="567" w:hanging="0"/>
        <w:jc w:val="both"/>
        <w:rPr>
          <w:rFonts w:ascii="Arial" w:hAnsi="Arial" w:cs="Arial"/>
        </w:rPr>
      </w:pPr>
      <w:r>
        <w:rPr>
          <w:rFonts w:cs="Arial" w:ascii="Arial" w:hAnsi="Arial"/>
        </w:rPr>
        <w:t>Certidão expedida pela Junta Comercial, caso exerçam atividade comercial, com data inferior a 180 dias;</w:t>
      </w:r>
    </w:p>
    <w:p>
      <w:pPr>
        <w:pStyle w:val="Normal"/>
        <w:numPr>
          <w:ilvl w:val="3"/>
          <w:numId w:val="43"/>
        </w:numPr>
        <w:tabs>
          <w:tab w:val="clear" w:pos="709"/>
          <w:tab w:val="left" w:pos="426" w:leader="none"/>
          <w:tab w:val="left" w:pos="567" w:leader="none"/>
          <w:tab w:val="left" w:pos="1134" w:leader="none"/>
        </w:tabs>
        <w:ind w:left="567" w:hanging="0"/>
        <w:jc w:val="both"/>
        <w:rPr>
          <w:rFonts w:ascii="Arial" w:hAnsi="Arial" w:cs="Arial"/>
        </w:rPr>
      </w:pPr>
      <w:r>
        <w:rPr>
          <w:rFonts w:cs="Arial" w:ascii="Arial" w:hAnsi="Arial"/>
        </w:rPr>
        <w:t>Documento expedido pelo Registro Civil das Pessoas Jurídicas, caso atuem em outra área que não a comercial, com data inferior a 180 dias.</w:t>
      </w:r>
    </w:p>
    <w:p>
      <w:pPr>
        <w:pStyle w:val="Normal"/>
        <w:numPr>
          <w:ilvl w:val="1"/>
          <w:numId w:val="44"/>
        </w:numPr>
        <w:tabs>
          <w:tab w:val="clear" w:pos="709"/>
          <w:tab w:val="left" w:pos="284" w:leader="none"/>
          <w:tab w:val="left" w:pos="426" w:leader="none"/>
          <w:tab w:val="left" w:pos="567" w:leader="none"/>
        </w:tabs>
        <w:jc w:val="both"/>
        <w:rPr>
          <w:rFonts w:ascii="Arial" w:hAnsi="Arial" w:cs="Arial"/>
        </w:rPr>
      </w:pPr>
      <w:r>
        <w:rPr>
          <w:rFonts w:cs="Arial" w:ascii="Arial" w:hAnsi="Arial"/>
        </w:rPr>
        <w:t>Modelo de Proposta</w:t>
      </w:r>
      <w:bookmarkStart w:id="0" w:name="_GoBack"/>
      <w:bookmarkEnd w:id="0"/>
      <w:r>
        <w:rPr>
          <w:rFonts w:cs="Arial" w:ascii="Arial" w:hAnsi="Arial"/>
        </w:rPr>
        <w:t xml:space="preserve"> (</w:t>
      </w:r>
      <w:r>
        <w:rPr>
          <w:rFonts w:cs="Arial" w:ascii="Arial" w:hAnsi="Arial"/>
          <w:b/>
          <w:bCs/>
        </w:rPr>
        <w:t>Anexo V</w:t>
      </w:r>
      <w:r>
        <w:rPr>
          <w:rFonts w:cs="Arial" w:ascii="Arial" w:hAnsi="Arial"/>
        </w:rPr>
        <w:t>).</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t>Piracicaba, 11 de março de 2024.</w:t>
      </w:r>
    </w:p>
    <w:p>
      <w:pPr>
        <w:pStyle w:val="Normal"/>
        <w:ind w:firstLine="561"/>
        <w:jc w:val="both"/>
        <w:rPr>
          <w:rFonts w:ascii="Arial" w:hAnsi="Arial" w:cs="Arial"/>
        </w:rPr>
      </w:pPr>
      <w:r>
        <w:rPr/>
      </w:r>
    </w:p>
    <w:p>
      <w:pPr>
        <w:pStyle w:val="Normal"/>
        <w:rPr>
          <w:rFonts w:ascii="Arial" w:hAnsi="Arial" w:cs="Arial"/>
        </w:rPr>
      </w:pPr>
      <w:r>
        <w:rPr>
          <w:rFonts w:cs="Arial" w:ascii="Arial" w:hAnsi="Arial"/>
        </w:rPr>
      </w:r>
    </w:p>
    <w:p>
      <w:pPr>
        <w:pStyle w:val="Normal"/>
        <w:jc w:val="center"/>
        <w:rPr>
          <w:rFonts w:ascii="Arial" w:hAnsi="Arial" w:cs="Arial"/>
        </w:rPr>
      </w:pPr>
      <w:r>
        <w:rPr>
          <w:rFonts w:cs="Arial" w:ascii="Arial" w:hAnsi="Arial"/>
        </w:rPr>
        <w:t>Priscila Camargo Rodrigues Grecchi</w:t>
      </w:r>
    </w:p>
    <w:p>
      <w:pPr>
        <w:pStyle w:val="Normal"/>
        <w:jc w:val="center"/>
        <w:rPr>
          <w:rFonts w:ascii="Arial" w:hAnsi="Arial"/>
        </w:rPr>
      </w:pPr>
      <w:r>
        <w:rPr>
          <w:rFonts w:ascii="Arial" w:hAnsi="Arial"/>
        </w:rPr>
        <w:t>Chef</w:t>
      </w:r>
      <w:bookmarkStart w:id="1" w:name="_GoBack_Copia_1"/>
      <w:bookmarkEnd w:id="1"/>
      <w:r>
        <w:rPr>
          <w:rFonts w:ascii="Arial" w:hAnsi="Arial"/>
        </w:rPr>
        <w:t>e de Setor de Dispensa de Licitação</w:t>
      </w:r>
    </w:p>
    <w:p>
      <w:pPr>
        <w:pStyle w:val="Normal"/>
        <w:jc w:val="center"/>
        <w:rPr>
          <w:sz w:val="20"/>
          <w:szCs w:val="20"/>
          <w:highlight w:val="yellow"/>
        </w:rPr>
      </w:pPr>
      <w:r>
        <w:rPr>
          <w:sz w:val="20"/>
          <w:szCs w:val="20"/>
          <w:highlight w:val="yellow"/>
        </w:rPr>
      </w:r>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lang w:val="pt-BR"/>
        </w:rPr>
      </w:pPr>
      <w:r>
        <w:rPr>
          <w:lang w:val="pt-BR"/>
        </w:rPr>
        <w:t>DISPENSA ELETRÔNICA</w:t>
      </w:r>
    </w:p>
    <w:p>
      <w:pPr>
        <w:pStyle w:val="Ttulo2"/>
        <w:numPr>
          <w:ilvl w:val="0"/>
          <w:numId w:val="1"/>
        </w:numPr>
        <w:tabs>
          <w:tab w:val="clear" w:pos="709"/>
          <w:tab w:val="left" w:pos="708" w:leader="none"/>
          <w:tab w:val="left" w:pos="851" w:leader="none"/>
        </w:tabs>
        <w:ind w:left="432" w:hanging="0"/>
        <w:rPr/>
      </w:pPr>
      <w:r>
        <w:rPr/>
      </w:r>
    </w:p>
    <w:p>
      <w:pPr>
        <w:pStyle w:val="Normal"/>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left="0" w:hanging="0"/>
        <w:jc w:val="both"/>
        <w:rPr>
          <w:rFonts w:ascii="Arial" w:hAnsi="Arial" w:cs="Arial"/>
          <w:b/>
          <w:b/>
          <w:bCs/>
        </w:rPr>
      </w:pPr>
      <w:r>
        <w:rPr>
          <w:rFonts w:cs="Arial" w:ascii="Arial" w:hAnsi="Arial"/>
          <w:b/>
          <w:bCs/>
        </w:rPr>
      </w:r>
    </w:p>
    <w:p>
      <w:pPr>
        <w:pStyle w:val="Normal"/>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left="0" w:hanging="0"/>
        <w:jc w:val="both"/>
        <w:rPr>
          <w:rFonts w:ascii="Arial" w:hAnsi="Arial" w:cs="Arial"/>
          <w:highlight w:val="yellow"/>
        </w:rPr>
      </w:pPr>
      <w:r>
        <w:rPr>
          <w:rFonts w:cs="Arial" w:ascii="Arial" w:hAnsi="Arial"/>
          <w:highlight w:val="yellow"/>
        </w:rPr>
      </w:r>
    </w:p>
    <w:p>
      <w:pPr>
        <w:pStyle w:val="Normal"/>
        <w:jc w:val="both"/>
        <w:rPr>
          <w:rFonts w:ascii="Arial" w:hAnsi="Arial" w:cs="Arial"/>
        </w:rPr>
      </w:pPr>
      <w:r>
        <w:rPr>
          <w:rFonts w:cs="Arial" w:ascii="Arial" w:hAnsi="Arial"/>
          <w:b/>
          <w:bCs/>
        </w:rPr>
        <w:t>1. REFERÊNCIA DE TEMPO</w:t>
      </w:r>
    </w:p>
    <w:p>
      <w:pPr>
        <w:pStyle w:val="Normal"/>
        <w:numPr>
          <w:ilvl w:val="0"/>
          <w:numId w:val="1"/>
        </w:numPr>
        <w:ind w:left="0" w:hanging="0"/>
        <w:jc w:val="both"/>
        <w:rPr>
          <w:rFonts w:ascii="Arial" w:hAnsi="Arial" w:cs="Arial"/>
        </w:rPr>
      </w:pPr>
      <w:r>
        <w:rPr>
          <w:rFonts w:cs="Arial" w:ascii="Arial" w:hAnsi="Arial"/>
        </w:rPr>
      </w:r>
    </w:p>
    <w:p>
      <w:pPr>
        <w:pStyle w:val="Ttulo3"/>
        <w:numPr>
          <w:ilvl w:val="2"/>
          <w:numId w:val="1"/>
        </w:numPr>
        <w:ind w:left="0" w:hanging="0"/>
        <w:jc w:val="both"/>
        <w:rPr>
          <w:b w:val="false"/>
          <w:b w:val="false"/>
          <w:sz w:val="20"/>
          <w:szCs w:val="20"/>
        </w:rPr>
      </w:pPr>
      <w:r>
        <w:rPr>
          <w:b w:val="false"/>
          <w:sz w:val="20"/>
          <w:szCs w:val="20"/>
        </w:rPr>
        <w:t>1.1.</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left="0" w:hanging="0"/>
        <w:jc w:val="both"/>
        <w:rPr>
          <w:rFonts w:ascii="Arial" w:hAnsi="Arial" w:cs="Arial"/>
          <w:highlight w:val="yellow"/>
        </w:rPr>
      </w:pPr>
      <w:r>
        <w:rPr>
          <w:rFonts w:cs="Arial" w:ascii="Arial" w:hAnsi="Arial"/>
          <w:highlight w:val="yellow"/>
        </w:rPr>
      </w:r>
    </w:p>
    <w:p>
      <w:pPr>
        <w:pStyle w:val="Normal"/>
        <w:jc w:val="both"/>
        <w:rPr>
          <w:rFonts w:ascii="Arial" w:hAnsi="Arial" w:cs="Arial"/>
        </w:rPr>
      </w:pPr>
      <w:r>
        <w:rPr>
          <w:rFonts w:cs="Arial" w:ascii="Arial" w:hAnsi="Arial"/>
          <w:b/>
          <w:bCs/>
        </w:rPr>
        <w:t>2. CONDIÇÕES PARA PARTICIPAÇÃO</w:t>
      </w:r>
    </w:p>
    <w:p>
      <w:pPr>
        <w:pStyle w:val="Normal"/>
        <w:numPr>
          <w:ilvl w:val="0"/>
          <w:numId w:val="1"/>
        </w:numPr>
        <w:ind w:left="0"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2.1 A participação na presente dispensa eletrônica se dará mediante Sistema de Dispensa Eletrônica integrante do Portal BNC, disponível no endereço eletrônico </w:t>
      </w:r>
      <w:hyperlink r:id="rId4">
        <w:r>
          <w:rPr>
            <w:rStyle w:val="LinkdaInternet"/>
            <w:rFonts w:cs="Arial" w:ascii="Arial" w:hAnsi="Arial"/>
          </w:rPr>
          <w:t>www.bnc.org.br</w:t>
        </w:r>
      </w:hyperlink>
      <w:r>
        <w:rPr>
          <w:rFonts w:cs="Arial" w:ascii="Arial" w:hAnsi="Arial"/>
        </w:rPr>
        <w:t>.</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2.2. Os fornecedores deverão se cadastrar previamente no Portal BNC para acesso ao sistema e operacionalização.</w:t>
      </w:r>
    </w:p>
    <w:p>
      <w:pPr>
        <w:pStyle w:val="Normal"/>
        <w:numPr>
          <w:ilvl w:val="0"/>
          <w:numId w:val="1"/>
        </w:numPr>
        <w:ind w:left="0" w:hanging="0"/>
        <w:jc w:val="both"/>
        <w:rPr>
          <w:rFonts w:ascii="Arial" w:hAnsi="Arial" w:cs="Arial"/>
          <w:highlight w:val="yellow"/>
        </w:rPr>
      </w:pPr>
      <w:r>
        <w:rPr>
          <w:rFonts w:cs="Arial" w:ascii="Arial" w:hAnsi="Arial"/>
          <w:highlight w:val="yellow"/>
        </w:rPr>
      </w:r>
    </w:p>
    <w:p>
      <w:pPr>
        <w:pStyle w:val="Ttulo9"/>
        <w:numPr>
          <w:ilvl w:val="8"/>
          <w:numId w:val="1"/>
        </w:numPr>
        <w:tabs>
          <w:tab w:val="left" w:pos="709" w:leader="none"/>
        </w:tabs>
        <w:ind w:left="0" w:hanging="0"/>
        <w:rPr>
          <w:b w:val="false"/>
          <w:b w:val="false"/>
          <w:i w:val="false"/>
          <w:i w:val="false"/>
          <w:sz w:val="20"/>
          <w:szCs w:val="20"/>
        </w:rPr>
      </w:pPr>
      <w:r>
        <w:rPr>
          <w:b w:val="false"/>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left="0" w:hanging="0"/>
        <w:jc w:val="both"/>
        <w:rPr>
          <w:rFonts w:ascii="Arial" w:hAnsi="Arial" w:cs="Arial"/>
        </w:rPr>
      </w:pPr>
      <w:r>
        <w:rPr>
          <w:rFonts w:cs="Arial" w:ascii="Arial" w:hAnsi="Arial"/>
        </w:rPr>
      </w:r>
    </w:p>
    <w:p>
      <w:pPr>
        <w:pStyle w:val="Standard"/>
        <w:numPr>
          <w:ilvl w:val="0"/>
          <w:numId w:val="1"/>
        </w:numPr>
        <w:tabs>
          <w:tab w:val="left" w:pos="709" w:leader="none"/>
        </w:tabs>
        <w:ind w:left="0" w:hanging="0"/>
        <w:jc w:val="both"/>
        <w:rPr>
          <w:rFonts w:ascii="Arial" w:hAnsi="Arial" w:cs="Arial"/>
        </w:rPr>
      </w:pPr>
      <w:r>
        <w:rPr>
          <w:rFonts w:cs="Arial" w:ascii="Arial" w:hAnsi="Arial"/>
        </w:rPr>
        <w:t xml:space="preserve">2.3.1.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left="0" w:hanging="0"/>
        <w:jc w:val="both"/>
        <w:rPr>
          <w:rFonts w:ascii="Arial" w:hAnsi="Arial" w:cs="Arial"/>
        </w:rPr>
      </w:pPr>
      <w:r>
        <w:rPr>
          <w:rFonts w:cs="Arial" w:ascii="Arial" w:hAnsi="Arial"/>
        </w:rPr>
      </w:r>
    </w:p>
    <w:p>
      <w:pPr>
        <w:pStyle w:val="Standard"/>
        <w:jc w:val="both"/>
        <w:rPr>
          <w:rFonts w:ascii="Arial" w:hAnsi="Arial" w:cs="Arial"/>
        </w:rPr>
      </w:pPr>
      <w:r>
        <w:rPr>
          <w:rFonts w:cs="Arial" w:ascii="Arial" w:hAnsi="Arial"/>
        </w:rPr>
        <w:t>2.3.1.a.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left="0"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left="0" w:hanging="0"/>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2.4.1. autor do anteprojeto, do projeto básico ou do projeto executivo, pessoa física ou jurídica, quando a licitação versar sobre obra, serviços ou fornecimento de bens a ele relacionados;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2.4.3. pessoa física ou jurídica que se encontre, ao tempo da licitação, impossibilidade de participar da licitação em decorrência de sanção que lhe foi imposta;</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2.4.3.1. a sanção de impedimento de licitar, disposta no Art. 156, III da Lei 14.133/2021, impedirá o responsável de licitar ou contratar no âmbito da Administração direta e indireta do ente federativo que tiver aplicado a sanção;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2.4.3.2. a sanção de declaração de inidoneidade, disposta no Art. 156, IV da Lei 14.133/2021, impedirá o responsável  de licitar no âmbito da Administração direta e indireta de todos os entes federativos.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2.4.5. empresas controladoras, controladas ou coligadas, nos termos da Lei n° 6.404, de 15 de dezembro de 1976, concorrendo entre si;</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2.4.6.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left="0" w:hanging="0"/>
        <w:jc w:val="both"/>
        <w:rPr>
          <w:rFonts w:ascii="Arial" w:hAnsi="Arial" w:cs="Arial"/>
        </w:rPr>
      </w:pPr>
      <w:r>
        <w:rPr>
          <w:rFonts w:cs="Arial" w:ascii="Arial" w:hAnsi="Arial"/>
        </w:rPr>
      </w:r>
    </w:p>
    <w:p>
      <w:pPr>
        <w:pStyle w:val="Normal"/>
        <w:numPr>
          <w:ilvl w:val="0"/>
          <w:numId w:val="1"/>
        </w:numPr>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caps/>
        </w:rPr>
        <w:t>3. credenciamento NO APLICATIVO LICITAÇÕES</w:t>
      </w:r>
    </w:p>
    <w:p>
      <w:pPr>
        <w:pStyle w:val="Normal"/>
        <w:numPr>
          <w:ilvl w:val="0"/>
          <w:numId w:val="1"/>
        </w:numPr>
        <w:ind w:firstLine="284"/>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3.1.</w:t>
      </w:r>
      <w:r>
        <w:rPr>
          <w:rFonts w:cs="Arial" w:ascii="Arial" w:hAnsi="Arial"/>
        </w:rPr>
        <w:t xml:space="preserve"> Para acesso ao sistema eletrônico, os interessados em participar da DISPENSA ELETRÔNICA deverão se cadastrar, para obtenção do login de usuário e senha pessoal (intransferíveis), através do endereço eletrônico </w:t>
      </w:r>
      <w:hyperlink r:id="rId5">
        <w:r>
          <w:rPr>
            <w:rStyle w:val="LinkdaInternet"/>
            <w:rFonts w:cs="Arial" w:ascii="Arial" w:hAnsi="Arial"/>
          </w:rPr>
          <w:t>www.bnc.org.br</w:t>
        </w:r>
      </w:hyperlink>
      <w:r>
        <w:rPr>
          <w:rFonts w:cs="Arial" w:ascii="Arial" w:hAnsi="Arial"/>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Corpodotexto"/>
        <w:numPr>
          <w:ilvl w:val="0"/>
          <w:numId w:val="1"/>
        </w:numPr>
        <w:rPr>
          <w:sz w:val="20"/>
          <w:szCs w:val="20"/>
        </w:rPr>
      </w:pPr>
      <w:r>
        <w:rPr>
          <w:sz w:val="20"/>
          <w:szCs w:val="20"/>
        </w:rPr>
      </w:r>
    </w:p>
    <w:p>
      <w:pPr>
        <w:pStyle w:val="Normal"/>
        <w:numPr>
          <w:ilvl w:val="0"/>
          <w:numId w:val="1"/>
        </w:numPr>
        <w:ind w:firstLine="284"/>
        <w:jc w:val="both"/>
        <w:rPr>
          <w:rFonts w:ascii="Arial" w:hAnsi="Arial" w:cs="Arial"/>
          <w:highlight w:val="yellow"/>
        </w:rPr>
      </w:pPr>
      <w:r>
        <w:rPr>
          <w:rFonts w:cs="Arial" w:ascii="Arial" w:hAnsi="Arial"/>
          <w:highlight w:val="yellow"/>
        </w:rPr>
      </w:r>
    </w:p>
    <w:p>
      <w:pPr>
        <w:pStyle w:val="Normal"/>
        <w:jc w:val="both"/>
        <w:rPr>
          <w:rFonts w:ascii="Arial" w:hAnsi="Arial" w:cs="Arial"/>
        </w:rPr>
      </w:pPr>
      <w:r>
        <w:rPr>
          <w:rFonts w:cs="Arial" w:ascii="Arial" w:hAnsi="Arial"/>
          <w:b/>
          <w:bCs/>
        </w:rPr>
        <w:t>4. ENVIO DAS PROPOSTAS ELETRÔNICAS DE PREÇOS</w:t>
      </w:r>
    </w:p>
    <w:p>
      <w:pPr>
        <w:pStyle w:val="Normal"/>
        <w:numPr>
          <w:ilvl w:val="0"/>
          <w:numId w:val="1"/>
        </w:numPr>
        <w:ind w:firstLine="284"/>
        <w:jc w:val="both"/>
        <w:rPr>
          <w:rFonts w:ascii="Arial" w:hAnsi="Arial" w:cs="Arial"/>
        </w:rPr>
      </w:pPr>
      <w:r>
        <w:rPr>
          <w:rFonts w:cs="Arial" w:ascii="Arial" w:hAnsi="Arial"/>
        </w:rPr>
      </w:r>
    </w:p>
    <w:p>
      <w:pPr>
        <w:pStyle w:val="Normal"/>
        <w:numPr>
          <w:ilvl w:val="0"/>
          <w:numId w:val="1"/>
        </w:numPr>
        <w:ind w:left="0" w:hanging="6"/>
        <w:jc w:val="both"/>
        <w:rPr>
          <w:rFonts w:ascii="Arial" w:hAnsi="Arial" w:cs="Arial"/>
          <w:b/>
          <w:b/>
          <w:bCs/>
        </w:rPr>
      </w:pPr>
      <w:r>
        <w:rPr>
          <w:rFonts w:cs="Arial" w:ascii="Arial" w:hAnsi="Arial"/>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jc w:val="both"/>
        <w:rPr>
          <w:rFonts w:ascii="Arial" w:hAnsi="Arial" w:cs="Arial"/>
          <w:b/>
          <w:b/>
          <w:bCs/>
        </w:rPr>
      </w:pPr>
      <w:r>
        <w:rPr>
          <w:rFonts w:cs="Arial" w:ascii="Arial" w:hAnsi="Arial"/>
          <w:b/>
          <w:bCs/>
        </w:rPr>
      </w:r>
    </w:p>
    <w:p>
      <w:pPr>
        <w:pStyle w:val="Normal"/>
        <w:numPr>
          <w:ilvl w:val="0"/>
          <w:numId w:val="1"/>
        </w:numPr>
        <w:ind w:left="0" w:hanging="6"/>
        <w:jc w:val="both"/>
        <w:rPr>
          <w:rFonts w:ascii="Arial" w:hAnsi="Arial" w:cs="Arial"/>
        </w:rPr>
      </w:pPr>
      <w:r>
        <w:rPr>
          <w:rFonts w:cs="Arial" w:ascii="Arial" w:hAnsi="Arial"/>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jc w:val="both"/>
        <w:rPr>
          <w:rFonts w:ascii="Arial" w:hAnsi="Arial" w:cs="Arial"/>
          <w:b/>
          <w:b/>
          <w:bCs/>
        </w:rPr>
      </w:pPr>
      <w:r>
        <w:rPr>
          <w:rFonts w:cs="Arial" w:ascii="Arial" w:hAnsi="Arial"/>
          <w:b/>
          <w:bCs/>
        </w:rPr>
      </w:r>
    </w:p>
    <w:p>
      <w:pPr>
        <w:pStyle w:val="Normal"/>
        <w:numPr>
          <w:ilvl w:val="0"/>
          <w:numId w:val="1"/>
        </w:numPr>
        <w:ind w:left="0" w:hanging="6"/>
        <w:jc w:val="both"/>
        <w:rPr>
          <w:rFonts w:ascii="Arial" w:hAnsi="Arial" w:cs="Arial"/>
        </w:rPr>
      </w:pPr>
      <w:r>
        <w:rPr>
          <w:rFonts w:cs="Arial" w:ascii="Arial" w:hAnsi="Arial"/>
          <w:bCs/>
        </w:rPr>
        <w:t>4.4.</w:t>
      </w:r>
      <w:r>
        <w:rPr>
          <w:rFonts w:cs="Arial" w:ascii="Arial" w:hAnsi="Arial"/>
          <w:b/>
          <w:bCs/>
        </w:rPr>
        <w:t xml:space="preserve">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left="284"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4.5.</w:t>
      </w:r>
      <w:r>
        <w:rPr>
          <w:rFonts w:cs="Arial" w:ascii="Arial" w:hAnsi="Arial"/>
          <w:b/>
          <w:bCs/>
        </w:rPr>
        <w:t xml:space="preserve">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4.6.</w:t>
      </w:r>
      <w:r>
        <w:rPr>
          <w:rFonts w:cs="Arial" w:ascii="Arial" w:hAnsi="Arial"/>
          <w:b/>
          <w:bCs/>
        </w:rPr>
        <w:t xml:space="preserve">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4.7.</w:t>
      </w:r>
      <w:r>
        <w:rPr>
          <w:rFonts w:cs="Arial" w:ascii="Arial" w:hAnsi="Arial"/>
          <w:b/>
          <w:bCs/>
        </w:rPr>
        <w:t xml:space="preserve"> </w:t>
      </w:r>
      <w:r>
        <w:rPr>
          <w:rFonts w:cs="Arial" w:ascii="Arial" w:hAnsi="Arial"/>
        </w:rPr>
        <w:t>Os catálogos, bulas e demais documentos referentes à proposta, solicitados no Termo de Referência deste Edital, deverão ser anexados no ícone “Documentação Complementar”.</w:t>
      </w:r>
    </w:p>
    <w:p>
      <w:pPr>
        <w:pStyle w:val="Normal"/>
        <w:numPr>
          <w:ilvl w:val="0"/>
          <w:numId w:val="1"/>
        </w:numPr>
        <w:ind w:firstLine="284"/>
        <w:rPr>
          <w:rFonts w:ascii="Arial" w:hAnsi="Arial" w:cs="Arial"/>
          <w:highlight w:val="yellow"/>
        </w:rPr>
      </w:pPr>
      <w:r>
        <w:rPr>
          <w:rFonts w:cs="Arial" w:ascii="Arial" w:hAnsi="Arial"/>
          <w:highlight w:val="yellow"/>
        </w:rPr>
      </w:r>
    </w:p>
    <w:p>
      <w:pPr>
        <w:pStyle w:val="Normal"/>
        <w:numPr>
          <w:ilvl w:val="0"/>
          <w:numId w:val="1"/>
        </w:numPr>
        <w:ind w:firstLine="284"/>
        <w:rPr>
          <w:rFonts w:ascii="Arial" w:hAnsi="Arial" w:cs="Arial"/>
          <w:highlight w:val="yellow"/>
        </w:rPr>
      </w:pPr>
      <w:r>
        <w:rPr>
          <w:rFonts w:cs="Arial" w:ascii="Arial" w:hAnsi="Arial"/>
          <w:highlight w:val="yellow"/>
        </w:rPr>
      </w:r>
    </w:p>
    <w:p>
      <w:pPr>
        <w:pStyle w:val="Normal"/>
        <w:rPr>
          <w:rFonts w:ascii="Arial" w:hAnsi="Arial" w:cs="Arial"/>
          <w:b/>
          <w:b/>
        </w:rPr>
      </w:pPr>
      <w:r>
        <w:rPr>
          <w:rFonts w:cs="Arial" w:ascii="Arial" w:hAnsi="Arial"/>
          <w:b/>
        </w:rPr>
        <w:t xml:space="preserve">5. HABILITAÇÃO: </w:t>
      </w:r>
    </w:p>
    <w:p>
      <w:pPr>
        <w:pStyle w:val="Normal"/>
        <w:numPr>
          <w:ilvl w:val="0"/>
          <w:numId w:val="1"/>
        </w:numPr>
        <w:ind w:firstLine="284"/>
        <w:rPr>
          <w:rFonts w:ascii="Arial" w:hAnsi="Arial" w:cs="Arial"/>
          <w:b/>
          <w:b/>
        </w:rPr>
      </w:pPr>
      <w:r>
        <w:rPr>
          <w:rFonts w:cs="Arial" w:ascii="Arial" w:hAnsi="Arial"/>
          <w:b/>
        </w:rPr>
      </w:r>
    </w:p>
    <w:p>
      <w:pPr>
        <w:pStyle w:val="Normal"/>
        <w:jc w:val="both"/>
        <w:rPr>
          <w:rFonts w:ascii="Arial" w:hAnsi="Arial" w:cs="Arial"/>
        </w:rPr>
      </w:pPr>
      <w:r>
        <w:rPr>
          <w:rFonts w:cs="Arial" w:ascii="Arial" w:hAnsi="Arial"/>
        </w:rPr>
        <w:t>5.1 Os documentos a serem exigidos para fins de habilitação constam no Termo de Referência do Edital de Dispensa Eletrônica e será solicitado do fornecedor declarado vencedor da fase de lances.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5.2 As entregas dos documentos no sistema deverão ser no prazo máximo 06 horas. </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5.4 Será inabilitado o fornecedor que não comprovar sua habilitação, seja por não apresentar quaisquer dos documentos exigidos, ou apresentá-los em desacordo com o estabelecido neste Edital de Dispensa Eletrônica.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5.5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5.5.1. Neste caso a empresa de proposta subsequente terá também prazo de 6 horas para apresentação dos documentos de habilitação e catálogos/bulas.</w:t>
      </w:r>
    </w:p>
    <w:p>
      <w:pPr>
        <w:pStyle w:val="Normal"/>
        <w:jc w:val="both"/>
        <w:rPr>
          <w:rFonts w:ascii="Arial" w:hAnsi="Arial" w:cs="Arial"/>
        </w:rPr>
      </w:pPr>
      <w:r>
        <w:rPr>
          <w:rFonts w:cs="Arial" w:ascii="Arial" w:hAnsi="Arial"/>
        </w:rPr>
      </w:r>
    </w:p>
    <w:p>
      <w:pPr>
        <w:pStyle w:val="Normal"/>
        <w:jc w:val="both"/>
        <w:rPr>
          <w:rFonts w:ascii="Arial" w:hAnsi="Arial" w:eastAsia="Arial" w:cs="Arial"/>
        </w:rPr>
      </w:pPr>
      <w:r>
        <w:rPr>
          <w:rFonts w:cs="Arial" w:ascii="Arial" w:hAnsi="Arial"/>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jc w:val="both"/>
        <w:rPr>
          <w:rFonts w:ascii="Arial" w:hAnsi="Arial" w:eastAsia="Arial" w:cs="Arial"/>
        </w:rPr>
      </w:pPr>
      <w:r>
        <w:rPr>
          <w:rFonts w:eastAsia="Arial" w:cs="Arial" w:ascii="Arial" w:hAnsi="Arial"/>
        </w:rPr>
        <w:t xml:space="preserve">  </w:t>
      </w:r>
    </w:p>
    <w:p>
      <w:pPr>
        <w:pStyle w:val="Corpodotextorecuado"/>
        <w:rPr>
          <w:bCs/>
          <w:color w:val="auto"/>
          <w:sz w:val="20"/>
          <w:szCs w:val="20"/>
        </w:rPr>
      </w:pPr>
      <w:r>
        <w:rPr>
          <w:rFonts w:eastAsia="Arial"/>
          <w:bCs/>
          <w:color w:val="auto"/>
          <w:sz w:val="20"/>
          <w:szCs w:val="20"/>
          <w:lang w:val="pt-BR"/>
        </w:rPr>
        <w:t>5</w:t>
      </w:r>
      <w:r>
        <w:rPr>
          <w:rFonts w:eastAsia="Arial"/>
          <w:bCs/>
          <w:color w:val="auto"/>
          <w:sz w:val="20"/>
          <w:szCs w:val="20"/>
        </w:rPr>
        <w:t>.</w:t>
      </w:r>
      <w:r>
        <w:rPr>
          <w:rFonts w:eastAsia="Arial"/>
          <w:bCs/>
          <w:color w:val="auto"/>
          <w:sz w:val="20"/>
          <w:szCs w:val="20"/>
          <w:lang w:val="pt-BR"/>
        </w:rPr>
        <w:t>7</w:t>
      </w:r>
      <w:r>
        <w:rPr>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left="284" w:hanging="0"/>
        <w:jc w:val="both"/>
        <w:rPr>
          <w:rFonts w:ascii="Arial" w:hAnsi="Arial" w:cs="Arial"/>
          <w:strike/>
        </w:rPr>
      </w:pPr>
      <w:r>
        <w:rPr>
          <w:rFonts w:cs="Arial" w:ascii="Arial" w:hAnsi="Arial"/>
          <w:strike/>
        </w:rPr>
      </w:r>
    </w:p>
    <w:p>
      <w:pPr>
        <w:pStyle w:val="Normal"/>
        <w:rPr>
          <w:rFonts w:ascii="Arial" w:hAnsi="Arial" w:cs="Arial"/>
        </w:rPr>
      </w:pPr>
      <w:r>
        <w:rPr>
          <w:rFonts w:eastAsia="Arial" w:cs="Arial" w:ascii="Arial" w:hAnsi="Arial"/>
        </w:rPr>
        <w:t>5.8</w:t>
      </w:r>
      <w:r>
        <w:rPr>
          <w:rFonts w:cs="Arial" w:ascii="Arial" w:hAnsi="Arial"/>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5.10.</w:t>
      </w:r>
      <w:r>
        <w:rPr>
          <w:rFonts w:cs="Arial" w:ascii="Arial" w:hAnsi="Arial"/>
          <w:b/>
          <w:bCs/>
        </w:rPr>
        <w:t xml:space="preserve">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5.11.</w:t>
      </w:r>
      <w:r>
        <w:rPr>
          <w:rFonts w:cs="Arial" w:ascii="Arial" w:hAnsi="Arial"/>
          <w:b/>
          <w:bCs/>
        </w:rPr>
        <w:t xml:space="preserve">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5.12.</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left="284"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5.13.</w:t>
      </w:r>
      <w:r>
        <w:rPr>
          <w:rFonts w:cs="Arial" w:ascii="Arial" w:hAnsi="Arial"/>
        </w:rPr>
        <w:t xml:space="preserve"> atualização de documentos cuja validade tenha expirado após a data de recebimento das propostas.</w:t>
      </w:r>
    </w:p>
    <w:p>
      <w:pPr>
        <w:pStyle w:val="Normal"/>
        <w:numPr>
          <w:ilvl w:val="0"/>
          <w:numId w:val="1"/>
        </w:numPr>
        <w:jc w:val="both"/>
        <w:rPr>
          <w:rFonts w:ascii="Arial" w:hAnsi="Arial" w:cs="Arial"/>
          <w:highlight w:val="yellow"/>
        </w:rPr>
      </w:pPr>
      <w:r>
        <w:rPr>
          <w:rFonts w:cs="Arial" w:ascii="Arial" w:hAnsi="Arial"/>
        </w:rPr>
        <w:t xml:space="preserve"> </w:t>
      </w:r>
    </w:p>
    <w:p>
      <w:pPr>
        <w:pStyle w:val="Normal"/>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pPr>
        <w:pStyle w:val="Normal"/>
        <w:jc w:val="both"/>
        <w:rPr>
          <w:rFonts w:ascii="Arial" w:hAnsi="Arial" w:cs="Arial"/>
        </w:rPr>
      </w:pPr>
      <w:r>
        <w:rPr>
          <w:rFonts w:cs="Arial" w:ascii="Arial" w:hAnsi="Arial"/>
        </w:rPr>
      </w:r>
    </w:p>
    <w:p>
      <w:pPr>
        <w:pStyle w:val="Normal"/>
        <w:jc w:val="both"/>
        <w:rPr>
          <w:rFonts w:ascii="Arial" w:hAnsi="Arial" w:cs="Arial"/>
          <w:highlight w:val="yellow"/>
        </w:rPr>
      </w:pPr>
      <w:r>
        <w:rPr>
          <w:rFonts w:cs="Arial" w:ascii="Arial" w:hAnsi="Arial"/>
        </w:rPr>
        <w:t>6.2. Iniciada a etapa competitiva, os fornecedores deverão encaminhar lances exclusivamente por meio do sistema eletrônico, sendo imediatamente informados do seu recebimento e do valor consignado no registro</w:t>
      </w:r>
      <w:r>
        <w:rPr>
          <w:rFonts w:cs="Arial" w:ascii="Arial" w:hAnsi="Arial"/>
          <w:highlight w:val="yellow"/>
        </w:rPr>
        <w:t xml:space="preserve">.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6.2.1. O lance deverá ser ofertado pelo valor unitário quando o critério de julgamento for por item e valor total quando a dispensa for julgada por Lote. </w:t>
      </w:r>
    </w:p>
    <w:p>
      <w:pPr>
        <w:pStyle w:val="Normal"/>
        <w:jc w:val="both"/>
        <w:rPr>
          <w:rFonts w:ascii="Arial" w:hAnsi="Arial" w:cs="Arial"/>
          <w:b/>
          <w:b/>
          <w:highlight w:val="yellow"/>
        </w:rPr>
      </w:pPr>
      <w:r>
        <w:rPr>
          <w:rFonts w:cs="Arial" w:ascii="Arial" w:hAnsi="Arial"/>
          <w:b/>
          <w:highlight w:val="yellow"/>
        </w:rPr>
      </w:r>
    </w:p>
    <w:p>
      <w:pPr>
        <w:pStyle w:val="Normal"/>
        <w:jc w:val="both"/>
        <w:rPr>
          <w:rFonts w:ascii="Arial" w:hAnsi="Arial" w:cs="Arial"/>
        </w:rPr>
      </w:pPr>
      <w:r>
        <w:rPr>
          <w:rFonts w:cs="Arial" w:ascii="Arial" w:hAnsi="Arial"/>
        </w:rPr>
        <w:t xml:space="preserve">6.3. O fornecedor somente poderá oferecer valor inferior em relação ao último lance por ele ofertado e registrado pelo sistema.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6.4. Havendo lances iguais ao menor já ofertado, prevalecerá aquele que for recebido e registrado primeiro no sistema.</w:t>
      </w:r>
    </w:p>
    <w:p>
      <w:pPr>
        <w:pStyle w:val="Normal"/>
        <w:jc w:val="both"/>
        <w:rPr>
          <w:rFonts w:ascii="Arial" w:hAnsi="Arial" w:cs="Arial"/>
        </w:rPr>
      </w:pPr>
      <w:r>
        <w:rPr>
          <w:rFonts w:cs="Arial" w:ascii="Arial" w:hAnsi="Arial"/>
        </w:rPr>
        <w:t xml:space="preserve">. </w:t>
      </w:r>
    </w:p>
    <w:p>
      <w:pPr>
        <w:pStyle w:val="Normal"/>
        <w:jc w:val="both"/>
        <w:rPr>
          <w:rFonts w:ascii="Arial" w:hAnsi="Arial" w:cs="Arial"/>
        </w:rPr>
      </w:pPr>
      <w:r>
        <w:rPr>
          <w:rFonts w:cs="Arial" w:ascii="Arial" w:hAnsi="Arial"/>
        </w:rPr>
        <w:t xml:space="preserve">6.5. Caso o fornecedor não apresente lances, concorrerá com o valor de sua proposta.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6.6. Durante o procedimento, os fornecedores serão informados, em tempo real, do valor do menor lance registrado, vedada a identificação do fornecedor.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6.7. Imediatamente após o termino do prazo estabelecido para a fase de lances, haverá o seu encerramento, com o ordenamento e divulgação dos lances, pelo sistema, em ordem crescente de classificação.</w:t>
      </w:r>
    </w:p>
    <w:p>
      <w:pPr>
        <w:pStyle w:val="Ttulo8"/>
        <w:numPr>
          <w:ilvl w:val="0"/>
          <w:numId w:val="0"/>
        </w:numPr>
        <w:ind w:left="0" w:hanging="0"/>
        <w:rPr>
          <w:rFonts w:cs="Arial"/>
          <w:b w:val="false"/>
          <w:b w:val="false"/>
          <w:bCs w:val="false"/>
          <w:sz w:val="20"/>
          <w:szCs w:val="20"/>
          <w:lang w:val="pt-BR"/>
        </w:rPr>
      </w:pPr>
      <w:r>
        <w:rPr>
          <w:rFonts w:cs="Arial"/>
          <w:b w:val="false"/>
          <w:bCs w:val="false"/>
          <w:sz w:val="20"/>
          <w:szCs w:val="20"/>
          <w:lang w:val="pt-BR"/>
        </w:rPr>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b/>
          <w:b/>
          <w:bCs/>
        </w:rPr>
      </w:pPr>
      <w:r>
        <w:rPr>
          <w:rFonts w:cs="Arial" w:ascii="Arial" w:hAnsi="Arial"/>
          <w:b/>
          <w:bCs/>
        </w:rPr>
        <w:t xml:space="preserve">7. FASE DE JULGAMENTO </w:t>
      </w:r>
    </w:p>
    <w:p>
      <w:pPr>
        <w:pStyle w:val="Normal"/>
        <w:jc w:val="both"/>
        <w:rPr>
          <w:rFonts w:ascii="Arial" w:hAnsi="Arial" w:cs="Arial"/>
          <w:b/>
          <w:b/>
          <w:bCs/>
        </w:rPr>
      </w:pPr>
      <w:r>
        <w:rPr>
          <w:rFonts w:cs="Arial" w:ascii="Arial" w:hAnsi="Arial"/>
          <w:b/>
          <w:bCs/>
        </w:rPr>
      </w:r>
    </w:p>
    <w:p>
      <w:pPr>
        <w:pStyle w:val="Normal"/>
        <w:jc w:val="both"/>
        <w:rPr>
          <w:rFonts w:ascii="Arial" w:hAnsi="Arial" w:cs="Arial"/>
        </w:rPr>
      </w:pPr>
      <w:r>
        <w:rPr>
          <w:rFonts w:cs="Arial" w:ascii="Arial" w:hAnsi="Arial"/>
        </w:rPr>
        <w:t xml:space="preserve">8.1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jc w:val="both"/>
        <w:rPr>
          <w:rFonts w:ascii="Arial" w:hAnsi="Arial" w:cs="Arial"/>
        </w:rPr>
      </w:pPr>
      <w:r>
        <w:rPr>
          <w:rFonts w:cs="Arial" w:ascii="Arial" w:hAnsi="Arial"/>
        </w:rPr>
      </w:r>
    </w:p>
    <w:p>
      <w:pPr>
        <w:pStyle w:val="Normal"/>
        <w:rPr>
          <w:rFonts w:ascii="Arial" w:hAnsi="Arial" w:cs="Arial"/>
        </w:rPr>
      </w:pPr>
      <w:r>
        <w:rPr>
          <w:rFonts w:cs="Arial" w:ascii="Arial" w:hAnsi="Arial"/>
        </w:rPr>
        <w:t xml:space="preserve">7.2 Será desclassificada a proposta vencedora que: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7.2.1 Contiver vícios insanáveis;</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7.2.2 Não obedecer às especificações técnicas expressas neste aviso ou em seu(s) anexo(s);</w:t>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7.2 Se a proposta ou lance vencedor for desclassificado, será examinada a proposta ou lance subsequente, e, assim sucessivamente, na ordem de classificação.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7.3. Após análise dos documentos de habilitação, será aprovada a empresa que cumprir todos os requisitos deste Edital</w:t>
      </w:r>
    </w:p>
    <w:p>
      <w:pPr>
        <w:pStyle w:val="Normal"/>
        <w:jc w:val="both"/>
        <w:rPr>
          <w:rFonts w:ascii="Arial" w:hAnsi="Arial" w:cs="Arial"/>
        </w:rPr>
      </w:pPr>
      <w:r>
        <w:rPr>
          <w:rFonts w:cs="Arial" w:ascii="Arial" w:hAnsi="Arial"/>
        </w:rPr>
      </w:r>
    </w:p>
    <w:p>
      <w:pPr>
        <w:pStyle w:val="Normal"/>
        <w:numPr>
          <w:ilvl w:val="0"/>
          <w:numId w:val="1"/>
        </w:numPr>
        <w:ind w:left="0" w:hanging="6"/>
        <w:jc w:val="both"/>
        <w:rPr>
          <w:rFonts w:ascii="Arial" w:hAnsi="Arial" w:cs="Arial"/>
        </w:rPr>
      </w:pPr>
      <w:r>
        <w:rPr>
          <w:rFonts w:cs="Arial" w:ascii="Arial" w:hAnsi="Arial"/>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9. SANÇÕES ADMINISTRATIVAS</w:t>
      </w:r>
    </w:p>
    <w:p>
      <w:pPr>
        <w:pStyle w:val="Normal"/>
        <w:numPr>
          <w:ilvl w:val="0"/>
          <w:numId w:val="1"/>
        </w:numPr>
        <w:ind w:firstLine="284"/>
        <w:jc w:val="both"/>
        <w:rPr>
          <w:rFonts w:ascii="Arial" w:hAnsi="Arial" w:cs="Arial"/>
          <w:highlight w:val="yellow"/>
        </w:rPr>
      </w:pPr>
      <w:r>
        <w:rPr>
          <w:rFonts w:cs="Arial" w:ascii="Arial" w:hAnsi="Arial"/>
          <w:highlight w:val="yellow"/>
        </w:rPr>
      </w:r>
    </w:p>
    <w:p>
      <w:pPr>
        <w:pStyle w:val="Normal"/>
        <w:numPr>
          <w:ilvl w:val="0"/>
          <w:numId w:val="1"/>
        </w:numPr>
        <w:jc w:val="both"/>
        <w:rPr>
          <w:rFonts w:ascii="Arial" w:hAnsi="Arial" w:cs="Arial"/>
        </w:rPr>
      </w:pPr>
      <w:r>
        <w:rPr>
          <w:rFonts w:cs="Arial" w:ascii="Arial" w:hAnsi="Arial"/>
          <w:bCs/>
        </w:rPr>
        <w:t>9.1.</w:t>
      </w:r>
      <w:r>
        <w:rPr>
          <w:rFonts w:cs="Arial" w:ascii="Arial" w:hAnsi="Arial"/>
          <w:b/>
          <w:bCs/>
        </w:rPr>
        <w:t xml:space="preserve"> </w:t>
      </w:r>
      <w:r>
        <w:rPr>
          <w:rFonts w:cs="Arial" w:ascii="Arial" w:hAnsi="Arial"/>
        </w:rPr>
        <w:t>Comete infração administrativa, nos termos da lei, o interessado que, com dolo ou culpa:</w:t>
      </w:r>
    </w:p>
    <w:p>
      <w:pPr>
        <w:pStyle w:val="Normal"/>
        <w:numPr>
          <w:ilvl w:val="0"/>
          <w:numId w:val="1"/>
        </w:numPr>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ind w:left="284" w:hanging="0"/>
        <w:jc w:val="both"/>
        <w:rPr>
          <w:rFonts w:ascii="Arial" w:hAnsi="Arial" w:cs="Arial"/>
        </w:rPr>
      </w:pPr>
      <w:r>
        <w:rPr>
          <w:rFonts w:cs="Arial" w:ascii="Arial" w:hAnsi="Arial"/>
        </w:rPr>
      </w:r>
      <w:bookmarkStart w:id="4" w:name="_Ref114668108"/>
      <w:bookmarkStart w:id="5" w:name="_Ref114668108"/>
    </w:p>
    <w:p>
      <w:pPr>
        <w:pStyle w:val="Normal"/>
        <w:jc w:val="both"/>
        <w:rPr>
          <w:rFonts w:ascii="Arial" w:hAnsi="Arial" w:cs="Arial"/>
        </w:rPr>
      </w:pPr>
      <w:r>
        <w:rPr>
          <w:rFonts w:cs="Arial" w:ascii="Arial" w:hAnsi="Arial"/>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ind w:left="284"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9.1.2.1.</w:t>
      </w:r>
      <w:r>
        <w:rPr>
          <w:rFonts w:cs="Arial" w:ascii="Arial" w:hAnsi="Arial"/>
          <w:b/>
          <w:bCs/>
        </w:rPr>
        <w:t xml:space="preserve"> </w:t>
      </w:r>
      <w:r>
        <w:rPr>
          <w:rFonts w:cs="Arial" w:ascii="Arial" w:hAnsi="Arial"/>
        </w:rPr>
        <w:t xml:space="preserve">não enviar a proposta adequada ao último lance ofertado ou após a negociação; </w:t>
      </w:r>
    </w:p>
    <w:p>
      <w:pPr>
        <w:pStyle w:val="Normal"/>
        <w:numPr>
          <w:ilvl w:val="0"/>
          <w:numId w:val="1"/>
        </w:numPr>
        <w:ind w:left="426"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9.1.2.2.</w:t>
      </w:r>
      <w:r>
        <w:rPr>
          <w:rFonts w:cs="Arial" w:ascii="Arial" w:hAnsi="Arial"/>
          <w:b/>
          <w:bCs/>
        </w:rPr>
        <w:t xml:space="preserve"> </w:t>
      </w:r>
      <w:r>
        <w:rPr>
          <w:rFonts w:cs="Arial" w:ascii="Arial" w:hAnsi="Arial"/>
        </w:rPr>
        <w:t xml:space="preserve">recusar-se a enviar o detalhamento da proposta quando exigível; </w:t>
      </w:r>
    </w:p>
    <w:p>
      <w:pPr>
        <w:pStyle w:val="Normal"/>
        <w:numPr>
          <w:ilvl w:val="0"/>
          <w:numId w:val="1"/>
        </w:numPr>
        <w:ind w:left="426"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9.1.2.3.</w:t>
      </w:r>
      <w:r>
        <w:rPr>
          <w:rFonts w:cs="Arial" w:ascii="Arial" w:hAnsi="Arial"/>
          <w:b/>
          <w:bCs/>
        </w:rPr>
        <w:t xml:space="preserve"> </w:t>
      </w:r>
      <w:r>
        <w:rPr>
          <w:rFonts w:cs="Arial" w:ascii="Arial" w:hAnsi="Arial"/>
        </w:rPr>
        <w:t xml:space="preserve">pedir para ser desclassificado quando encerrada a etapa competitiva; ou </w:t>
      </w:r>
    </w:p>
    <w:p>
      <w:pPr>
        <w:pStyle w:val="Normal"/>
        <w:numPr>
          <w:ilvl w:val="0"/>
          <w:numId w:val="1"/>
        </w:numPr>
        <w:ind w:left="426"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9.1.2.4.</w:t>
      </w:r>
      <w:r>
        <w:rPr>
          <w:rFonts w:cs="Arial" w:ascii="Arial" w:hAnsi="Arial"/>
          <w:b/>
          <w:bCs/>
        </w:rPr>
        <w:t xml:space="preserve"> </w:t>
      </w:r>
      <w:r>
        <w:rPr>
          <w:rFonts w:cs="Arial" w:ascii="Arial" w:hAnsi="Arial"/>
        </w:rPr>
        <w:t>deixar de apresentar amostra;</w:t>
      </w:r>
    </w:p>
    <w:p>
      <w:pPr>
        <w:pStyle w:val="Normal"/>
        <w:numPr>
          <w:ilvl w:val="0"/>
          <w:numId w:val="1"/>
        </w:numPr>
        <w:ind w:left="426"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9.1.2.5.</w:t>
      </w:r>
      <w:r>
        <w:rPr>
          <w:rFonts w:cs="Arial" w:ascii="Arial" w:hAnsi="Arial"/>
          <w:b/>
          <w:bCs/>
        </w:rPr>
        <w:t xml:space="preserve"> </w:t>
      </w:r>
      <w:r>
        <w:rPr>
          <w:rFonts w:cs="Arial" w:ascii="Arial" w:hAnsi="Arial"/>
        </w:rPr>
        <w:t xml:space="preserve">apresentar proposta ou amostra em desacordo com as especificações do edital; </w:t>
      </w:r>
    </w:p>
    <w:p>
      <w:pPr>
        <w:pStyle w:val="Normal"/>
        <w:numPr>
          <w:ilvl w:val="0"/>
          <w:numId w:val="1"/>
        </w:numPr>
        <w:ind w:left="284" w:hanging="0"/>
        <w:jc w:val="both"/>
        <w:rPr>
          <w:rFonts w:ascii="Arial" w:hAnsi="Arial" w:cs="Arial"/>
        </w:rPr>
      </w:pPr>
      <w:r>
        <w:rPr>
          <w:rFonts w:cs="Arial" w:ascii="Arial" w:hAnsi="Arial"/>
        </w:rPr>
      </w:r>
      <w:bookmarkStart w:id="6" w:name="_Ref114668139"/>
      <w:bookmarkStart w:id="7" w:name="_Ref114668139"/>
    </w:p>
    <w:p>
      <w:pPr>
        <w:pStyle w:val="Normal"/>
        <w:jc w:val="both"/>
        <w:rPr>
          <w:rFonts w:ascii="Arial" w:hAnsi="Arial" w:cs="Arial"/>
        </w:rPr>
      </w:pPr>
      <w:r>
        <w:rPr>
          <w:rFonts w:cs="Arial" w:ascii="Arial" w:hAnsi="Arial"/>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ind w:left="284"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left="284" w:hanging="0"/>
        <w:jc w:val="both"/>
        <w:rPr>
          <w:rFonts w:ascii="Arial" w:hAnsi="Arial" w:cs="Arial"/>
        </w:rPr>
      </w:pPr>
      <w:r>
        <w:rPr>
          <w:rFonts w:cs="Arial" w:ascii="Arial" w:hAnsi="Arial"/>
        </w:rPr>
      </w:r>
      <w:bookmarkStart w:id="8" w:name="_Ref114668249"/>
      <w:bookmarkStart w:id="9" w:name="_Ref114668249"/>
    </w:p>
    <w:p>
      <w:pPr>
        <w:pStyle w:val="Normal"/>
        <w:numPr>
          <w:ilvl w:val="0"/>
          <w:numId w:val="1"/>
        </w:numPr>
        <w:ind w:left="0" w:hanging="0"/>
        <w:jc w:val="both"/>
        <w:rPr>
          <w:rFonts w:ascii="Arial" w:hAnsi="Arial" w:cs="Arial"/>
        </w:rPr>
      </w:pPr>
      <w:r>
        <w:rPr>
          <w:rFonts w:cs="Arial" w:ascii="Arial" w:hAnsi="Arial"/>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ind w:left="284" w:hanging="0"/>
        <w:jc w:val="both"/>
        <w:rPr>
          <w:rFonts w:ascii="Arial" w:hAnsi="Arial" w:cs="Arial"/>
        </w:rPr>
      </w:pPr>
      <w:r>
        <w:rPr>
          <w:rFonts w:cs="Arial" w:ascii="Arial" w:hAnsi="Arial"/>
        </w:rPr>
      </w:r>
      <w:bookmarkStart w:id="10" w:name="_Ref114668245"/>
      <w:bookmarkStart w:id="11" w:name="_Ref114668245"/>
    </w:p>
    <w:p>
      <w:pPr>
        <w:pStyle w:val="Normal"/>
        <w:numPr>
          <w:ilvl w:val="0"/>
          <w:numId w:val="1"/>
        </w:numPr>
        <w:ind w:left="0" w:hanging="0"/>
        <w:jc w:val="both"/>
        <w:rPr>
          <w:rFonts w:ascii="Arial" w:hAnsi="Arial" w:cs="Arial"/>
        </w:rPr>
      </w:pPr>
      <w:r>
        <w:rPr>
          <w:rFonts w:cs="Arial" w:ascii="Arial" w:hAnsi="Arial"/>
          <w:bCs/>
        </w:rPr>
        <w:t>9.1.5.</w:t>
      </w:r>
      <w:r>
        <w:rPr>
          <w:rFonts w:cs="Arial" w:ascii="Arial" w:hAnsi="Arial"/>
        </w:rPr>
        <w:t xml:space="preserve"> fraudar a licitação</w:t>
      </w:r>
      <w:bookmarkEnd w:id="11"/>
      <w:r>
        <w:rPr>
          <w:rFonts w:cs="Arial" w:ascii="Arial" w:hAnsi="Arial"/>
        </w:rPr>
        <w:t>;</w:t>
      </w:r>
    </w:p>
    <w:p>
      <w:pPr>
        <w:pStyle w:val="Normal"/>
        <w:numPr>
          <w:ilvl w:val="0"/>
          <w:numId w:val="1"/>
        </w:numPr>
        <w:ind w:left="284" w:hanging="0"/>
        <w:jc w:val="both"/>
        <w:rPr>
          <w:rFonts w:ascii="Arial" w:hAnsi="Arial" w:cs="Arial"/>
        </w:rPr>
      </w:pPr>
      <w:r>
        <w:rPr>
          <w:rFonts w:cs="Arial" w:ascii="Arial" w:hAnsi="Arial"/>
        </w:rPr>
      </w:r>
      <w:bookmarkStart w:id="12" w:name="_Ref114668247"/>
      <w:bookmarkStart w:id="13" w:name="_Ref114668247"/>
    </w:p>
    <w:p>
      <w:pPr>
        <w:pStyle w:val="Normal"/>
        <w:numPr>
          <w:ilvl w:val="0"/>
          <w:numId w:val="1"/>
        </w:numPr>
        <w:ind w:left="0" w:hanging="0"/>
        <w:jc w:val="both"/>
        <w:rPr>
          <w:rFonts w:ascii="Arial" w:hAnsi="Arial" w:cs="Arial"/>
        </w:rPr>
      </w:pPr>
      <w:r>
        <w:rPr>
          <w:rFonts w:cs="Arial" w:ascii="Arial" w:hAnsi="Arial"/>
          <w:bCs/>
        </w:rPr>
        <w:t>9.1.6.</w:t>
      </w:r>
      <w:r>
        <w:rPr>
          <w:rFonts w:cs="Arial" w:ascii="Arial" w:hAnsi="Arial"/>
        </w:rPr>
        <w:t xml:space="preserve"> comportar-se de modo inidôneo ou cometer fraude de qualquer natureza, em especial quando:</w:t>
      </w:r>
      <w:bookmarkEnd w:id="13"/>
    </w:p>
    <w:p>
      <w:pPr>
        <w:pStyle w:val="Normal"/>
        <w:numPr>
          <w:ilvl w:val="0"/>
          <w:numId w:val="1"/>
        </w:numPr>
        <w:ind w:left="284"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9.1.6.1.</w:t>
      </w:r>
      <w:r>
        <w:rPr>
          <w:rFonts w:cs="Arial" w:ascii="Arial" w:hAnsi="Arial"/>
        </w:rPr>
        <w:t xml:space="preserve"> agir em conluio ou em desconformidade com a lei; </w:t>
      </w:r>
    </w:p>
    <w:p>
      <w:pPr>
        <w:pStyle w:val="Normal"/>
        <w:numPr>
          <w:ilvl w:val="0"/>
          <w:numId w:val="1"/>
        </w:numPr>
        <w:ind w:left="426"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9.1.6.2.</w:t>
      </w:r>
      <w:r>
        <w:rPr>
          <w:rFonts w:cs="Arial" w:ascii="Arial" w:hAnsi="Arial"/>
        </w:rPr>
        <w:t xml:space="preserve"> induzir deliberadamente a erro no julgamento; </w:t>
      </w:r>
    </w:p>
    <w:p>
      <w:pPr>
        <w:pStyle w:val="Normal"/>
        <w:numPr>
          <w:ilvl w:val="0"/>
          <w:numId w:val="1"/>
        </w:numPr>
        <w:ind w:left="426" w:hanging="0"/>
        <w:jc w:val="both"/>
        <w:rPr>
          <w:rFonts w:ascii="Arial" w:hAnsi="Arial" w:cs="Arial"/>
        </w:rPr>
      </w:pPr>
      <w:r>
        <w:rPr>
          <w:rFonts w:cs="Arial" w:ascii="Arial" w:hAnsi="Arial"/>
        </w:rPr>
      </w:r>
    </w:p>
    <w:p>
      <w:pPr>
        <w:pStyle w:val="Normal"/>
        <w:jc w:val="both"/>
        <w:rPr>
          <w:rFonts w:ascii="Arial" w:hAnsi="Arial" w:cs="Arial"/>
        </w:rPr>
      </w:pPr>
      <w:r>
        <w:rPr>
          <w:rFonts w:cs="Arial" w:ascii="Arial" w:hAnsi="Arial"/>
          <w:bCs/>
        </w:rPr>
        <w:t>9.1.6.3.</w:t>
      </w:r>
      <w:r>
        <w:rPr>
          <w:rFonts w:cs="Arial" w:ascii="Arial" w:hAnsi="Arial"/>
        </w:rPr>
        <w:t xml:space="preserve"> apresentar amostra falsificada ou deteriorada; </w:t>
      </w:r>
    </w:p>
    <w:p>
      <w:pPr>
        <w:pStyle w:val="Normal"/>
        <w:numPr>
          <w:ilvl w:val="0"/>
          <w:numId w:val="1"/>
        </w:numPr>
        <w:ind w:left="284" w:hanging="0"/>
        <w:jc w:val="both"/>
        <w:rPr>
          <w:rFonts w:ascii="Arial" w:hAnsi="Arial" w:cs="Arial"/>
        </w:rPr>
      </w:pPr>
      <w:r>
        <w:rPr>
          <w:rFonts w:cs="Arial" w:ascii="Arial" w:hAnsi="Arial"/>
        </w:rPr>
      </w:r>
      <w:bookmarkStart w:id="14" w:name="_Ref114668251"/>
      <w:bookmarkStart w:id="15" w:name="_Ref114668251"/>
    </w:p>
    <w:p>
      <w:pPr>
        <w:pStyle w:val="Normal"/>
        <w:numPr>
          <w:ilvl w:val="0"/>
          <w:numId w:val="1"/>
        </w:numPr>
        <w:ind w:left="0" w:hanging="0"/>
        <w:jc w:val="both"/>
        <w:rPr>
          <w:rFonts w:ascii="Arial" w:hAnsi="Arial" w:cs="Arial"/>
        </w:rPr>
      </w:pPr>
      <w:r>
        <w:rPr>
          <w:rFonts w:cs="Arial" w:ascii="Arial" w:hAnsi="Arial"/>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ind w:left="0" w:hanging="0"/>
        <w:jc w:val="both"/>
        <w:rPr>
          <w:rFonts w:ascii="Arial" w:hAnsi="Arial" w:cs="Arial"/>
        </w:rPr>
      </w:pPr>
      <w:r>
        <w:rPr>
          <w:rFonts w:cs="Arial" w:ascii="Arial" w:hAnsi="Arial"/>
        </w:rPr>
      </w:r>
      <w:bookmarkStart w:id="16" w:name="_Ref114668252"/>
      <w:bookmarkStart w:id="17" w:name="_Ref114668252"/>
    </w:p>
    <w:p>
      <w:pPr>
        <w:pStyle w:val="Normal"/>
        <w:numPr>
          <w:ilvl w:val="0"/>
          <w:numId w:val="1"/>
        </w:numPr>
        <w:ind w:left="0" w:hanging="0"/>
        <w:jc w:val="both"/>
        <w:rPr>
          <w:rFonts w:ascii="Arial" w:hAnsi="Arial" w:cs="Arial"/>
        </w:rPr>
      </w:pPr>
      <w:r>
        <w:rPr>
          <w:rFonts w:cs="Arial" w:ascii="Arial" w:hAnsi="Arial"/>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2"/>
      <w:bookmarkEnd w:id="17"/>
    </w:p>
    <w:p>
      <w:pPr>
        <w:pStyle w:val="Normal"/>
        <w:numPr>
          <w:ilvl w:val="0"/>
          <w:numId w:val="1"/>
        </w:numPr>
        <w:ind w:left="0" w:hanging="432"/>
        <w:jc w:val="both"/>
        <w:rPr>
          <w:rFonts w:ascii="Arial" w:hAnsi="Arial" w:cs="Arial"/>
          <w:highlight w:val="yellow"/>
        </w:rPr>
      </w:pPr>
      <w:r>
        <w:rPr>
          <w:rFonts w:cs="Arial" w:ascii="Arial" w:hAnsi="Arial"/>
          <w:highlight w:val="yellow"/>
        </w:rPr>
      </w:r>
    </w:p>
    <w:p>
      <w:pPr>
        <w:pStyle w:val="Normal"/>
        <w:numPr>
          <w:ilvl w:val="0"/>
          <w:numId w:val="1"/>
        </w:numPr>
        <w:ind w:left="0" w:hanging="0"/>
        <w:jc w:val="both"/>
        <w:rPr>
          <w:rFonts w:ascii="Arial" w:hAnsi="Arial" w:cs="Arial"/>
        </w:rPr>
      </w:pPr>
      <w:r>
        <w:rPr>
          <w:rFonts w:cs="Arial" w:ascii="Arial" w:hAnsi="Arial"/>
          <w:bCs/>
        </w:rPr>
        <w:t>9.2.</w:t>
      </w:r>
      <w:r>
        <w:rPr>
          <w:rFonts w:cs="Arial" w:ascii="Arial" w:hAnsi="Arial"/>
          <w:b/>
          <w:bCs/>
        </w:rPr>
        <w:t xml:space="preserve"> </w:t>
      </w:r>
      <w:r>
        <w:rPr>
          <w:rFonts w:cs="Arial" w:ascii="Arial" w:hAnsi="Arial"/>
        </w:rPr>
        <w:t>O não cumprimento, por parte dos interessados, dos preços e condições constantes de sua coleta, acarretará as seguintes sanções:</w:t>
      </w:r>
    </w:p>
    <w:p>
      <w:pPr>
        <w:pStyle w:val="Normal"/>
        <w:numPr>
          <w:ilvl w:val="0"/>
          <w:numId w:val="1"/>
        </w:numPr>
        <w:ind w:left="0" w:hanging="432"/>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9.2.1</w:t>
      </w:r>
      <w:r>
        <w:rPr>
          <w:rFonts w:cs="Arial" w:ascii="Arial" w:hAnsi="Arial"/>
          <w:b/>
          <w:bCs/>
        </w:rPr>
        <w:t>.</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left="0"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9.2.2.</w:t>
      </w:r>
      <w:r>
        <w:rPr>
          <w:rFonts w:cs="Arial" w:ascii="Arial" w:hAnsi="Arial"/>
          <w:b/>
          <w:bCs/>
        </w:rPr>
        <w:t xml:space="preserve"> </w:t>
      </w:r>
      <w:r>
        <w:rPr>
          <w:rFonts w:cs="Arial" w:ascii="Arial" w:hAnsi="Arial"/>
        </w:rPr>
        <w:t>Pela inexecução parcial, multa de 10% (dez por cento) sobre o valor do empenho;</w:t>
      </w:r>
    </w:p>
    <w:p>
      <w:pPr>
        <w:pStyle w:val="Normal"/>
        <w:numPr>
          <w:ilvl w:val="0"/>
          <w:numId w:val="1"/>
        </w:numPr>
        <w:ind w:left="0"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9.2.3.</w:t>
      </w:r>
      <w:r>
        <w:rPr>
          <w:rFonts w:cs="Arial" w:ascii="Arial" w:hAnsi="Arial"/>
          <w:b/>
          <w:bCs/>
        </w:rPr>
        <w:t xml:space="preserve"> </w:t>
      </w:r>
      <w:r>
        <w:rPr>
          <w:rFonts w:cs="Arial" w:ascii="Arial" w:hAnsi="Arial"/>
        </w:rPr>
        <w:t>Pela inexecução total, multa de 20% (vinte por cento) sobre o valor do empenho;</w:t>
      </w:r>
    </w:p>
    <w:p>
      <w:pPr>
        <w:pStyle w:val="Normal"/>
        <w:numPr>
          <w:ilvl w:val="0"/>
          <w:numId w:val="1"/>
        </w:numPr>
        <w:ind w:left="0" w:hanging="0"/>
        <w:jc w:val="both"/>
        <w:rPr>
          <w:rFonts w:ascii="Arial" w:hAnsi="Arial" w:cs="Arial"/>
        </w:rPr>
      </w:pPr>
      <w:r>
        <w:rPr>
          <w:rFonts w:cs="Arial" w:ascii="Arial" w:hAnsi="Arial"/>
        </w:rPr>
      </w:r>
    </w:p>
    <w:p>
      <w:pPr>
        <w:pStyle w:val="Normal"/>
        <w:numPr>
          <w:ilvl w:val="0"/>
          <w:numId w:val="1"/>
        </w:numPr>
        <w:ind w:left="0" w:hanging="0"/>
        <w:jc w:val="both"/>
        <w:rPr>
          <w:rFonts w:ascii="Arial" w:hAnsi="Arial" w:cs="Arial"/>
        </w:rPr>
      </w:pPr>
      <w:r>
        <w:rPr>
          <w:rFonts w:cs="Arial" w:ascii="Arial" w:hAnsi="Arial"/>
          <w:bCs/>
        </w:rPr>
        <w:t>9.2.4.</w:t>
      </w:r>
      <w:r>
        <w:rPr>
          <w:rFonts w:cs="Arial" w:ascii="Arial" w:hAnsi="Arial"/>
          <w:b/>
          <w:bCs/>
        </w:rPr>
        <w:t xml:space="preserve"> </w:t>
      </w:r>
      <w:r>
        <w:rPr>
          <w:rFonts w:cs="Arial" w:ascii="Arial" w:hAnsi="Arial"/>
        </w:rPr>
        <w:t xml:space="preserve">Suspensão temporária da participação nas COLETAS ELETRÔNICAS DE PREÇOS, com o descredenciamento no Cadastro do </w:t>
      </w:r>
      <w:hyperlink r:id="rId6">
        <w:r>
          <w:rPr>
            <w:rStyle w:val="LinkdaInternet"/>
            <w:rFonts w:cs="Arial" w:ascii="Arial" w:hAnsi="Arial"/>
          </w:rPr>
          <w:t>www.bnc.org.br</w:t>
        </w:r>
      </w:hyperlink>
    </w:p>
    <w:p>
      <w:pPr>
        <w:pStyle w:val="Normal"/>
        <w:numPr>
          <w:ilvl w:val="0"/>
          <w:numId w:val="1"/>
        </w:numPr>
        <w:ind w:left="0" w:hanging="432"/>
        <w:jc w:val="both"/>
        <w:rPr>
          <w:rFonts w:ascii="Arial" w:hAnsi="Arial" w:cs="Arial"/>
          <w:b/>
          <w:b/>
          <w:bCs/>
        </w:rPr>
      </w:pPr>
      <w:r>
        <w:rPr>
          <w:rFonts w:cs="Arial" w:ascii="Arial" w:hAnsi="Arial"/>
          <w:b/>
          <w:bCs/>
        </w:rPr>
      </w:r>
    </w:p>
    <w:p>
      <w:pPr>
        <w:pStyle w:val="Normal"/>
        <w:numPr>
          <w:ilvl w:val="0"/>
          <w:numId w:val="1"/>
        </w:numPr>
        <w:ind w:left="0" w:hanging="0"/>
        <w:jc w:val="both"/>
        <w:rPr>
          <w:rFonts w:ascii="Arial" w:hAnsi="Arial" w:cs="Arial"/>
          <w:b/>
          <w:b/>
          <w:bCs/>
        </w:rPr>
      </w:pPr>
      <w:r>
        <w:rPr>
          <w:rFonts w:cs="Arial" w:ascii="Arial" w:hAnsi="Arial"/>
          <w:bCs/>
        </w:rPr>
        <w:t>9.3.</w:t>
      </w:r>
      <w:r>
        <w:rPr>
          <w:rFonts w:cs="Arial" w:ascii="Arial" w:hAnsi="Arial"/>
          <w:b/>
          <w:bCs/>
        </w:rPr>
        <w:t xml:space="preserve"> A aplicação das sanções previstas neste edital não exclui, em hipótese alguma, a obrigação de reparação integral dos danos causados.</w:t>
      </w:r>
    </w:p>
    <w:p>
      <w:pPr>
        <w:pStyle w:val="Normal"/>
        <w:numPr>
          <w:ilvl w:val="0"/>
          <w:numId w:val="1"/>
        </w:numPr>
        <w:ind w:left="0" w:firstLine="284"/>
        <w:jc w:val="center"/>
        <w:rPr>
          <w:rFonts w:ascii="Arial" w:hAnsi="Arial" w:cs="Arial"/>
          <w:highlight w:val="yellow"/>
        </w:rPr>
      </w:pPr>
      <w:r>
        <w:rPr>
          <w:rFonts w:cs="Arial" w:ascii="Arial" w:hAnsi="Arial"/>
          <w:highlight w:val="yellow"/>
        </w:rPr>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fals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4"/>
        <w:gridCol w:w="855"/>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44"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55"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p>
    <w:sectPr>
      <w:headerReference w:type="default" r:id="rId7"/>
      <w:footerReference w:type="default" r:id="rId8"/>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12">
          <wp:simplePos x="0" y="0"/>
          <wp:positionH relativeFrom="column">
            <wp:posOffset>-6985</wp:posOffset>
          </wp:positionH>
          <wp:positionV relativeFrom="paragraph">
            <wp:posOffset>-2540</wp:posOffset>
          </wp:positionV>
          <wp:extent cx="6306820" cy="601345"/>
          <wp:effectExtent l="0" t="0" r="0" b="0"/>
          <wp:wrapNone/>
          <wp:docPr id="2"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Dispensa Eletrônica nº  61/2024 -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11</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11</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3">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4"/>
    <w:lvlOverride w:ilvl="0">
      <w:startOverride w:val="1"/>
    </w:lvlOverride>
  </w:num>
  <w:num w:numId="27">
    <w:abstractNumId w:val="4"/>
  </w:num>
  <w:num w:numId="28">
    <w:abstractNumId w:val="4"/>
  </w:num>
  <w:num w:numId="29">
    <w:abstractNumId w:val="4"/>
  </w:num>
  <w:num w:numId="30">
    <w:abstractNumId w:val="4"/>
    <w:lvlOverride w:ilvl="0">
      <w:startOverride w:val="1"/>
    </w:lvlOverride>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bering>
</file>

<file path=word/settings.xml><?xml version="1.0" encoding="utf-8"?>
<w:settings xmlns:w="http://schemas.openxmlformats.org/wordprocessingml/2006/main">
  <w:zoom w:percent="100"/>
  <w:displayBackgroundShape/>
  <w:defaultTabStop w:val="709"/>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nc.org.br/" TargetMode="External"/><Relationship Id="rId3" Type="http://schemas.openxmlformats.org/officeDocument/2006/relationships/hyperlink" Target="mailto:compradireta@piracicaba.sp.gov.br" TargetMode="External"/><Relationship Id="rId4" Type="http://schemas.openxmlformats.org/officeDocument/2006/relationships/hyperlink" Target="http://www.bnc.org.br/" TargetMode="External"/><Relationship Id="rId5" Type="http://schemas.openxmlformats.org/officeDocument/2006/relationships/hyperlink" Target="http://www.bnc.org.br/" TargetMode="External"/><Relationship Id="rId6" Type="http://schemas.openxmlformats.org/officeDocument/2006/relationships/hyperlink" Target="http://www.bnc.org.br/"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http://purl.org/dc/terms/"/>
    <ds:schemaRef ds:uri="71763c0a-43a9-4215-9c1e-ac13867d38db"/>
    <ds:schemaRef ds:uri="http://schemas.openxmlformats.org/package/2006/metadata/core-properties"/>
    <ds:schemaRef ds:uri="http://schemas.microsoft.com/office/2006/documentManagement/typ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854C4F2-045E-4503-9E35-85FF10CEF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Application>LibreOffice/7.4.5.1$Windows_X86_64 LibreOffice_project/9c0871452b3918c1019dde9bfac75448afc4b57f</Application>
  <AppVersion>15.0000</AppVersion>
  <Pages>11</Pages>
  <Words>4503</Words>
  <Characters>26232</Characters>
  <CharactersWithSpaces>30565</CharactersWithSpaces>
  <Paragraphs>246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2023-10-27T14:01:00Z</dcterms:created>
  <dc:creator>Thiago Luiz Araujo Santos</dc:creator>
  <dc:description/>
  <dc:language>pt-BR</dc:language>
  <cp:lastModifiedBy/>
  <cp:lastPrinted>2023-08-30T16:56:00Z</cp:lastPrinted>
  <dcterms:modified xsi:type="dcterms:W3CDTF">2024-03-11T15:41:58Z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