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lang w:val="pt-BR"/>
        </w:rPr>
      </w:pPr>
      <w:r>
        <w:rPr>
          <w:b/>
          <w:sz w:val="20"/>
          <w:szCs w:val="20"/>
        </w:rPr>
        <w:t xml:space="preserve">EDITAL DE PREGÃO ELETRÔNICO </w:t>
      </w:r>
      <w:r>
        <w:rPr>
          <w:b/>
          <w:sz w:val="20"/>
          <w:szCs w:val="20"/>
          <w:lang w:val="pt-BR"/>
        </w:rPr>
        <w:t xml:space="preserve">nº </w:t>
      </w:r>
      <w:r>
        <w:rPr>
          <w:b/>
          <w:sz w:val="20"/>
          <w:szCs w:val="20"/>
          <w:lang w:val="pt-BR"/>
        </w:rPr>
        <w:t>32/2025</w:t>
      </w:r>
      <w:r>
        <w:rPr>
          <w:b/>
          <w:sz w:val="20"/>
          <w:szCs w:val="20"/>
        </w:rPr>
        <w:t xml:space="preserve"> </w:t>
      </w:r>
    </w:p>
    <w:p>
      <w:pPr>
        <w:pStyle w:val="BodyTextIndent"/>
        <w:widowControl w:val="false"/>
        <w:overflowPunct w:val="false"/>
        <w:spacing w:lineRule="auto" w:line="240"/>
        <w:rPr>
          <w:b/>
          <w:sz w:val="20"/>
          <w:szCs w:val="20"/>
          <w:lang w:val="pt-BR"/>
        </w:rPr>
      </w:pPr>
      <w:r>
        <w:rPr>
          <w:b/>
          <w:sz w:val="20"/>
          <w:szCs w:val="20"/>
          <w:lang w:val="pt-BR"/>
        </w:rPr>
      </w:r>
    </w:p>
    <w:p>
      <w:pPr>
        <w:pStyle w:val="BodyTextIndent"/>
        <w:widowControl w:val="false"/>
        <w:overflowPunct w:val="false"/>
        <w:spacing w:lineRule="auto" w:line="240"/>
        <w:jc w:val="center"/>
        <w:rPr>
          <w:b/>
          <w:sz w:val="20"/>
          <w:szCs w:val="20"/>
          <w:lang w:val="pt-BR"/>
        </w:rPr>
      </w:pPr>
      <w:r>
        <w:rPr>
          <w:b/>
          <w:sz w:val="20"/>
          <w:szCs w:val="20"/>
          <w:lang w:val="pt-BR"/>
        </w:rPr>
        <w:t>TERMO DE REFERÊNCIA</w:t>
      </w:r>
    </w:p>
    <w:p>
      <w:pPr>
        <w:pStyle w:val="BodyTextIndent"/>
        <w:widowControl w:val="false"/>
        <w:overflowPunct w:val="false"/>
        <w:spacing w:lineRule="auto" w:line="240"/>
        <w:rPr>
          <w:b/>
          <w:sz w:val="20"/>
          <w:szCs w:val="20"/>
          <w:lang w:val="pt-BR"/>
        </w:rPr>
      </w:pPr>
      <w:r>
        <w:rPr>
          <w:b/>
          <w:sz w:val="20"/>
          <w:szCs w:val="20"/>
          <w:lang w:val="pt-BR"/>
        </w:rPr>
      </w:r>
    </w:p>
    <w:p>
      <w:pPr>
        <w:pStyle w:val="BodyTextIndent"/>
        <w:widowControl w:val="false"/>
        <w:shd w:val="clear" w:color="auto" w:fill="DDDDDD"/>
        <w:overflowPunct w:val="false"/>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6"/>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32.250/2025</w:t>
      </w:r>
    </w:p>
    <w:p>
      <w:pPr>
        <w:pStyle w:val="BodyTextIndent"/>
        <w:widowControl w:val="false"/>
        <w:numPr>
          <w:ilvl w:val="0"/>
          <w:numId w:val="6"/>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09/04/2025</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6"/>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09/04/2025</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6"/>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37"/>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Locação de Estruturas tubulares (arquibancadas) para o espetáculo “Paixão de Cristo”</w:t>
      </w:r>
    </w:p>
    <w:p>
      <w:pPr>
        <w:pStyle w:val="Normal"/>
        <w:numPr>
          <w:ilvl w:val="0"/>
          <w:numId w:val="38"/>
        </w:numPr>
        <w:tabs>
          <w:tab w:val="clear" w:pos="709"/>
          <w:tab w:val="left" w:pos="284" w:leader="none"/>
        </w:tabs>
        <w:jc w:val="both"/>
        <w:rPr>
          <w:rFonts w:ascii="Arial" w:hAnsi="Arial" w:cs="Arial"/>
        </w:rPr>
      </w:pPr>
      <w:r>
        <w:rPr>
          <w:rFonts w:cs="Arial" w:ascii="Arial" w:hAnsi="Arial"/>
        </w:rPr>
        <w:t>Unidade Requisitante: Secretaria Municipal de Cultura</w:t>
      </w:r>
    </w:p>
    <w:p>
      <w:pPr>
        <w:pStyle w:val="Normal"/>
        <w:numPr>
          <w:ilvl w:val="0"/>
          <w:numId w:val="39"/>
        </w:numPr>
        <w:tabs>
          <w:tab w:val="clear" w:pos="709"/>
          <w:tab w:val="left" w:pos="284" w:leader="none"/>
        </w:tabs>
        <w:jc w:val="both"/>
        <w:rPr>
          <w:rFonts w:ascii="Arial" w:hAnsi="Arial" w:cs="Arial"/>
        </w:rPr>
      </w:pPr>
      <w:r>
        <w:rPr>
          <w:rFonts w:cs="Arial" w:ascii="Arial" w:hAnsi="Arial"/>
        </w:rPr>
        <w:t>Fonte de recursos: 1 12011 13.392.0021.2118.0000 339039 0101011000</w:t>
      </w:r>
    </w:p>
    <w:p>
      <w:pPr>
        <w:pStyle w:val="Normal"/>
        <w:numPr>
          <w:ilvl w:val="0"/>
          <w:numId w:val="40"/>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R$ 271.666,67 </w:t>
      </w:r>
      <w:r>
        <w:rPr>
          <w:rFonts w:cs="Arial" w:ascii="Arial" w:hAnsi="Arial"/>
        </w:rPr>
        <w:t xml:space="preserve">(Duzentos e setenta e um mil, seiscentos e sessenta e seis Reais e sessenta e sete centavos); </w:t>
      </w:r>
    </w:p>
    <w:p>
      <w:pPr>
        <w:pStyle w:val="Normal"/>
        <w:numPr>
          <w:ilvl w:val="0"/>
          <w:numId w:val="41"/>
        </w:numPr>
        <w:tabs>
          <w:tab w:val="clear" w:pos="709"/>
          <w:tab w:val="left" w:pos="284" w:leader="none"/>
        </w:tabs>
        <w:jc w:val="both"/>
        <w:rPr>
          <w:rFonts w:ascii="Arial" w:hAnsi="Arial" w:cs="Arial"/>
          <w:color w:themeColor="accent1" w:val="4472C4"/>
        </w:rPr>
      </w:pPr>
      <w:r>
        <w:rPr>
          <w:rFonts w:cs="Arial" w:ascii="Arial" w:hAnsi="Arial"/>
        </w:rPr>
        <w:t>Prazo de vigência do contrato: Até o término dos serviços.</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7"/>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7"/>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Prazo de validade: </w:t>
      </w:r>
      <w:r>
        <w:rPr>
          <w:rFonts w:cs="Arial" w:ascii="Arial" w:hAnsi="Arial"/>
          <w:b/>
        </w:rPr>
        <w:t>90 (noventa) dias</w:t>
      </w:r>
      <w:r>
        <w:rPr>
          <w:rFonts w:cs="Arial" w:ascii="Arial" w:hAnsi="Arial"/>
        </w:rPr>
        <w:t>;</w:t>
      </w:r>
    </w:p>
    <w:p>
      <w:pPr>
        <w:pStyle w:val="Normal"/>
        <w:numPr>
          <w:ilvl w:val="0"/>
          <w:numId w:val="4"/>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false"/>
              <w:spacing w:lineRule="auto" w:line="276" w:beforeAutospacing="1" w:after="0"/>
              <w:jc w:val="both"/>
              <w:rPr>
                <w:rFonts w:ascii="Arial" w:hAnsi="Arial" w:cs="Arial"/>
              </w:rPr>
            </w:pPr>
            <w:r>
              <w:rPr>
                <w:rFonts w:cs="Arial" w:ascii="Arial" w:hAnsi="Arial"/>
                <w:color w:val="000000"/>
                <w:kern w:val="0"/>
                <w:lang w:eastAsia="pt-BR"/>
              </w:rPr>
              <w:t>Locação de estrutura, montagem, fixação, nivelamento e encunhamento de arquibancada em estrutura metálica tubular autoportante/monolítica</w:t>
            </w:r>
            <w:r>
              <w:rPr>
                <w:rFonts w:cs="Arial" w:ascii="Arial" w:hAnsi="Arial"/>
                <w:color w:val="000000"/>
                <w:kern w:val="0"/>
                <w:sz w:val="22"/>
                <w:szCs w:val="22"/>
                <w:lang w:eastAsia="pt-BR"/>
              </w:rPr>
              <w:t>.</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Descritivo técnico:</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color w:val="000000"/>
          <w:kern w:val="0"/>
          <w:lang w:eastAsia="pt-BR"/>
        </w:rPr>
        <w:t xml:space="preserve">- </w:t>
      </w:r>
      <w:r>
        <w:rPr>
          <w:rFonts w:cs="Arial" w:ascii="Arial" w:hAnsi="Arial"/>
          <w:color w:val="000000"/>
          <w:kern w:val="0"/>
          <w:sz w:val="20"/>
          <w:szCs w:val="20"/>
          <w:lang w:eastAsia="pt-BR"/>
        </w:rPr>
        <w:t>Locação de estrutura, montagem, fixação, nivelamento e encunhamento de arquibancada em estrutura metálica tubular autoportante/monolítica com capacidade para 2.300 lugares para acomodação do público durante o Espetáculo “Paixão de Cristo”, a ser realizado de 16 à 20 de Abril 2025, no Parque do Engenho Central.</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Contratação de empresa prestadora de serviços de engenharia, especializada em fornecimento, montagem e operacionalização de estruturas metálicas tubulares, para o evento cultural municipal denominado “Paixão de Cristo de Piracicaba – 2025”.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Caberá à contratada o total e pleno fornecimento, montagem e total operacionalização da mesma antes/durante/depois do referido evento.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Fornecimento de todo e qualquer material e equipe necessária para a prestação de serviços aqui objetivada.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Fornecimento de transporte total das respectivas estruturas necessárias a serem fornecidas (cabe a contratada a realização de estudo, viabilização e operacionalização de acesso para transporte total das estruturas, bem como carga e descarga – sendo as mesmas mecanizadas ou manual, nos locais indicados pelos gestores do espetáculo).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Execução de montagem e desmontagem total das estruturas tubulares ou não – mecanizada ou manual (cabe a empresa contratada após a desmontagem e desmobilização, deixar o local da mesma forma que encontrou, de maneira a garantir a total limpeza, não deixando restos de materiais pertinentes à estrutura ora desmontada).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A contratada será responsável pela quitação e fornecimento de todas as guias pagas aos gestores do espetáculo, toda e qualquer tipo de taxa de mobilização e desmobilização, locação das estruturas, nivelamento, encunhamentos, engastamento, reforço, estudo, projeto.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Caberá a contratada a instalação de luzes de emergência e de acesso (em conformidade com o projeto de bombeiro).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 Caberá a contratada a execução do total aterramento das estruturas metálicas, bem como a execução de para raios em quantidades a serem dimensionadas pela contratada que assegure a plena e total segurança dos usuários do evento. </w:t>
      </w:r>
    </w:p>
    <w:p>
      <w:pPr>
        <w:pStyle w:val="ListParagraph"/>
        <w:suppressAutoHyphens w:val="false"/>
        <w:spacing w:lineRule="auto" w:line="360" w:before="113" w:after="113"/>
        <w:ind w:left="0"/>
        <w:jc w:val="both"/>
        <w:rPr>
          <w:rFonts w:ascii="Arial" w:hAnsi="Arial" w:cs="Arial"/>
          <w:color w:val="000000"/>
          <w:kern w:val="0"/>
          <w:sz w:val="20"/>
          <w:szCs w:val="20"/>
          <w:lang w:eastAsia="pt-BR"/>
        </w:rPr>
      </w:pPr>
      <w:r>
        <w:rPr>
          <w:rFonts w:cs="Arial" w:ascii="Arial" w:hAnsi="Arial"/>
          <w:b/>
          <w:bCs/>
          <w:color w:val="000000"/>
          <w:kern w:val="0"/>
          <w:sz w:val="20"/>
          <w:szCs w:val="20"/>
          <w:lang w:eastAsia="pt-BR"/>
        </w:rPr>
        <w:t>- Especificações técnicas dos serviços: conforme anexo A deste termo.</w:t>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SUBCONTRATAÇÃO</w:t>
      </w:r>
    </w:p>
    <w:p>
      <w:pPr>
        <w:pStyle w:val="Normal"/>
        <w:jc w:val="both"/>
        <w:rPr>
          <w:rFonts w:ascii="Arial" w:hAnsi="Arial" w:cs="Arial"/>
        </w:rPr>
      </w:pPr>
      <w:r>
        <w:rPr>
          <w:rFonts w:cs="Arial" w:ascii="Arial" w:hAnsi="Arial"/>
          <w:b/>
        </w:rPr>
        <w:t xml:space="preserve">a) </w:t>
      </w:r>
      <w:r>
        <w:rPr>
          <w:rFonts w:cs="Arial" w:ascii="Arial" w:hAnsi="Arial"/>
        </w:rPr>
        <w:t>Não é admitida a subcontratação do objeto contratual.</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Normal"/>
        <w:suppressAutoHyphens w:val="false"/>
        <w:spacing w:lineRule="auto" w:line="360" w:before="113" w:after="113"/>
        <w:jc w:val="both"/>
        <w:rPr>
          <w:rFonts w:ascii="Arial" w:hAnsi="Arial" w:cs="Arial"/>
          <w:color w:val="000000"/>
          <w:kern w:val="0"/>
          <w:lang w:eastAsia="pt-BR"/>
        </w:rPr>
      </w:pPr>
      <w:r>
        <w:rPr>
          <w:rFonts w:cs="Arial" w:ascii="Arial" w:hAnsi="Arial"/>
          <w:b/>
          <w:color w:val="000000"/>
          <w:kern w:val="0"/>
          <w:lang w:eastAsia="pt-BR"/>
        </w:rPr>
        <w:t xml:space="preserve">a) </w:t>
      </w:r>
      <w:r>
        <w:rPr>
          <w:rFonts w:cs="Arial" w:ascii="Arial" w:hAnsi="Arial"/>
          <w:color w:val="000000"/>
          <w:kern w:val="0"/>
          <w:lang w:eastAsia="pt-BR"/>
        </w:rPr>
        <w:t>Prazo da execução dos serviços:</w:t>
      </w:r>
    </w:p>
    <w:p>
      <w:pPr>
        <w:pStyle w:val="Normal"/>
        <w:numPr>
          <w:ilvl w:val="1"/>
          <w:numId w:val="13"/>
        </w:numPr>
        <w:suppressAutoHyphens w:val="false"/>
        <w:spacing w:lineRule="auto" w:line="360" w:before="113" w:after="113"/>
        <w:jc w:val="both"/>
        <w:rPr>
          <w:rFonts w:ascii="Arial" w:hAnsi="Arial" w:cs="Arial"/>
          <w:b/>
          <w:color w:val="000000"/>
          <w:kern w:val="0"/>
          <w:lang w:eastAsia="pt-BR"/>
        </w:rPr>
      </w:pPr>
      <w:r>
        <w:rPr>
          <w:rFonts w:cs="Arial" w:ascii="Arial" w:hAnsi="Arial"/>
          <w:b/>
          <w:color w:val="000000"/>
          <w:kern w:val="0"/>
          <w:lang w:eastAsia="pt-BR"/>
        </w:rPr>
        <w:t>Período de montagem: 07/04/2025 a 14/04/2025.</w:t>
      </w:r>
    </w:p>
    <w:p>
      <w:pPr>
        <w:pStyle w:val="Normal"/>
        <w:numPr>
          <w:ilvl w:val="1"/>
          <w:numId w:val="13"/>
        </w:numPr>
        <w:suppressAutoHyphens w:val="false"/>
        <w:spacing w:lineRule="auto" w:line="360" w:before="113" w:after="113"/>
        <w:jc w:val="both"/>
        <w:rPr>
          <w:rFonts w:ascii="Arial" w:hAnsi="Arial" w:cs="Arial"/>
          <w:b/>
          <w:color w:val="000000"/>
          <w:kern w:val="0"/>
          <w:lang w:eastAsia="pt-BR"/>
        </w:rPr>
      </w:pPr>
      <w:r>
        <w:rPr>
          <w:rFonts w:cs="Arial" w:ascii="Arial" w:hAnsi="Arial"/>
          <w:b/>
          <w:color w:val="000000"/>
          <w:kern w:val="0"/>
          <w:lang w:eastAsia="pt-BR"/>
        </w:rPr>
        <w:t>Entrega da montagem: 14/04/2025.</w:t>
      </w:r>
    </w:p>
    <w:p>
      <w:pPr>
        <w:pStyle w:val="Normal"/>
        <w:numPr>
          <w:ilvl w:val="1"/>
          <w:numId w:val="13"/>
        </w:numPr>
        <w:suppressAutoHyphens w:val="false"/>
        <w:spacing w:lineRule="auto" w:line="360" w:before="113" w:after="113"/>
        <w:jc w:val="both"/>
        <w:rPr>
          <w:rFonts w:ascii="Arial" w:hAnsi="Arial" w:cs="Arial"/>
          <w:b/>
          <w:color w:val="000000"/>
          <w:kern w:val="0"/>
          <w:lang w:eastAsia="pt-BR"/>
        </w:rPr>
      </w:pPr>
      <w:r>
        <w:rPr>
          <w:rFonts w:cs="Arial" w:ascii="Arial" w:hAnsi="Arial"/>
          <w:b/>
          <w:color w:val="000000"/>
          <w:kern w:val="0"/>
          <w:lang w:eastAsia="pt-BR"/>
        </w:rPr>
        <w:t>Desmontagem: 22/04/2025 a 25/04/2025.</w:t>
      </w:r>
    </w:p>
    <w:p>
      <w:pPr>
        <w:pStyle w:val="Normal"/>
        <w:suppressAutoHyphens w:val="false"/>
        <w:spacing w:lineRule="auto" w:line="360" w:before="113" w:after="113"/>
        <w:jc w:val="both"/>
        <w:rPr>
          <w:rFonts w:ascii="Arial" w:hAnsi="Arial" w:cs="Arial"/>
          <w:color w:val="000000"/>
          <w:kern w:val="0"/>
          <w:lang w:eastAsia="pt-BR"/>
        </w:rPr>
      </w:pPr>
      <w:r>
        <w:rPr>
          <w:rFonts w:cs="Arial" w:ascii="Arial" w:hAnsi="Arial"/>
          <w:b/>
          <w:color w:val="000000"/>
          <w:kern w:val="0"/>
          <w:lang w:eastAsia="pt-BR"/>
        </w:rPr>
        <w:t xml:space="preserve">b) </w:t>
      </w:r>
      <w:r>
        <w:rPr>
          <w:rFonts w:cs="Arial" w:ascii="Arial" w:hAnsi="Arial"/>
          <w:color w:val="000000"/>
          <w:kern w:val="0"/>
          <w:lang w:eastAsia="pt-BR"/>
        </w:rPr>
        <w:t>Local para entrega dos serviços: Pq. Engenho Central – Av. Maurice Alain, 454, Vila Rezende.</w:t>
      </w:r>
    </w:p>
    <w:p>
      <w:pPr>
        <w:pStyle w:val="Normal"/>
        <w:suppressAutoHyphens w:val="false"/>
        <w:spacing w:lineRule="auto" w:line="360" w:before="113" w:after="113"/>
        <w:jc w:val="both"/>
        <w:rPr>
          <w:rFonts w:ascii="Arial" w:hAnsi="Arial" w:cs="Arial"/>
          <w:color w:val="000000"/>
          <w:kern w:val="0"/>
          <w:lang w:eastAsia="pt-BR"/>
        </w:rPr>
      </w:pPr>
      <w:r>
        <w:rPr>
          <w:rFonts w:cs="Arial" w:ascii="Arial" w:hAnsi="Arial"/>
          <w:b/>
          <w:color w:val="000000"/>
          <w:kern w:val="0"/>
          <w:lang w:eastAsia="pt-BR"/>
        </w:rPr>
        <w:t xml:space="preserve">c) </w:t>
      </w:r>
      <w:r>
        <w:rPr>
          <w:rFonts w:cs="Arial" w:ascii="Arial" w:hAnsi="Arial"/>
          <w:color w:val="000000"/>
          <w:kern w:val="0"/>
          <w:lang w:eastAsia="pt-BR"/>
        </w:rPr>
        <w:t>Posteriormente a assinatura do contrato e como condição para a emissão da Ordem de Serviço, a CONTRATADA deverá apresentar as Anotações de Responsabilidade Técnica (ART), dos Responsáveis Técnicos com atribuições certificadas pelo CREA:</w:t>
      </w:r>
    </w:p>
    <w:p>
      <w:pPr>
        <w:pStyle w:val="Normal"/>
        <w:numPr>
          <w:ilvl w:val="0"/>
          <w:numId w:val="14"/>
        </w:numPr>
        <w:suppressAutoHyphens w:val="false"/>
        <w:spacing w:lineRule="auto" w:line="360" w:before="113" w:after="113"/>
        <w:jc w:val="both"/>
        <w:rPr>
          <w:rFonts w:ascii="Arial" w:hAnsi="Arial" w:cs="Arial"/>
          <w:color w:val="000000"/>
          <w:kern w:val="0"/>
          <w:lang w:eastAsia="pt-BR"/>
        </w:rPr>
      </w:pPr>
      <w:r>
        <w:rPr>
          <w:rFonts w:cs="Arial" w:ascii="Arial" w:hAnsi="Arial"/>
          <w:color w:val="000000"/>
          <w:kern w:val="0"/>
          <w:lang w:eastAsia="pt-BR"/>
        </w:rPr>
        <w:t>Sistema de proteção individual contra quedas (SPIQ) Atribuição: Eng.º Civil e/ou Eng.º Mecânico.</w:t>
      </w:r>
    </w:p>
    <w:p>
      <w:pPr>
        <w:pStyle w:val="Normal"/>
        <w:numPr>
          <w:ilvl w:val="0"/>
          <w:numId w:val="14"/>
        </w:numPr>
        <w:suppressAutoHyphens w:val="false"/>
        <w:spacing w:lineRule="auto" w:line="360" w:before="113" w:after="113"/>
        <w:jc w:val="both"/>
        <w:rPr>
          <w:rFonts w:ascii="Arial" w:hAnsi="Arial" w:cs="Arial"/>
          <w:color w:val="000000"/>
          <w:kern w:val="0"/>
          <w:lang w:eastAsia="pt-BR"/>
        </w:rPr>
      </w:pPr>
      <w:r>
        <w:rPr>
          <w:rFonts w:cs="Arial" w:ascii="Arial" w:hAnsi="Arial"/>
          <w:color w:val="000000"/>
          <w:kern w:val="0"/>
          <w:lang w:eastAsia="pt-BR"/>
        </w:rPr>
        <w:t>Arquibancadas (Estruturas Metálicas) – Atribuição: Eng.º Civil e/ou Eng.º Mecânico;</w:t>
      </w:r>
    </w:p>
    <w:p>
      <w:pPr>
        <w:pStyle w:val="Normal"/>
        <w:numPr>
          <w:ilvl w:val="0"/>
          <w:numId w:val="14"/>
        </w:numPr>
        <w:suppressAutoHyphens w:val="false"/>
        <w:spacing w:lineRule="auto" w:line="360" w:before="113" w:after="113"/>
        <w:jc w:val="both"/>
        <w:rPr>
          <w:rFonts w:ascii="Arial" w:hAnsi="Arial" w:cs="Arial"/>
          <w:color w:val="000000"/>
          <w:kern w:val="0"/>
          <w:lang w:eastAsia="pt-BR"/>
        </w:rPr>
      </w:pPr>
      <w:r>
        <w:rPr>
          <w:rFonts w:cs="Arial" w:ascii="Arial" w:hAnsi="Arial"/>
          <w:color w:val="000000"/>
          <w:kern w:val="0"/>
          <w:lang w:eastAsia="pt-BR"/>
        </w:rPr>
        <w:t>Elétrica (Quadros (Média e Baixa Tensão) / Distribuição de Iluminação e Som / SPDA) - Atribuição: Eng.º Eletricista ou Eletrotécnico.</w:t>
      </w:r>
    </w:p>
    <w:p>
      <w:pPr>
        <w:pStyle w:val="Normal"/>
        <w:numPr>
          <w:ilvl w:val="0"/>
          <w:numId w:val="14"/>
        </w:numPr>
        <w:suppressAutoHyphens w:val="false"/>
        <w:spacing w:lineRule="auto" w:line="360" w:before="113" w:after="113"/>
        <w:jc w:val="both"/>
        <w:rPr>
          <w:rFonts w:ascii="Arial" w:hAnsi="Arial" w:cs="Arial"/>
          <w:color w:val="000000"/>
          <w:kern w:val="0"/>
          <w:lang w:eastAsia="pt-BR"/>
        </w:rPr>
      </w:pPr>
      <w:r>
        <w:rPr>
          <w:rFonts w:cs="Arial" w:ascii="Arial" w:hAnsi="Arial"/>
          <w:color w:val="000000"/>
          <w:kern w:val="0"/>
          <w:lang w:eastAsia="pt-BR"/>
        </w:rPr>
        <w:t>Laudo De Combustão Da Tenda – Atribuição: Eng.º Civil e/ou Eng.º Mecânico.</w:t>
      </w:r>
    </w:p>
    <w:p>
      <w:pPr>
        <w:pStyle w:val="Normal"/>
        <w:suppressAutoHyphens w:val="false"/>
        <w:spacing w:lineRule="auto" w:line="360" w:before="113" w:after="113"/>
        <w:jc w:val="both"/>
        <w:rPr>
          <w:rFonts w:ascii="Arial" w:hAnsi="Arial" w:cs="Arial"/>
        </w:rPr>
      </w:pPr>
      <w:r>
        <w:rPr>
          <w:rFonts w:cs="Arial" w:ascii="Arial" w:hAnsi="Arial"/>
          <w:b/>
          <w:color w:val="000000"/>
          <w:kern w:val="0"/>
          <w:lang w:eastAsia="pt-BR"/>
        </w:rPr>
        <w:t>d)</w:t>
      </w:r>
      <w:r>
        <w:rPr>
          <w:rFonts w:cs="Arial" w:ascii="Arial" w:hAnsi="Arial"/>
        </w:rPr>
        <w:t xml:space="preserve"> 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3">
        <w:r>
          <w:rPr>
            <w:rStyle w:val="Hyperlink"/>
            <w:rFonts w:cs="Arial" w:ascii="Arial" w:hAnsi="Arial"/>
          </w:rPr>
          <w:t>https://piracicaba.sp.gov.br/wp-content/uploads/2024/07/Tutorial-Memorial-de-Segurantha-no-Sem-Papel.pdf</w:t>
        </w:r>
      </w:hyperlink>
      <w:r>
        <w:rPr>
          <w:rFonts w:cs="Arial" w:ascii="Arial" w:hAnsi="Arial"/>
        </w:rPr>
        <w:t>, para assegurar a plena execução do contrato.</w:t>
      </w:r>
    </w:p>
    <w:p>
      <w:pPr>
        <w:pStyle w:val="Normal"/>
        <w:suppressAutoHyphens w:val="false"/>
        <w:spacing w:lineRule="auto" w:line="360" w:before="113" w:after="113"/>
        <w:jc w:val="both"/>
        <w:rPr>
          <w:rStyle w:val="Fontepargpadro1"/>
          <w:rFonts w:ascii="Arial" w:hAnsi="Arial" w:cs="Arial"/>
        </w:rPr>
      </w:pPr>
      <w:r>
        <w:rPr>
          <w:rFonts w:cs="Arial" w:ascii="Arial" w:hAnsi="Arial"/>
          <w:b/>
        </w:rPr>
        <w:t xml:space="preserve">e) </w:t>
      </w:r>
      <w:r>
        <w:rPr>
          <w:rStyle w:val="Fontepargpadro1"/>
          <w:rFonts w:cs="Arial" w:ascii="Arial" w:hAnsi="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pPr>
        <w:pStyle w:val="Normal"/>
        <w:shd w:val="clear" w:color="auto" w:fill="CCCCCC"/>
        <w:ind w:firstLine="561"/>
        <w:rPr>
          <w:rFonts w:ascii="Arial" w:hAnsi="Arial" w:cs="Arial"/>
        </w:rPr>
      </w:pPr>
      <w:r>
        <w:rPr>
          <w:rFonts w:cs="Arial" w:ascii="Arial" w:hAnsi="Arial"/>
          <w:b/>
          <w:bCs/>
        </w:rPr>
        <w:t>7. DA  ASSISTÊNCIA TÉCNICA</w:t>
      </w:r>
    </w:p>
    <w:p>
      <w:pPr>
        <w:pStyle w:val="Normal"/>
        <w:tabs>
          <w:tab w:val="clear" w:pos="709"/>
          <w:tab w:val="left" w:pos="284" w:leader="none"/>
        </w:tabs>
        <w:jc w:val="both"/>
        <w:rPr>
          <w:rFonts w:ascii="Arial" w:hAnsi="Arial" w:cs="Arial"/>
        </w:rPr>
      </w:pPr>
      <w:r>
        <w:rPr>
          <w:rFonts w:cs="Arial" w:ascii="Arial" w:hAnsi="Arial"/>
          <w:b/>
        </w:rPr>
        <w:t xml:space="preserve">a) </w:t>
      </w:r>
      <w:r>
        <w:rPr>
          <w:rFonts w:cs="Arial" w:ascii="Arial" w:hAnsi="Arial"/>
        </w:rPr>
        <w:t>A Empresa CONTRATADA, durante todo o período do contrato deverá garantir a prestação dos serviços de Assistência Técnica a CONTRATANTE, para solucionar qualquer falha ou deficiência nas Estruturas Tubulares, necessárias à realização do evento “Paixão de Cristo de Piracicaba – 2025”.</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rPr>
        <w:t xml:space="preserve">b) </w:t>
      </w:r>
      <w:r>
        <w:rPr>
          <w:rFonts w:cs="Arial" w:ascii="Arial" w:hAnsi="Arial"/>
        </w:rPr>
        <w:t>Estes eventuais atendimentos deverão ser providenciados pela Empresa CONTRATADA sempre em caráter de emergência, com o atendimento de cada chamado num prazo máximo de 24 (vinte e quatro) horas, contadas a partir da oficialização desta necessidade.</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rPr>
        <w:t xml:space="preserve">c) </w:t>
      </w:r>
      <w:r>
        <w:rPr>
          <w:rFonts w:cs="Arial" w:ascii="Arial" w:hAnsi="Arial"/>
        </w:rPr>
        <w:t>Todo e qualquer custo e / ou despesa decorrente destes atendimentos, correrão por conta e risco exclusivo da Empresa CONTRATADA, não cabendo nenhuma remuneração ou complementação de pagamento decorrente de tais atendimentos.</w:t>
      </w:r>
    </w:p>
    <w:p>
      <w:pPr>
        <w:pStyle w:val="Normal"/>
        <w:tabs>
          <w:tab w:val="clear" w:pos="709"/>
          <w:tab w:val="left" w:pos="284" w:leader="none"/>
        </w:tabs>
        <w:jc w:val="both"/>
        <w:rPr>
          <w:rFonts w:ascii="Arial" w:hAnsi="Arial" w:cs="Arial"/>
        </w:rPr>
      </w:pPr>
      <w:r>
        <w:rPr>
          <w:rFonts w:cs="Arial" w:ascii="Arial" w:hAnsi="Arial"/>
        </w:rPr>
      </w:r>
    </w:p>
    <w:p>
      <w:pPr>
        <w:pStyle w:val="ListParagraph"/>
        <w:numPr>
          <w:ilvl w:val="0"/>
          <w:numId w:val="35"/>
        </w:numPr>
        <w:tabs>
          <w:tab w:val="clear" w:pos="709"/>
          <w:tab w:val="left" w:pos="284" w:leader="none"/>
        </w:tabs>
        <w:jc w:val="both"/>
        <w:rPr>
          <w:rFonts w:ascii="Arial" w:hAnsi="Arial" w:cs="Arial"/>
          <w:sz w:val="20"/>
          <w:szCs w:val="20"/>
        </w:rPr>
      </w:pPr>
      <w:r>
        <w:rPr>
          <w:rFonts w:cs="Arial" w:ascii="Arial" w:hAnsi="Arial"/>
          <w:sz w:val="20"/>
          <w:szCs w:val="20"/>
        </w:rPr>
        <w:t>Independentemente de qualquer anotação nestas especificações, não será admitida nenhuma interferência dos serviços de Assistência Técnica com as atividades inerentes à realização do evento “Paixão de Cristo de Piracicaba – 2025”.</w:t>
      </w:r>
    </w:p>
    <w:p>
      <w:pPr>
        <w:pStyle w:val="ListParagraph"/>
        <w:numPr>
          <w:ilvl w:val="0"/>
          <w:numId w:val="35"/>
        </w:numPr>
        <w:tabs>
          <w:tab w:val="clear" w:pos="709"/>
          <w:tab w:val="left" w:pos="284" w:leader="none"/>
        </w:tabs>
        <w:jc w:val="both"/>
        <w:rPr>
          <w:rFonts w:ascii="Arial" w:hAnsi="Arial" w:cs="Arial"/>
          <w:sz w:val="20"/>
          <w:szCs w:val="20"/>
        </w:rPr>
      </w:pPr>
      <w:r>
        <w:rPr>
          <w:rFonts w:cs="Arial" w:ascii="Arial" w:hAnsi="Arial"/>
          <w:sz w:val="20"/>
          <w:szCs w:val="20"/>
        </w:rPr>
        <w:t>A alteração dos prazos para atendimento acima somente poderá ocorrer mediante comunicação por escrito da CONTRATADA de justificativa, e mediante a emissão formalizada de concordância da Gerência de Planejamento e Projetos.</w:t>
      </w:r>
    </w:p>
    <w:p>
      <w:pPr>
        <w:pStyle w:val="ListParagraph"/>
        <w:shd w:val="clear" w:color="auto" w:fill="CCCCCC"/>
        <w:spacing w:before="0" w:after="0"/>
        <w:ind w:firstLine="561" w:left="0"/>
        <w:jc w:val="both"/>
        <w:rPr>
          <w:rFonts w:ascii="Arial" w:hAnsi="Arial" w:cs="Arial"/>
          <w:sz w:val="20"/>
          <w:szCs w:val="20"/>
        </w:rPr>
      </w:pPr>
      <w:r>
        <w:rPr>
          <w:rFonts w:cs="Arial" w:ascii="Arial" w:hAnsi="Arial"/>
          <w:b/>
          <w:bCs/>
          <w:sz w:val="20"/>
          <w:szCs w:val="20"/>
        </w:rPr>
        <w:t>8. DA VISITA TÉCNICA:</w:t>
      </w:r>
    </w:p>
    <w:p>
      <w:pPr>
        <w:pStyle w:val="Normal"/>
        <w:tabs>
          <w:tab w:val="clear" w:pos="709"/>
          <w:tab w:val="left" w:pos="284" w:leader="none"/>
        </w:tabs>
        <w:jc w:val="both"/>
        <w:rPr>
          <w:rFonts w:ascii="Arial" w:hAnsi="Arial" w:cs="Arial"/>
        </w:rPr>
      </w:pPr>
      <w:r>
        <w:rPr>
          <w:rFonts w:cs="Arial" w:ascii="Arial" w:hAnsi="Arial"/>
          <w:b/>
        </w:rPr>
        <w:t>a)</w:t>
      </w:r>
      <w:r>
        <w:rPr>
          <w:rFonts w:cs="Arial" w:ascii="Arial" w:hAnsi="Arial"/>
        </w:rPr>
        <w:t xml:space="preserve"> As empresas interessadas poderão realizar visita técnica nos locais onde serão executados os serviços, de forma que tenham conhecimento pleno das condições técnicas para a sua efetiva realização.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rPr>
        <w:t>b)</w:t>
      </w:r>
      <w:r>
        <w:rPr>
          <w:rFonts w:cs="Arial" w:ascii="Arial" w:hAnsi="Arial"/>
        </w:rPr>
        <w:t xml:space="preserve"> A visita técnica é facultativa e será realizada em horário de expediente, por representante devidamente credenciado pela empresa interessada, devendo ser agendada junto a Secretaria Municipal de Cultura, através do telefone (19) 3403-2600 ou endereço eletrônico semacnaa@gmail.com, com o(a) funcionário(a) Dayane Gabriele Bortoleto.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9. DO FORNECIMENTO DE INFORMAÇÕES:</w:t>
      </w:r>
    </w:p>
    <w:p>
      <w:pPr>
        <w:pStyle w:val="Normal"/>
        <w:numPr>
          <w:ilvl w:val="0"/>
          <w:numId w:val="12"/>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4">
        <w:r>
          <w:rPr>
            <w:rStyle w:val="Hyperlink"/>
            <w:rFonts w:cs="Arial" w:ascii="Arial" w:hAnsi="Arial"/>
          </w:rPr>
          <w:t>https://bnccompras.com</w:t>
        </w:r>
      </w:hyperlink>
      <w:r>
        <w:rPr>
          <w:rFonts w:cs="Arial" w:ascii="Arial" w:hAnsi="Arial"/>
        </w:rPr>
        <w:t xml:space="preserve">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10. EXIGÊNCIA PARA HABILITAÇÃO:</w:t>
      </w:r>
    </w:p>
    <w:p>
      <w:pPr>
        <w:pStyle w:val="Normal"/>
        <w:numPr>
          <w:ilvl w:val="0"/>
          <w:numId w:val="11"/>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11"/>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945" w:leader="none"/>
        </w:tabs>
        <w:jc w:val="both"/>
        <w:rPr>
          <w:rFonts w:ascii="Arial" w:hAnsi="Arial" w:cs="Arial"/>
        </w:rPr>
      </w:pPr>
      <w:r>
        <w:rPr>
          <w:rFonts w:cs="Arial" w:ascii="Arial" w:hAnsi="Arial"/>
        </w:rPr>
        <w:tab/>
      </w:r>
    </w:p>
    <w:p>
      <w:pPr>
        <w:pStyle w:val="Normal"/>
        <w:numPr>
          <w:ilvl w:val="0"/>
          <w:numId w:val="11"/>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11"/>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11"/>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11"/>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11"/>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11"/>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11"/>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11"/>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11"/>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11"/>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11"/>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operacional, expedidas por empresas Públicas ou Privadas, em nome da licitante, que comprove a execução satisfatória de serviços similares ao objeto desta licitação, com identificação de quem o assinou.</w:t>
      </w:r>
    </w:p>
    <w:p>
      <w:pPr>
        <w:pStyle w:val="Normal"/>
        <w:numPr>
          <w:ilvl w:val="1"/>
          <w:numId w:val="11"/>
        </w:numPr>
        <w:tabs>
          <w:tab w:val="clear" w:pos="709"/>
          <w:tab w:val="left" w:pos="284" w:leader="none"/>
          <w:tab w:val="left" w:pos="426" w:leader="none"/>
          <w:tab w:val="left" w:pos="567" w:leader="none"/>
        </w:tabs>
        <w:jc w:val="both"/>
        <w:rPr>
          <w:rFonts w:ascii="Arial" w:hAnsi="Arial" w:cs="Arial"/>
        </w:rPr>
      </w:pPr>
      <w:r>
        <w:rPr>
          <w:rFonts w:cs="Arial" w:ascii="Arial" w:hAnsi="Arial"/>
        </w:rPr>
        <w:t>Apresentar certidão de registro da licitante junto ao CREA, com validade em vigor.</w:t>
      </w:r>
    </w:p>
    <w:p>
      <w:pPr>
        <w:pStyle w:val="Normal"/>
        <w:numPr>
          <w:ilvl w:val="1"/>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 xml:space="preserve">Declaração que possui responsável técnico pelos serviços de estrutura </w:t>
      </w:r>
      <w:r>
        <w:rPr>
          <w:rFonts w:cs="Arial" w:ascii="Arial" w:hAnsi="Arial"/>
          <w:b/>
          <w:bCs/>
          <w:color w:val="000000"/>
        </w:rPr>
        <w:t>(Engenheiro Civil ou Engenheiro Mecânico)</w:t>
      </w:r>
      <w:r>
        <w:rPr>
          <w:rFonts w:cs="Arial" w:ascii="Arial" w:hAnsi="Arial"/>
          <w:color w:val="000000"/>
        </w:rPr>
        <w:t xml:space="preserve"> devidamente registrado no CREA e o indicará quando da assinatura do contrato;</w:t>
      </w:r>
    </w:p>
    <w:p>
      <w:pPr>
        <w:pStyle w:val="Normal"/>
        <w:numPr>
          <w:ilvl w:val="1"/>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 xml:space="preserve">Declaração que possui responsável técnico pela Execução dos Serviços Elétricos </w:t>
      </w:r>
      <w:r>
        <w:rPr>
          <w:rFonts w:cs="Arial" w:ascii="Arial" w:hAnsi="Arial"/>
          <w:b/>
          <w:bCs/>
          <w:color w:val="000000"/>
        </w:rPr>
        <w:t>(Engenheiro Elétrico ou Eletrotécnico)</w:t>
      </w:r>
      <w:r>
        <w:rPr>
          <w:rFonts w:cs="Arial" w:ascii="Arial" w:hAnsi="Arial"/>
          <w:color w:val="000000"/>
        </w:rPr>
        <w:t xml:space="preserve"> devidamente registrado no CREA e o indicará quando da assinatura do contrato;</w:t>
      </w:r>
    </w:p>
    <w:p>
      <w:pPr>
        <w:pStyle w:val="Normal"/>
        <w:numPr>
          <w:ilvl w:val="1"/>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Declaração de que, na assinatura do contrato, apresentará a comprovação que os responsáveis técnicos indicados pertencem ao quadro permanente da licitante, devendo ser feita com a apresentação de um dos seguintes documentos:</w:t>
      </w:r>
    </w:p>
    <w:p>
      <w:pPr>
        <w:pStyle w:val="Normal"/>
        <w:numPr>
          <w:ilvl w:val="2"/>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 xml:space="preserve">Se funcionário: registro na Carteira Profissional, ficha de registro de empregado ou contrato de trabalho; </w:t>
      </w:r>
    </w:p>
    <w:p>
      <w:pPr>
        <w:pStyle w:val="Normal"/>
        <w:numPr>
          <w:ilvl w:val="2"/>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Se Diretor: contrato social ou Certidão da Junta Comercial em vigor;</w:t>
      </w:r>
    </w:p>
    <w:p>
      <w:pPr>
        <w:pStyle w:val="Normal"/>
        <w:numPr>
          <w:ilvl w:val="2"/>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Se profissional autônomo que preencha os requisitos e se responsabilize tecnicamente pela execução dos serviços: apresentar o contrato firmado com o profissional.</w:t>
      </w:r>
    </w:p>
    <w:p>
      <w:pPr>
        <w:pStyle w:val="Normal"/>
        <w:numPr>
          <w:ilvl w:val="1"/>
          <w:numId w:val="11"/>
        </w:numPr>
        <w:tabs>
          <w:tab w:val="clear" w:pos="709"/>
          <w:tab w:val="left" w:pos="284" w:leader="none"/>
        </w:tabs>
        <w:spacing w:lineRule="auto" w:line="244"/>
        <w:jc w:val="both"/>
        <w:rPr>
          <w:rFonts w:ascii="Arial" w:hAnsi="Arial" w:cs="Arial"/>
          <w:color w:val="000000"/>
        </w:rPr>
      </w:pPr>
      <w:r>
        <w:rPr>
          <w:rFonts w:cs="Arial" w:ascii="Arial" w:hAnsi="Arial"/>
          <w:color w:val="00000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serviços similares ao objeto.</w:t>
      </w:r>
    </w:p>
    <w:p>
      <w:pPr>
        <w:pStyle w:val="Normal"/>
        <w:tabs>
          <w:tab w:val="clear" w:pos="709"/>
          <w:tab w:val="left" w:pos="284" w:leader="none"/>
        </w:tabs>
        <w:spacing w:lineRule="auto" w:line="244"/>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10. ANEXOS:</w:t>
      </w:r>
    </w:p>
    <w:p>
      <w:pPr>
        <w:pStyle w:val="Normal"/>
        <w:numPr>
          <w:ilvl w:val="0"/>
          <w:numId w:val="42"/>
        </w:numPr>
        <w:tabs>
          <w:tab w:val="clear" w:pos="709"/>
          <w:tab w:val="left" w:pos="284" w:leader="none"/>
        </w:tabs>
        <w:jc w:val="both"/>
        <w:rPr>
          <w:rFonts w:ascii="Arial" w:hAnsi="Arial" w:cs="Arial"/>
        </w:rPr>
      </w:pPr>
      <w:r>
        <w:rPr>
          <w:rFonts w:cs="Arial" w:ascii="Arial" w:hAnsi="Arial"/>
        </w:rPr>
        <w:t>Faz(em) parte integrante e indissociável deste Termo de Referência, o(s) seguinte(s) anexo(s):</w:t>
      </w:r>
    </w:p>
    <w:p>
      <w:pPr>
        <w:pStyle w:val="Normal"/>
        <w:numPr>
          <w:ilvl w:val="1"/>
          <w:numId w:val="43"/>
        </w:numPr>
        <w:tabs>
          <w:tab w:val="clear" w:pos="709"/>
          <w:tab w:val="left" w:pos="284" w:leader="none"/>
        </w:tabs>
        <w:jc w:val="both"/>
        <w:rPr>
          <w:rFonts w:ascii="Arial" w:hAnsi="Arial" w:cs="Arial"/>
        </w:rPr>
      </w:pPr>
      <w:r>
        <w:rPr>
          <w:rFonts w:cs="Arial" w:ascii="Arial" w:hAnsi="Arial"/>
        </w:rPr>
        <w:t>Anexo A</w:t>
      </w:r>
    </w:p>
    <w:p>
      <w:pPr>
        <w:pStyle w:val="Normal"/>
        <w:numPr>
          <w:ilvl w:val="1"/>
          <w:numId w:val="44"/>
        </w:numPr>
        <w:tabs>
          <w:tab w:val="clear" w:pos="709"/>
          <w:tab w:val="left" w:pos="284" w:leader="none"/>
        </w:tabs>
        <w:jc w:val="both"/>
        <w:rPr>
          <w:rFonts w:ascii="Arial" w:hAnsi="Arial" w:cs="Arial"/>
        </w:rPr>
      </w:pPr>
      <w:r>
        <w:rPr>
          <w:rFonts w:cs="Arial" w:ascii="Arial" w:hAnsi="Arial"/>
        </w:rPr>
        <w:t>Memorial de Segurança.</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24 de março de 2025.</w:t>
      </w:r>
    </w:p>
    <w:p>
      <w:pPr>
        <w:pStyle w:val="Normal"/>
        <w:ind w:firstLine="561"/>
        <w:jc w:val="both"/>
        <w:rPr>
          <w:rFonts w:ascii="Arial" w:hAnsi="Arial" w:cs="Arial"/>
        </w:rPr>
      </w:pPr>
      <w:r>
        <w:rPr/>
      </w:r>
    </w:p>
    <w:p>
      <w:pPr>
        <w:pStyle w:val="Normal"/>
        <w:jc w:val="center"/>
        <w:rPr>
          <w:rFonts w:ascii="Arial" w:hAnsi="Arial" w:cs="Arial"/>
          <w:b/>
        </w:rPr>
      </w:pPr>
      <w:r>
        <w:rPr>
          <w:rFonts w:cs="Arial" w:ascii="Arial" w:hAnsi="Arial"/>
          <w:b/>
        </w:rPr>
        <w:t>Priscila Camargo Rodrigues Grecchi</w:t>
      </w:r>
    </w:p>
    <w:p>
      <w:pPr>
        <w:pStyle w:val="Normal"/>
        <w:jc w:val="center"/>
        <w:rPr>
          <w:rFonts w:ascii="Arial" w:hAnsi="Arial" w:cs="Arial"/>
          <w:b/>
          <w:bCs/>
          <w:kern w:val="2"/>
          <w:lang w:eastAsia="zh-CN"/>
        </w:rPr>
      </w:pPr>
      <w:r>
        <w:rPr>
          <w:rFonts w:cs="Arial" w:ascii="Arial" w:hAnsi="Arial"/>
          <w:b/>
          <w:bCs/>
          <w:kern w:val="2"/>
          <w:lang w:eastAsia="zh-CN"/>
        </w:rPr>
        <w:t>Chef</w:t>
      </w:r>
      <w:bookmarkStart w:id="0" w:name="_GoBack_Copia_1"/>
      <w:bookmarkEnd w:id="0"/>
      <w:r>
        <w:rPr>
          <w:rFonts w:cs="Arial" w:ascii="Arial" w:hAnsi="Arial"/>
          <w:b/>
          <w:bCs/>
          <w:kern w:val="2"/>
          <w:lang w:eastAsia="zh-CN"/>
        </w:rPr>
        <w:t>e da Divisão</w:t>
      </w:r>
      <w:r>
        <w:br w:type="page"/>
      </w:r>
    </w:p>
    <w:p>
      <w:pPr>
        <w:pStyle w:val="Heading2"/>
        <w:numPr>
          <w:ilvl w:val="1"/>
          <w:numId w:val="1"/>
        </w:numPr>
        <w:tabs>
          <w:tab w:val="clear" w:pos="709"/>
        </w:tabs>
        <w:spacing w:before="0" w:after="0"/>
        <w:ind w:hanging="0" w:left="0"/>
        <w:rPr/>
      </w:pPr>
      <w:r>
        <w:rPr/>
      </w:r>
    </w:p>
    <w:p>
      <w:pPr>
        <w:pStyle w:val="Normal"/>
        <w:suppressAutoHyphens w:val="false"/>
        <w:spacing w:lineRule="auto" w:line="360" w:before="113" w:after="113"/>
        <w:jc w:val="center"/>
        <w:rPr>
          <w:rFonts w:ascii="Arial" w:hAnsi="Arial" w:cs="Arial"/>
          <w:color w:val="000000"/>
          <w:kern w:val="0"/>
          <w:sz w:val="22"/>
          <w:szCs w:val="22"/>
          <w:lang w:eastAsia="pt-BR"/>
        </w:rPr>
      </w:pPr>
      <w:r>
        <w:rPr>
          <w:b/>
          <w:bCs/>
          <w:color w:val="000000"/>
          <w:kern w:val="0"/>
          <w:sz w:val="22"/>
          <w:szCs w:val="22"/>
          <w:u w:val="single"/>
          <w:lang w:eastAsia="pt-BR"/>
        </w:rPr>
        <w:t>ANEXO A:</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ESPECIFICAÇÃO E QUANTIDADE DOS SERVIÇOS</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ARQUIBANCADA: </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Montagem de arquibancada em estrutura metálica tubular autoportante / monolítica, para acomodação e suporte de 2.300 (duas mil e trezentas) pessoas.</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DIMENSÕES PERIMETRAIS PRINCIPAIS DA ARQUIBANCADA:</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Patamar inicial com 1,25 metro para colocação de escada radial, seguida de 4 módulos de curva formando um ângulo de 45 graus, seguido de 06 m de módulos retos com largura de 2,5 metros cada modulo, em seguida um túnel com altura mínima de 4 metros por 5 metros de largura contando com 9 patamares de acentos acima da parte final dele, retomando com 26 módulos retos de 2,5 metros de largura cada, seguindo com mais 4 módulos de curva formando um ângulo de 45 graus e finalizando com 1 modulo de 1,25 metro para instalação de escada radial. (Croqui em anexo).</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Lances de Degraus: </w:t>
      </w:r>
      <w:r>
        <w:rPr>
          <w:color w:val="000000"/>
          <w:kern w:val="0"/>
          <w:sz w:val="22"/>
          <w:szCs w:val="22"/>
          <w:lang w:eastAsia="pt-BR"/>
        </w:rPr>
        <w:t>1 lance de passarela e 15 lances de degraus para assentos, sendo:</w:t>
      </w:r>
    </w:p>
    <w:p>
      <w:pPr>
        <w:pStyle w:val="Normal"/>
        <w:numPr>
          <w:ilvl w:val="1"/>
          <w:numId w:val="15"/>
        </w:numPr>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Passarela de Circulação do Público: </w:t>
      </w:r>
      <w:r>
        <w:rPr>
          <w:color w:val="000000"/>
          <w:kern w:val="0"/>
          <w:sz w:val="22"/>
          <w:szCs w:val="22"/>
          <w:lang w:eastAsia="pt-BR"/>
        </w:rPr>
        <w:t>Estará a uma altura de 2.00 metros do nível do solo (palco) e terá sua largura de 1,95 metro pelo comprimento total da arquibancada.</w:t>
      </w:r>
    </w:p>
    <w:p>
      <w:pPr>
        <w:pStyle w:val="Normal"/>
        <w:numPr>
          <w:ilvl w:val="1"/>
          <w:numId w:val="15"/>
        </w:numPr>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02 (dois) Patamares para P.N.E. (Portadores de Necessidades Especiais): </w:t>
      </w:r>
      <w:r>
        <w:rPr>
          <w:color w:val="000000"/>
          <w:kern w:val="0"/>
          <w:sz w:val="22"/>
          <w:szCs w:val="22"/>
          <w:lang w:eastAsia="pt-BR"/>
        </w:rPr>
        <w:t>Estarão elevadas a uma altura de 30 (trinta) centímetros do nível do solo (palco) e terá sua largura mínima de 2,50 metros pelo comprimento de 10 metros, devidamente equipada com rampa de acesso plenamente condizente com a inclinação solicitada no item 6 da nbr 9050/2015.</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Área Técnica (Central de Controle de Som/Iluminação do Espetáculo): </w:t>
      </w:r>
      <w:r>
        <w:rPr>
          <w:color w:val="000000"/>
          <w:kern w:val="0"/>
          <w:sz w:val="22"/>
          <w:szCs w:val="22"/>
          <w:lang w:eastAsia="pt-BR"/>
        </w:rPr>
        <w:t>Montagem na arquibancada de um espaço com cobertura em tenda para abrigar a técnica, medindo 2,5 (dois metros e meio) de largura por 10 (dez metros) de comprimento na região central da arquibancada acima dos lugares do público – sem comprometimento da visão de qualquer espectador bem como em altura suficiente para não prejudicar a visão da equipe técnica em relação a área de encenação.</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Cadeiras Fixas: </w:t>
      </w:r>
      <w:r>
        <w:rPr>
          <w:color w:val="000000"/>
          <w:kern w:val="0"/>
          <w:sz w:val="22"/>
          <w:szCs w:val="22"/>
          <w:lang w:eastAsia="pt-BR"/>
        </w:rPr>
        <w:t>Instalação de 270 cadeiras com encosto rebatível (tipo teatro) na coloração azul e mais 4 cadeiras especiais para pessoas obesas, fixadas nos vãos (espelhos) da arquibancada através de painéis de chapa galvanizada ou duralumínio.</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Especificações dos assentos: </w:t>
      </w:r>
      <w:r>
        <w:rPr>
          <w:color w:val="000000"/>
          <w:kern w:val="0"/>
          <w:sz w:val="22"/>
          <w:szCs w:val="22"/>
          <w:lang w:eastAsia="pt-BR"/>
        </w:rPr>
        <w:t>Assentos Rebatíveis no formato encosto alto, industrializado e atestadas pelo INMETRO conforme norma ABNT/NBR 15.595:2011, cor azul (ou de similaridade técnica). Resistentes a raios ultravioletas; injetados em plástico polipropileno; resistente ao fogo (retardante); Sistema de dreno para escoamento de águas.</w:t>
      </w:r>
    </w:p>
    <w:p>
      <w:pPr>
        <w:pStyle w:val="Normal"/>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Degraus de Assentos:</w:t>
      </w:r>
    </w:p>
    <w:p>
      <w:pPr>
        <w:pStyle w:val="Normal"/>
        <w:numPr>
          <w:ilvl w:val="1"/>
          <w:numId w:val="16"/>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Degrau/Lance n.º 01 ao Degrau/Lance n.º 15</w:t>
      </w:r>
    </w:p>
    <w:p>
      <w:pPr>
        <w:pStyle w:val="Normal"/>
        <w:numPr>
          <w:ilvl w:val="1"/>
          <w:numId w:val="16"/>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Para público sentado em “Área Comum”.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Cadeiras individuais ou Assentos numerados direto na arquibancada, devendo possuir as seguintes Dimensões:</w:t>
      </w:r>
    </w:p>
    <w:p>
      <w:pPr>
        <w:pStyle w:val="Normal"/>
        <w:numPr>
          <w:ilvl w:val="1"/>
          <w:numId w:val="17"/>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máxima do Degrau: 0,35 m</w:t>
      </w:r>
    </w:p>
    <w:p>
      <w:pPr>
        <w:pStyle w:val="Normal"/>
        <w:numPr>
          <w:ilvl w:val="1"/>
          <w:numId w:val="17"/>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Largura mínima do Degrau: 0,82m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Os vãos (espelhos) entre os assentos das arquibancadas que possuam alturas superiores a 0,30 m devem ser fechados com tubo metálico de encaixe com resistência mecânica análoga aos guarda-corpos, de forma a impedir a passagem e quedas de pessoas.</w:t>
      </w:r>
    </w:p>
    <w:p>
      <w:pPr>
        <w:pStyle w:val="Normal"/>
        <w:suppressAutoHyphens w:val="false"/>
        <w:spacing w:lineRule="auto" w:line="360" w:before="57" w:after="57"/>
        <w:jc w:val="both"/>
        <w:rPr>
          <w:rFonts w:ascii="Arial" w:hAnsi="Arial" w:cs="Arial"/>
          <w:color w:val="000000"/>
          <w:kern w:val="0"/>
          <w:sz w:val="22"/>
          <w:szCs w:val="22"/>
          <w:lang w:eastAsia="pt-BR"/>
        </w:rPr>
      </w:pPr>
      <w:r>
        <w:rPr>
          <w:b/>
          <w:bCs/>
          <w:color w:val="000000"/>
          <w:kern w:val="0"/>
          <w:sz w:val="22"/>
          <w:szCs w:val="22"/>
          <w:lang w:eastAsia="pt-BR"/>
        </w:rPr>
        <w:t>Degraus de Circulação (Acessos Radiais e Escadas de Acessos):</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Deverá possuir as seguintes Dimensões:</w:t>
      </w:r>
    </w:p>
    <w:p>
      <w:pPr>
        <w:pStyle w:val="Normal"/>
        <w:numPr>
          <w:ilvl w:val="1"/>
          <w:numId w:val="18"/>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máxima do Degrau(espelho): 0,19 m;</w:t>
      </w:r>
    </w:p>
    <w:p>
      <w:pPr>
        <w:pStyle w:val="Normal"/>
        <w:numPr>
          <w:ilvl w:val="1"/>
          <w:numId w:val="18"/>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Largura mínima do Piso: 0,27 m</w:t>
      </w:r>
    </w:p>
    <w:p>
      <w:pPr>
        <w:pStyle w:val="Normal"/>
        <w:suppressAutoHyphens w:val="false"/>
        <w:spacing w:lineRule="auto" w:line="360" w:before="57" w:after="57"/>
        <w:jc w:val="both"/>
        <w:rPr>
          <w:rFonts w:ascii="Arial" w:hAnsi="Arial" w:cs="Arial"/>
          <w:color w:val="000000"/>
          <w:kern w:val="0"/>
          <w:sz w:val="22"/>
          <w:szCs w:val="22"/>
          <w:lang w:eastAsia="pt-BR"/>
        </w:rPr>
      </w:pPr>
      <w:r>
        <w:rPr>
          <w:b/>
          <w:bCs/>
          <w:color w:val="000000"/>
          <w:kern w:val="0"/>
          <w:sz w:val="22"/>
          <w:szCs w:val="22"/>
          <w:lang w:eastAsia="pt-BR"/>
        </w:rPr>
        <w:t>GUARDA CORPO:</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Adjacentes à Fileiras dos Assentos:</w:t>
      </w:r>
    </w:p>
    <w:p>
      <w:pPr>
        <w:pStyle w:val="Normal"/>
        <w:numPr>
          <w:ilvl w:val="1"/>
          <w:numId w:val="19"/>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19"/>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1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à 55 cm (mínimo) da fileira dos assentos fixos ou da arquibancada em nível mais baixo:</w:t>
      </w:r>
    </w:p>
    <w:p>
      <w:pPr>
        <w:pStyle w:val="Normal"/>
        <w:numPr>
          <w:ilvl w:val="1"/>
          <w:numId w:val="20"/>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20"/>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1,50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nos Pés dos Corredores:</w:t>
      </w:r>
    </w:p>
    <w:p>
      <w:pPr>
        <w:pStyle w:val="Normal"/>
        <w:numPr>
          <w:ilvl w:val="1"/>
          <w:numId w:val="21"/>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21"/>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3,00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 Corpos Laterais alinhados paralelamente com a direção do movimento de pessoas:</w:t>
      </w:r>
    </w:p>
    <w:p>
      <w:pPr>
        <w:pStyle w:val="Normal"/>
        <w:numPr>
          <w:ilvl w:val="1"/>
          <w:numId w:val="22"/>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22"/>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2,00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Corrimão auxiliar de apoio na entrada das fileiras (caso necessário):</w:t>
      </w:r>
    </w:p>
    <w:p>
      <w:pPr>
        <w:pStyle w:val="Normal"/>
        <w:numPr>
          <w:ilvl w:val="1"/>
          <w:numId w:val="23"/>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0,80 m</w:t>
      </w:r>
    </w:p>
    <w:p>
      <w:pPr>
        <w:pStyle w:val="Normal"/>
        <w:numPr>
          <w:ilvl w:val="1"/>
          <w:numId w:val="23"/>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1,00 kN/m</w:t>
      </w:r>
    </w:p>
    <w:p>
      <w:pPr>
        <w:pStyle w:val="Normal"/>
        <w:numPr>
          <w:ilvl w:val="1"/>
          <w:numId w:val="23"/>
        </w:numPr>
        <w:suppressAutoHyphens w:val="false"/>
        <w:spacing w:lineRule="auto" w:line="360" w:before="57" w:after="57"/>
        <w:jc w:val="both"/>
        <w:rPr>
          <w:rFonts w:ascii="Arial" w:hAnsi="Arial" w:cs="Arial"/>
          <w:color w:val="000000"/>
          <w:kern w:val="0"/>
          <w:sz w:val="22"/>
          <w:szCs w:val="22"/>
          <w:lang w:eastAsia="pt-BR"/>
        </w:rPr>
      </w:pPr>
      <w:r>
        <w:rPr>
          <w:i/>
          <w:iCs/>
          <w:color w:val="000000"/>
          <w:kern w:val="0"/>
          <w:sz w:val="22"/>
          <w:szCs w:val="22"/>
          <w:lang w:eastAsia="pt-BR"/>
        </w:rPr>
        <w:t>Nota: Deverão ser consultados os Gestores da Secretaria da Ação Cultural</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Corrimão Central nas Escadas entre Assentos:</w:t>
      </w:r>
    </w:p>
    <w:p>
      <w:pPr>
        <w:pStyle w:val="Normal"/>
        <w:numPr>
          <w:ilvl w:val="1"/>
          <w:numId w:val="24"/>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0,80 m</w:t>
      </w:r>
    </w:p>
    <w:p>
      <w:pPr>
        <w:pStyle w:val="Normal"/>
        <w:numPr>
          <w:ilvl w:val="1"/>
          <w:numId w:val="24"/>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1,00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nas Escadas perpendiculares ou Oblícuos à direção do movimento de pessoas:</w:t>
      </w:r>
    </w:p>
    <w:p>
      <w:pPr>
        <w:pStyle w:val="Normal"/>
        <w:numPr>
          <w:ilvl w:val="1"/>
          <w:numId w:val="25"/>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25"/>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3,00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ao lado das escadas alinhados com a direção do movimento:</w:t>
      </w:r>
    </w:p>
    <w:p>
      <w:pPr>
        <w:pStyle w:val="Normal"/>
        <w:numPr>
          <w:ilvl w:val="1"/>
          <w:numId w:val="26"/>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1,10 m</w:t>
      </w:r>
    </w:p>
    <w:p>
      <w:pPr>
        <w:pStyle w:val="Normal"/>
        <w:numPr>
          <w:ilvl w:val="1"/>
          <w:numId w:val="26"/>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2,00 kN/m</w:t>
      </w:r>
    </w:p>
    <w:p>
      <w:pPr>
        <w:pStyle w:val="Normal"/>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Guarda-Corpo atrás da fileira dos assentos:</w:t>
      </w:r>
    </w:p>
    <w:p>
      <w:pPr>
        <w:pStyle w:val="Normal"/>
        <w:numPr>
          <w:ilvl w:val="1"/>
          <w:numId w:val="27"/>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Altura: 1,80 m,</w:t>
      </w:r>
    </w:p>
    <w:p>
      <w:pPr>
        <w:pStyle w:val="Normal"/>
        <w:numPr>
          <w:ilvl w:val="1"/>
          <w:numId w:val="27"/>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Acima dos níveis dos assentos ou arquibancadas em nível mais elevado</w:t>
      </w:r>
    </w:p>
    <w:p>
      <w:pPr>
        <w:pStyle w:val="Normal"/>
        <w:numPr>
          <w:ilvl w:val="1"/>
          <w:numId w:val="27"/>
        </w:numPr>
        <w:suppressAutoHyphens w:val="false"/>
        <w:spacing w:lineRule="auto" w:line="360" w:before="57" w:after="57"/>
        <w:jc w:val="both"/>
        <w:rPr>
          <w:rFonts w:ascii="Arial" w:hAnsi="Arial" w:cs="Arial"/>
          <w:color w:val="000000"/>
          <w:kern w:val="0"/>
          <w:sz w:val="22"/>
          <w:szCs w:val="22"/>
          <w:lang w:eastAsia="pt-BR"/>
        </w:rPr>
      </w:pPr>
      <w:r>
        <w:rPr>
          <w:color w:val="000000"/>
          <w:kern w:val="0"/>
          <w:sz w:val="22"/>
          <w:szCs w:val="22"/>
          <w:lang w:eastAsia="pt-BR"/>
        </w:rPr>
        <w:t>Carga: 1,00 kN/m</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Referência a ser atendida: INSTRUÇÃO TÉCNICA BOMBEIROS Nº 12/2011</w:t>
      </w:r>
      <w:r>
        <w:rPr>
          <w:b/>
          <w:bCs/>
          <w:color w:val="000000"/>
          <w:kern w:val="0"/>
          <w:sz w:val="22"/>
          <w:szCs w:val="22"/>
          <w:lang w:eastAsia="pt-BR"/>
        </w:rPr>
        <w:t xml:space="preserve"> – </w:t>
      </w:r>
      <w:r>
        <w:rPr>
          <w:color w:val="000000"/>
          <w:kern w:val="0"/>
          <w:sz w:val="22"/>
          <w:szCs w:val="22"/>
          <w:lang w:eastAsia="pt-BR"/>
        </w:rPr>
        <w:t>Centros esportivos e de exibição – requisitos de segurança contra incêndio / Página n.º 262 / Figura 2: Barreiras, guarda-corpos e corrimãos centrais: cargas de projeto, alturas e disposições.</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Deverão ser previstos 06 (seis) escadas de acesso (em plena conformidade ao explicitado em Degraus de Circulação (Acessos Radiais e Escadas de Acessos).</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Deverão ser previstos 11 (onze) escadas de circulação interna (Acesso Radial) - (em plena conformidade ao explicitado Degraus de Circulação (Acessos Radiais e Escadas de Acessos).</w:t>
      </w:r>
    </w:p>
    <w:p>
      <w:pPr>
        <w:pStyle w:val="Normal"/>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Na parte inferior da arquibancada deverão ser previstos corredores de circulação com 2,45m de largura, com Placas Metálicas (Chapas Metálicas, fixada em Estrutura Metálica Auxiliar, autoportante), estes isolando e impedindo totalmente que o público tenha contato com a estrutura da arquibancada;</w:t>
      </w:r>
    </w:p>
    <w:p>
      <w:pPr>
        <w:pStyle w:val="Normal"/>
        <w:suppressAutoHyphens w:val="false"/>
        <w:spacing w:lineRule="auto" w:line="360" w:before="113" w:after="113"/>
        <w:jc w:val="both"/>
        <w:rPr>
          <w:rFonts w:ascii="Arial" w:hAnsi="Arial" w:cs="Arial"/>
          <w:color w:val="000000"/>
          <w:kern w:val="0"/>
          <w:sz w:val="22"/>
          <w:szCs w:val="22"/>
          <w:lang w:eastAsia="pt-BR"/>
        </w:rPr>
      </w:pPr>
      <w:r>
        <w:rPr>
          <w:i/>
          <w:iCs/>
          <w:color w:val="000000"/>
          <w:kern w:val="0"/>
          <w:sz w:val="22"/>
          <w:szCs w:val="22"/>
          <w:lang w:eastAsia="pt-BR"/>
        </w:rPr>
        <w:t>Nota: Os espaços vazios abaixo das arquibancadas não podem ser utilizados como qualquer tipo de áreas úteis, tais como, depósitos de materiais diversos, áreas de comércio, banheiros e outros, devendo ser mantidos limpos e sem quaisquer materiais combustíveis durante todo o período do evento.</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u w:val="single"/>
          <w:lang w:eastAsia="pt-BR"/>
        </w:rPr>
        <w:t>A descrição acima apresentada trata-se de uma descrição de intenções mínimas objetivadas pela Gestão do Espetáculo, onde, caso no decorrer do detalhamento executivo das respectivas estruturas seja necessário adequações, estas, ficarão na sua integra e totalizada a cargo da Contratada.</w:t>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INFORMAÇÕES GERAIS:</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serviços a serem contratados são todos os estabelecidos nos documentos complementares relacionados neste TERMO DE REFERÊNCIA se constitui documento único. Assim, qualquer menção formulada ou omissa em outros documentos, que não deste, será considerada pela contratante como por ela especificada e válida.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Este Processo Licitatório, além do já especificado, explicitados acima, contemplam Locação de Toda e Qualquer Estrutura Tubular ou não Tubular, todas as Atividades que envolvam Mobilização, Desmobilização, Montagem, Desmontagem de Estruturas Tubulares ou não em Elementos Metálicos Modulares de Encaixe da ARQUIBANCADA, em quantidade necessária para a perfeita Realização do Espetáculo “Paixão de Cristo de Piracicaba – 2025” conforme especificações.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Mobilização e Desmobilização:</w:t>
      </w:r>
      <w:r>
        <w:rPr>
          <w:color w:val="000000"/>
          <w:kern w:val="0"/>
          <w:sz w:val="22"/>
          <w:szCs w:val="22"/>
          <w:lang w:eastAsia="pt-BR"/>
        </w:rPr>
        <w:t xml:space="preserve"> o transporte até o Parque do Engenho Central, o descarregamento nos locais indicados, e a retirada dos materiais quando finalizado o evento.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Montagem e Desmontagem:</w:t>
      </w:r>
      <w:r>
        <w:rPr>
          <w:color w:val="000000"/>
          <w:kern w:val="0"/>
          <w:sz w:val="22"/>
          <w:szCs w:val="22"/>
          <w:lang w:eastAsia="pt-BR"/>
        </w:rPr>
        <w:t xml:space="preserve"> toda a equipe e mão de obra especializada, e todos os materiais de uso temporário (telas metálicas, pranchões de madeira, chumbadores, cabos de aço, etc.).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Equipamentos de uso temporário (elementos metálicos modulares de encaixe): </w:t>
      </w:r>
      <w:r>
        <w:rPr>
          <w:color w:val="000000"/>
          <w:kern w:val="0"/>
          <w:sz w:val="22"/>
          <w:szCs w:val="22"/>
          <w:lang w:eastAsia="pt-BR"/>
        </w:rPr>
        <w:t xml:space="preserve">vigas, treliças, suportes, escoras, braçadeiras, forcados, luvas, acoplamentos, macacos ajustáveis, placas de base, suportes, e demais itens e componentes que se façam necessários para as estruturas.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 xml:space="preserve">Pisos e Patamares Estruturados: </w:t>
      </w:r>
      <w:r>
        <w:rPr>
          <w:color w:val="000000"/>
          <w:kern w:val="0"/>
          <w:sz w:val="22"/>
          <w:szCs w:val="22"/>
          <w:lang w:eastAsia="pt-BR"/>
        </w:rPr>
        <w:t>Placas de Madeira Compensada, Estruturas Metálicas de Suportação (Pessoas/Componentes/Equipamentos).</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Toda Ferramenta Diversa, além da disponibilização e operação de todos os equipamentos de apoio à montagem (Guindaste, carretas, caminhões, guinchos, empilhadeiras, caminhão Munck e etc.).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Todas as premissas e detalhes construtivos para consecução da empreitada serão validadas pelos Gestores da Secretaria da Ação Cultural as quais deverão ser totalmente acatadas e executadas as solicitações/orientações por parte da Empresa Prestadora de Serviços contratada.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Todas as Estruturas Tubulares deverão ser executadas em Elementos Metálicos Modulares de Encaixe.</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Toda Tubulação, deverá ser em Aço Galvanizado, com na mínima costura, Ø 1½" (nominal), com Parede e = 3,05 mm, dotados de dispositivos de fixação por Braçadeiras Metálicas e / ou Sistema de Encaixe.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Pisos e Patamares, deverão ser Estruturados e Compostos por Requadros Perimetrais e Intermediários Metálicos, devidamente calculados, por profissional especializado, espaçados entre si no máximo de 1,10 x 2,20 m, revestidos com placas pré-fabricadas de Placa de Madeira Compensada Tipo resinado com espessura mínima de 14 mm, arrematadas por perfil metálico em U em bom estado de conservação e em pleno estado de uso, peças lascadas, trincadas não serão aceitas pelos gestores.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Todos os pontos de apoio direto (macacos, placas de base, montantes, etc.) das Estruturas Metálicas, deverão estar apoiados em pranchas de madeira de lei, medindo 1½“x12”, em bom estado de conservação.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Caso a Empresa CONTRATADA venha a utilizar calços de madeira estruturada (calço gordo) para ajuste do nivelamento requerido dos pontos de apoio direto, deverá observar o “empilhamento” máximo de 02 (dois) calços, dispondo de forma cruzada os elementos de madeira estruturada.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Não será admitida em hipótese alguma, a utilização de calços de madeira estruturada (calços gordos) em substituição aos elementos de distribuição de cargas (pranchas de madeira de lei ou placas pré-moldadas de concreto). Portanto, todo e qualquer calço de madeira estruturada (calço gordo) deverá estar apoiado diretamente sobre pranchas de madeira de lei.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TODAS AS ESTRUTURAS METÁLICAS DEVERÃO SER EXECUTADAS EM ESTRITA OBSERVÂNCIA ÀS EXIGÊNCIAS DAS NORMATIVAS APRESENTADAS ABAIXO:</w:t>
      </w:r>
      <w:r>
        <w:rPr>
          <w:color w:val="000000"/>
          <w:kern w:val="0"/>
          <w:sz w:val="22"/>
          <w:szCs w:val="22"/>
          <w:lang w:eastAsia="pt-BR"/>
        </w:rPr>
        <w:t xml:space="preserve"> </w:t>
      </w:r>
    </w:p>
    <w:p>
      <w:pPr>
        <w:pStyle w:val="Normal"/>
        <w:numPr>
          <w:ilvl w:val="0"/>
          <w:numId w:val="28"/>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ABNT NBR 8800:2008 Projeto de Estruturas de Aço e de Estrutura Mista de Aço e Concreto de Edifícios.</w:t>
      </w:r>
    </w:p>
    <w:p>
      <w:pPr>
        <w:pStyle w:val="Normal"/>
        <w:numPr>
          <w:ilvl w:val="0"/>
          <w:numId w:val="28"/>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ABNT NBR 14323:1999 – Dimensionamento de Estruturas de Aço de Edifícios em Situação de Incêndio – Procedimento.</w:t>
      </w:r>
    </w:p>
    <w:p>
      <w:pPr>
        <w:pStyle w:val="Normal"/>
        <w:numPr>
          <w:ilvl w:val="0"/>
          <w:numId w:val="28"/>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ABNT NBR 14762:2010 – Dimensionamento de Estruturas de Aço Constituídas por Perfis Formados a Frio – Procedimento.</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Tão logo a Empresa CONTRATADA tenha concluído a Montagem das Estruturas Metálicas, a contratante, de acordo com seu critério, poderá exigir a realização de Ensaio de Prova de Carga, com medição de deformações, através de Laboratório Especializado em Ensaios Tecnológicos devidamente reconhecidos e credenciado.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Todos os custos decorrentes do Ensaio de Prova de Carga são de exclusiva responsabilidade da Empresa CONTRATADA não cabendo nenhuma espécie de remuneração ou reivindicação decorrente deste serviço. O respectivo laudo do teste realizado deverá ser entregue à gestão do evento.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Independentemente de qualquer anotação nestas especificações, não será admitida nenhuma interferência do Ensaio de Prova de Carga com as atividades inerentes à realização do evento “Paixão de Cristo de Piracicaba – 2025”.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Empresa CONTRATADA deverá instalar um sistema de Proteção Contra Descargas Elétricas Atmosféricas no início das montagens, para garantir a proteção das Estruturas Tubulares, também durante as montagens, com o aterramento das massas metálicas, de acordo com as exigências da ABNT – Associação Brasileira de Normas Técnicas, particularmente a NBR 5419 – Proteção de Estruturas Contra Descargas Atmosféricas.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Tão logo a Empresa CONTRATADA tenha concluído a Montagem e o Aterramento das Estruturas Metálicas, deverá providenciar a verificação do sistema de Proteção Contra Descargas Elétricas Atmosféricas, através de Engenheiro Eletricista, devidamente habilitado e capacitado para tal verificação e emissão de Laudo Técnico de Desempenho e também a ART de toda parte Elétrica.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Prefeitura de Piracicaba encaminhará o Laudo Técnico de Desempenho, a ser apresentado pela Empresa CONTRATADA do sistema de Proteção Contra Descargas Elétricas Atmosféricas, para apreciação e aprovação dos órgãos competentes (CONTRU, Corpo de Bombeiros, etc.).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Todos os custos decorrentes do Laudo Técnico de Desempenho do sistema de Proteção Contra Descargas Elétricas Atmosféricas são de exclusiva responsabilidade da Empresa CONTRATADA não cabendo nenhuma espécie de remuneração ou reivindicação decorrente deste serviço.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circuitos elétricos e fiação do sistema de iluminação de emergência devem ser instalados em conformidade com a IT 18/11 – Iluminação de emergência e as demais instalações elétricas e o sistema de proteção contra descargas atmosféricas devem atender aos requisitos previstos, respectivamente, na NBR 5410 e NBR 5419.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Nos locais destinados aos espectadores e rotas de fuga todas as fiações e circuitos elétricos devem estar embutidos, além de devidamente isolados.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Nas barreiras ou alambrados que separam área do evento dos locais de público devem ser previstas passagens que permitam aos espectadores sua utilização em caso de emergência, mediante sistema de abertura acionado pelos componentes do serviço de segurança ou da brigada de incêndio.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elementos estruturais dos recintos devem apresentar resistência mecânica compatível com as ações e solicitações a que são sujeitos, levando-se em consideração, inclusive, a resistência e comportamento do solo que receberá as cargas, as ações das intempéries e ventos.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As Anotações de Responsabilidade Técnicas (ART) referentes às arquibancadas e outras montagens, conforme requerido pela IT 01/11, devem também abranger os requisitos acima descritos.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materiais utilizados nos acabamentos, elementos de decoração, coberturas flexíveis (lonas) e no mobiliário principal devem ser especificados de forma a restringir a propagação de fogo e o desenvolvimento de fumaça, com a devida comprovação por meio de documentação pertinente.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elementos de suporte estrutural das tendas ou outras coberturas flexíveis devem possuir as mesmas características de resistência e/ou retardo de fogo, de forma a garantir a necessária evacuação do público.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Deverão ser apresentadas as Anotações de Responsabilidade Técnica (ART) referente a estrutura e também toda parte de Instalações elétricas.(Atendendo as exigências explicitadas na Letra C, do item DA EXECUÇÃO DOS SERVIÇOS, do TERMO DE REFERENCIA).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Deverão ser garantidos dois acessos de veículos de emergência com dimensões mínimas de 4 metros de largura e 4,5 metros de altura até o espaço de concentração de público (campo, arena ou outros), em lados ou extremidades opostas, viabilizando a remoção de vítimas.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detalhes constam dos documentos anexos a este Edital. No entanto, todas as medidas deverão ser confirmadas no local antes do início das montagens.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mão de obra a se mobilizar será sempre de boa qualidade e especializada, ou seja, treinada e experiente no serviço ora contratado, visando o acabamento esmerado. Alterações de projeto somente serão admitidas em casos supervenientes, excepcionais e/ou imprevistos com sérias consequências à administração e com devidas justificativas submetidas à aprovação prévia da SEMAC.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INSTALAÇÃO DE CANTEIRO DE OBRAS:</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empresa CONTRATADA deverá ocupar o local a ser indicado pela Prefeitura de Piracicaba para a implantação de seu canteiro de obras, que deverá abrigar todas as instalações necessárias (escritórios operacionais, almoxarifados, refeitórios, vestiários, guarda-volumes, etc.).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Após a conclusão dos serviços, a CONTRATADA deverá providenciar a desmobilização e remoção das suas instalações de canteiro de obras no prazo de até 10 dias corridos, devolvendo a área até então ocupada nas condições originais.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Todos os detalhes relativos à instalação do canteiro de obras, inclusive o “layout” das instalações, deverão ser apresentados e discutidos com a Secretaria Municipal da Ação Cultural e Turismo.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SUPERVISÃO E ACOMPANHAMENTO TÉCNICO:</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empresa CONTRATADA deverá, durante todo o período de desenvolvimento dos serviços, designar para manter a frente dos trabalhos pelo menos 01 (um) responsável técnico, este, um profissional com formação de Engenharia Civil ou Mecânica, devidamente registrado pelo CREA, vinculado à empresa CONTRATADA.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 respectivo Profissional será responsável pelas medições, fiscalização dos serviços, estabelecendo e mantendo a comunicação permanente com os representantes da Prefeitura de Piracicaba, comparecendo imediatamente ao local dos trabalhos quando solicitado.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Para a discussão do andamento dos trabalhos, serão realizadas reuniões técnicas periódicas, as quais deverão ser agendadas com 48 horas de antecedência, sempre que convocadas pela fiscalização ou solicitadas pela CONTRATADA, e deverão contar com a presença do responsável técnico.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ATRIBUIÇÕES DA PREFEITURA DE PIRACICABA:</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Disponibilizar o acesso à área de intervenção para a execução dos serviços, designar uma contraparte responsável pela fiscalização, interlocução geral e aprovação dos serviços executados.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Fornecimento de pontos para ligações de eletricidade e água para a execução dos serviços.</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OBRIGAÇÕES DA CONTRATADA:</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É de total responsabilidade da CONTRATADA:</w:t>
      </w:r>
    </w:p>
    <w:p>
      <w:pPr>
        <w:pStyle w:val="Normal"/>
        <w:numPr>
          <w:ilvl w:val="0"/>
          <w:numId w:val="29"/>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Ser de seu conhecimento e cumprimento todas as exigências solicitadas pelo Corpo de Bombeiros para eventos desta natureza, bem como, para emissão do AVCB. Cumprir as normas da INSTRUÇÃO TÉCNICA Nº 12/2011 – Centros esportivos e de exibição – requisitos de segurança contra incêndio, do Corpo de Bombeiros do Estado de São Paulo. </w:t>
      </w:r>
    </w:p>
    <w:p>
      <w:pPr>
        <w:pStyle w:val="Normal"/>
        <w:numPr>
          <w:ilvl w:val="0"/>
          <w:numId w:val="29"/>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Elaborar e fornecer o Projeto de montagem contemplando todos os detalhes e medidas de toda ARQUIBANCADA assinada pelo Engenheiro da empresa responsável.</w:t>
      </w:r>
    </w:p>
    <w:p>
      <w:pPr>
        <w:pStyle w:val="Normal"/>
        <w:numPr>
          <w:ilvl w:val="0"/>
          <w:numId w:val="29"/>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Fornecer a memória de Cálculo estrutural da ARQUIBANCADA elaborado e assinado pelo Engenheiro responsável da empresa. </w:t>
      </w:r>
    </w:p>
    <w:p>
      <w:pPr>
        <w:pStyle w:val="Normal"/>
        <w:numPr>
          <w:ilvl w:val="0"/>
          <w:numId w:val="29"/>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Emissão e pagamento da ART (ART Instalações Elétricas (emitida por Engenheiro Eletricista ou Eletrotécnico) e ART das Instalações Mecânicas/Metálicas (emitida por: Engenheiro Civil ou Mecânico)) sendo: </w:t>
      </w:r>
    </w:p>
    <w:p>
      <w:pPr>
        <w:pStyle w:val="Normal"/>
        <w:numPr>
          <w:ilvl w:val="1"/>
          <w:numId w:val="30"/>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ART, juntamente com o Laudo Técnico de Desempenho do sistema de Proteção Contra Descarga Elétrica Atmosférica, devidamente emitida por Engenheiro Eletricista, com comprovante de recolhimento (original ou cópia autenticada); </w:t>
      </w:r>
    </w:p>
    <w:p>
      <w:pPr>
        <w:pStyle w:val="Normal"/>
        <w:numPr>
          <w:ilvl w:val="1"/>
          <w:numId w:val="30"/>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ART de ateste dos Serviços projetados e executados pela Empresa e Estabilidade das estruturas, acompanhada da declaração de carga de cada estrutura, emitida por profissional habilitado, Engenheiro Civil ou Mecânico com respectivo comprovante de recolhimento; </w:t>
      </w:r>
    </w:p>
    <w:p>
      <w:pPr>
        <w:pStyle w:val="Normal"/>
        <w:numPr>
          <w:ilvl w:val="1"/>
          <w:numId w:val="30"/>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As ART’s, Laudos e Documentações comprobatórias de estabilidade e performance de uso deverão ser entregue no máximo à 20 (vinte) dias antes do evento.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Manter, durante toda a execução do contrato, em compatibilidade com as obrigações assumidas, todas as condições que culminaram em sua habilitação e qualificação na fase da licitação.</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Responsabilizar-se integral e diretamente pelos serviços contratados e mencionados em quaisquer dos documentos que integram o termo de contrato, nos termos da legislação vigente.</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Cumprir os prazos estabelecidos pela Prefeitura de Piracicaba, respeitando a agenda de eventos programados com fluxo de público. Para tanto, deverá ser prevista execução de serviços no período noturno e/ou finais de semana e/ou feriados, se necessário.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Responder por eventuais danos causados por sua culpa às instalações da Prefeitura de Piracicaba, no transporte ou instalações dos serviços no local definido.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Prover equipamentos de segurança e sinalização no entorno das montagens, a fim de evitar riscos para a circulação de pedestres e veículos.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Paralisar de imediato os serviços quando constatado risco grave e iminente aos seus empregados, aos da Prefeitura de Piracicaba e terceiros, na conformidade dos parâmetros estabelecidos pela legislação vigente.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Providenciar em caso de embargo, interdição ou paralisação dos serviços, por meios adequados, a devida proteção e resguardo do local da ação, de maneira a não oferecer riscos a terceiros e ao meio ambiente.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Reforçar, adequar ou substituir os seus recursos de equipamentos, máquinas, veículos, equipamentos de proteção individuais e coletivos, instalações ou pessoal, se for constatada inadequação para realizar os serviços, de acordo com o prazo.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Fornecer e tornar obrigatório o uso de uniformes adequados à função e da identidade funcional da CONTRATADA e do profissional dentro da área de realização dos serviços, de acordo com a legislação vigente.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Exercer controle sobre a assiduidade e a pontualidade de seus empregados.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Afastar, após notificação, e repor em até 24 (vinte e quatro) horas, todo empregado que, a critério da Prefeitura de Piracicaba, proceder de maneira desrespeitosa para com os empregados e clientes desta, além do público em geral.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Realizar a manutenção da limpeza do local e das áreas adjacentes que possam ter sido impactadas pelo serviço de montagem, na duração e ao final de todo o serviço contratado, procedendo a recomposição do terreno e demolição das construções provisórias, com a consequente remoção do entulho em caçambas e de todo o material indesejável, prevendo a destinação final e correta as suas expensas; o local deverá ser entregue livre de pessoas e equipamentos de trabalho.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Manter as áreas dos serviços ou de armazenamento e estocagem de materiais devidamente vigiados, até a emissão do termo de recebimento provisório pela Prefeitura de Piracicaba.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Coordenar, supervisionar e orientar os serviços, desde a chegada dos materiais, seu transporte, armazenamento e manipulação, até a sua plena instalação no local definido pela equipe técnica da Prefeitura de Piracicaba.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Reparar, corrigir, remover, reconstruir ou substituir, às suas expensas, no total ou em parte, dentro do prazo contratual de execução dos serviços, o objeto do contrato em que se verificarem vícios, defeitos ou incorreções, assim como dos materiais empregados.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Seguir as recomendações do fabricante no manuseio, uso e instalação de produtos/equipamentos nos serviços.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Os produtos ou serviços considerados insatisfatórios em cada fase do trabalho poderão ser recusados no total ou parcialmente conforme analise técnica emitida pela fiscalização da DIE - (Diretoria de infraestrutura, da Prefeitura de Piracicaba); cabe à CONTRATADA quaisquer ônus oriundos desta recusa, até que se cumpra o efetivo atendimento, sem prejuízo dos prazos estabelecidos em cronograma.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Responder diretamente por todas e quaisquer perdas e danos causados em bens ou pessoas, inclusive em propriedades vizinhas, decorrentes de omissões e atos praticados por seus funcionários e prepostos, fornecedores, bem como originados de infrações ou inobservância de leis, decretos, regulamentos, portarias e posturas oficiais em vigor, devendo indenizar a Prefeitura de Piracicaba por quaisquer pagamentos que seja obrigada a fazer a esse título, incluindo multas, correções monetárias e acréscimos de mora.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Comunicar a Prefeitura de Piracicaba, toda vez que ocorrer afastamento, substituição dos profissionais que possibilitaram a qualificação técnica da Empresa CONTRATADA quando da licitação ou para qualquer outro membro da equipe técnica.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Responsabilizar-se pelos encargos trabalhistas, previdenciários, fiscais, securitários (Seguro de Acidentes do Trabalho – SAT), comerciais, médicos e os decorrentes de controle médico de saúde ocupacional, resultantes da execução do contrato. </w:t>
      </w:r>
    </w:p>
    <w:p>
      <w:pPr>
        <w:pStyle w:val="Normal"/>
        <w:numPr>
          <w:ilvl w:val="0"/>
          <w:numId w:val="31"/>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Responsabilizar-se, caso a CONTRATANTE venha a ser demandada por terceiros que se julguem prejudicados, bem como a CONTRATANTE venha experimentar prejuízo patrimonial em decorrência dos serviços prestados pela CONTRATADA, pelos pagamentos, indenizações e reembolsos que se façam necessários, inclusive mediante retenção de valores pendentes de pagamento, caso contratos ainda vigentes ou ainda por outras medidas processuais cabíveis caso a CONTRATADA já não preste mais serviços à CONTRATANTE. E caso a CONTRATANTE tenha efetuado qualquer retenção nos pagamentos da CONTRATADA, para fazer frente a responsabilização civil, em havendo condenação em valor inferior, a CONTRATANTE devolverá à CONTRATADA, se for o caso, o saldo entre o valor retido, sem adicionais de qualquer natureza, e o total do valor da indenização, acrescido das respectivas custas com o processo.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Tendo em vista que a empresa CONTRATADA necessita comprovar relação jurídica válida em relação aos trabalhadores colocados à disposição da CONTRATANTE e considerando ainda que nos termos do art.. 22, inciso V, alínea “g” da Lei 8.213/91 toda pessoa que preste serviço, ainda que em caráter eventual, a uma ou mais empresas e sem relação de emprego é considerado como contribuinte individual perante a Previdência Social; caso a relação jurídica válida a ser apresentada seja a de contribuinte individual (mão-de-obra sem vínculo empregatício/eventual) a empresa está obrigada a: </w:t>
      </w:r>
    </w:p>
    <w:p>
      <w:pPr>
        <w:pStyle w:val="Normal"/>
        <w:numPr>
          <w:ilvl w:val="0"/>
          <w:numId w:val="32"/>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Cumprir e comprovar o cumprimento de todas as obrigações acessórias decorrentes desse tipo de contratação, inclusive com o recolhimento do seu encargo previdenciário nos moldes do art. 22, I da Lei 8.213/91 (20% - cota patronal); </w:t>
      </w:r>
    </w:p>
    <w:p>
      <w:pPr>
        <w:pStyle w:val="Normal"/>
        <w:numPr>
          <w:ilvl w:val="0"/>
          <w:numId w:val="32"/>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Reter o percentual do contribuinte (11% - cota do trabalhador) sobre a remuneração auferida, nos termos do art. 28, III e art. 30, I, “b” e parágrafo quarto da mesma Lei; </w:t>
      </w:r>
    </w:p>
    <w:p>
      <w:pPr>
        <w:pStyle w:val="Normal"/>
        <w:numPr>
          <w:ilvl w:val="0"/>
          <w:numId w:val="32"/>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Preparar e informar GFIP relacionando os trabalhadores a seu serviço com fulcro no art. 32, I e IV combinado com o art. 47, V e art. 134 da IN RFB 971/09, fornecendo cópia do documento aos trabalhadores e para a Contratante sempre que requerido.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Porém, o cumprimento desta cláusula, por si só, não exime a contratada do reconhecimento de vínculo empregatício em relação aos seus trabalhadores quando presentes os elementos ensejadores previstos no art 3º da CLT; podendo a Contratante, verificados tais requisitos, exigir sua devida regularização.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OBRIGAÇÕES QUANTO À JORNADA DE TRABALHO:</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Empresa CONTRATADA deverá adequar os contingentes das suas equipes, bem como a respectiva jornada de trabalho, de modo a atender plenamente o prazo acordado com a Prefeitura de Piracicaba, conforme estabelecido no item “PRAZO PARA FINALIZAÇÃO DOS SERVIÇOS”.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Caso seja necessário, para atendimento ao cronograma dos serviços, a CONTRATADA deverá adequar o quadro de funcionários para execução dos serviços de forma ininterrupta e ou em horário noturno.</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OBRIGAÇÕES QUANTO À SEGURANÇA DO TRABALHO:</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Empresa CONTRATADA, durante todo o período de desenvolvimento do Objeto, deverá garantir a aplicação e o cumprimento integral de todas as normas, instruções e procedimentos relativos à Segurança e Medicina do Trabalho, conforme determina a Lei Federal nº 6.514 e Portaria nº 3.214/78 do Ministério do Trabalho e Emprego de 08/06/1978 e também seguir todas as recomendações relativas à segurança dispostas nas normas da ABNT (Associação Brasileira de Normas e Técnicas) conforme o tipo de serviço a ser executado.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Todo funcionário da Empresa CONTRATADA deverá portar e utilizar uniformes adequados à função, cartão de identificação, tipo crachá, contendo foto 3x4 recente, nome completo, função e equipamentos de Proteção Individual, conforme determina a Norma Regulamentadora NR-6, e seguir todas as recomendações contidas na NR-18.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PRAZO PARA INÍCIO DOS SERVIÇOS:</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A partir da assinatura do contrato a empresa CONTRATADA deverá apresentar até o 2º (segundo) dia útil todos os documentos e cronograma físico-financeiro. Eventuais correções e/ ou alterações desses documentos, solicitadas pela CONTRATANTE, deverão ser efetuadas pela CONTRATADA em até três (03) dias úteis.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Cumpridas as obrigações primeiras, dar-se-á o início dos serviços.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Os documentos necessários para o início dos serviços são:</w:t>
      </w:r>
    </w:p>
    <w:p>
      <w:pPr>
        <w:pStyle w:val="Normal"/>
        <w:numPr>
          <w:ilvl w:val="0"/>
          <w:numId w:val="33"/>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Aprovação do cronograma pela Secretaria Municipal de Cultura.</w:t>
      </w:r>
    </w:p>
    <w:p>
      <w:pPr>
        <w:pStyle w:val="Normal"/>
        <w:numPr>
          <w:ilvl w:val="0"/>
          <w:numId w:val="33"/>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Listagem dos colaboradores, com nome e documento, que efetivamente participarão da execução dos serviços no local das montagens. </w:t>
      </w:r>
    </w:p>
    <w:p>
      <w:pPr>
        <w:pStyle w:val="Normal"/>
        <w:numPr>
          <w:ilvl w:val="0"/>
          <w:numId w:val="33"/>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Declaração nomeando profissional registrado pelo CREA que acompanhará os serviços, assim, como o preposto da CONTRATADA.</w:t>
      </w:r>
    </w:p>
    <w:p>
      <w:pPr>
        <w:pStyle w:val="Normal"/>
        <w:numPr>
          <w:ilvl w:val="0"/>
          <w:numId w:val="33"/>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Entrega das ART’s (original ou autenticada – 2 vias), segundo exigência da Resolução CONFEA nº 1025 de 30/10/2009 do Conselho Federal de Engenharia, com comprovante de pagamento do CREA. (Atendendo as exigências explicitadas na Letra C, do item DA EXECUÇÃO DOS SERVIÇOS, deste TERMO DE REFERENCIA).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PRAZO PARA FINALIZAÇÃO DOS SERVIÇOS:</w:t>
      </w:r>
      <w:r>
        <w:rPr>
          <w:color w:val="000000"/>
          <w:kern w:val="0"/>
          <w:sz w:val="22"/>
          <w:szCs w:val="22"/>
          <w:lang w:eastAsia="pt-BR"/>
        </w:rPr>
        <w:t xml:space="preserve">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Para propiciar a perfeita compreensão das datas, considera-se como período de realização do evento o período de 16 à 20 de abril 2025.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O prazo máximo para conclusão total dos serviços constantes neste caderno técnico será no dia 14/04/2025, e início da desmontagem a partir dia 22/04/2025, após autorização da prefeitura de Piracicaba com término em 25/04/2025. </w:t>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i/>
          <w:iCs/>
          <w:color w:val="000000"/>
          <w:kern w:val="0"/>
          <w:sz w:val="22"/>
          <w:szCs w:val="22"/>
          <w:lang w:eastAsia="pt-BR"/>
        </w:rPr>
        <w:t xml:space="preserve">* </w:t>
      </w:r>
      <w:r>
        <w:rPr>
          <w:b/>
          <w:bCs/>
          <w:i/>
          <w:iCs/>
          <w:color w:val="000000"/>
          <w:kern w:val="0"/>
          <w:sz w:val="22"/>
          <w:szCs w:val="22"/>
          <w:lang w:eastAsia="pt-BR"/>
        </w:rPr>
        <w:t>Considera-se como cumpridas as etapas montagem e desmontagem, conforme atendido o descrito abaixo:</w:t>
      </w:r>
      <w:r>
        <w:rPr>
          <w:i/>
          <w:iCs/>
          <w:color w:val="000000"/>
          <w:kern w:val="0"/>
          <w:sz w:val="22"/>
          <w:szCs w:val="22"/>
          <w:lang w:eastAsia="pt-BR"/>
        </w:rPr>
        <w:t xml:space="preserve"> </w:t>
      </w:r>
    </w:p>
    <w:p>
      <w:pPr>
        <w:pStyle w:val="Normal"/>
        <w:numPr>
          <w:ilvl w:val="0"/>
          <w:numId w:val="34"/>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Será considerada concluída a MONTAGEM das estruturas tubulares, quando a empresa CONTRATADA concluir efetivamente todos os serviços previstos e VISTORIA APROVADA pelo Corpo de Bombeiros do Estado de São Paulo. </w:t>
      </w:r>
    </w:p>
    <w:p>
      <w:pPr>
        <w:pStyle w:val="Normal"/>
        <w:numPr>
          <w:ilvl w:val="0"/>
          <w:numId w:val="34"/>
        </w:numPr>
        <w:shd w:val="clear" w:color="auto" w:fill="FFFFFF"/>
        <w:suppressAutoHyphens w:val="false"/>
        <w:spacing w:lineRule="auto" w:line="360" w:before="113" w:after="113"/>
        <w:jc w:val="both"/>
        <w:rPr>
          <w:rFonts w:ascii="Arial" w:hAnsi="Arial" w:cs="Arial"/>
          <w:color w:val="000000"/>
          <w:kern w:val="0"/>
          <w:sz w:val="22"/>
          <w:szCs w:val="22"/>
          <w:lang w:eastAsia="pt-BR"/>
        </w:rPr>
      </w:pPr>
      <w:r>
        <w:rPr>
          <w:color w:val="000000"/>
          <w:kern w:val="0"/>
          <w:sz w:val="22"/>
          <w:szCs w:val="22"/>
          <w:lang w:eastAsia="pt-BR"/>
        </w:rPr>
        <w:t xml:space="preserve">Será considerada concluída a desmontagem das estruturas tubulares, quando a empresa contratada concluir efetivamente a desmontagem da arquibancada e concluídos todos os serviços de limpeza das áreas de montagem, com a remoção de quaisquer sobras de materiais, entulhos, lixo, etc., resultantes dos seus serviços, e restabelecidas as condições originais de todas as instalações permanentes, eventualmente afetadas e/ou danificadas durante a execução dos serviços de implantação das estruturas tubulares, notadamente as condições das grades, cercas, alambrados e portões e demais providências previstas nas especificações técnicas. </w:t>
      </w:r>
    </w:p>
    <w:p>
      <w:pPr>
        <w:pStyle w:val="Normal"/>
        <w:shd w:val="clear" w:color="auto" w:fill="FFFFFF"/>
        <w:suppressAutoHyphens w:val="false"/>
        <w:spacing w:lineRule="auto" w:line="360" w:before="113" w:after="113"/>
        <w:jc w:val="both"/>
        <w:rPr>
          <w:b/>
          <w:bCs/>
          <w:color w:val="000000"/>
          <w:kern w:val="0"/>
          <w:sz w:val="22"/>
          <w:szCs w:val="22"/>
          <w:u w:val="single"/>
          <w:lang w:eastAsia="pt-BR"/>
        </w:rPr>
      </w:pPr>
      <w:r>
        <w:rPr>
          <w:b/>
          <w:bCs/>
          <w:color w:val="000000"/>
          <w:kern w:val="0"/>
          <w:sz w:val="22"/>
          <w:szCs w:val="22"/>
          <w:u w:val="single"/>
          <w:lang w:eastAsia="pt-BR"/>
        </w:rPr>
        <w:t xml:space="preserve">* A empresa que vier a participar do certame licitatório para atender ao objeto deste caderno técnico deverá ter registro no CREA, bem como, deverá possuir aporte técnico que proporcione reais garantias dos serviços executados, utilizando-se para tal de materiais, equipamentos, ferramentas, materiais e mão de obra de boa qualidade, ou seja, treinada e experiente no serviço ora contratado, tendo como objetivo a boa durabilidade, resistência e acabamento. </w:t>
      </w:r>
    </w:p>
    <w:p>
      <w:pPr>
        <w:pStyle w:val="Normal"/>
        <w:suppressAutoHyphens w:val="false"/>
        <w:rPr>
          <w:b/>
          <w:bCs/>
          <w:color w:val="000000"/>
          <w:kern w:val="0"/>
          <w:sz w:val="22"/>
          <w:szCs w:val="22"/>
          <w:u w:val="single"/>
          <w:lang w:eastAsia="pt-BR"/>
        </w:rPr>
      </w:pPr>
      <w:r>
        <w:rPr>
          <w:b/>
          <w:bCs/>
          <w:color w:val="000000"/>
          <w:kern w:val="0"/>
          <w:sz w:val="22"/>
          <w:szCs w:val="22"/>
          <w:u w:val="single"/>
          <w:lang w:eastAsia="pt-BR"/>
        </w:rPr>
      </w:r>
      <w:r>
        <w:br w:type="page"/>
      </w:r>
    </w:p>
    <w:p>
      <w:pPr>
        <w:pStyle w:val="Normal"/>
        <w:shd w:val="clear" w:color="auto" w:fill="FFFFFF"/>
        <w:suppressAutoHyphens w:val="false"/>
        <w:spacing w:lineRule="auto" w:line="360" w:before="0" w:after="113"/>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Normal"/>
        <w:shd w:val="clear" w:color="auto" w:fill="FFFFFF"/>
        <w:suppressAutoHyphens w:val="false"/>
        <w:spacing w:lineRule="auto" w:line="360" w:before="113" w:after="113"/>
        <w:jc w:val="both"/>
        <w:rPr>
          <w:rFonts w:ascii="Arial" w:hAnsi="Arial" w:cs="Arial"/>
          <w:color w:val="000000"/>
          <w:kern w:val="0"/>
          <w:sz w:val="22"/>
          <w:szCs w:val="22"/>
          <w:lang w:eastAsia="pt-BR"/>
        </w:rPr>
      </w:pPr>
      <w:r>
        <w:rPr>
          <w:b/>
          <w:bCs/>
          <w:color w:val="000000"/>
          <w:kern w:val="0"/>
          <w:sz w:val="22"/>
          <w:szCs w:val="22"/>
          <w:lang w:eastAsia="pt-BR"/>
        </w:rPr>
        <w:t>IMAGEM I:</w:t>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drawing>
          <wp:anchor behindDoc="0" distT="0" distB="0" distL="0" distR="0" simplePos="0" locked="0" layoutInCell="0" allowOverlap="0" relativeHeight="41">
            <wp:simplePos x="0" y="0"/>
            <wp:positionH relativeFrom="column">
              <wp:align>left</wp:align>
            </wp:positionH>
            <wp:positionV relativeFrom="line">
              <wp:posOffset>635</wp:posOffset>
            </wp:positionV>
            <wp:extent cx="5429250" cy="7677150"/>
            <wp:effectExtent l="0" t="0" r="0" b="0"/>
            <wp:wrapSquare wrapText="bothSides"/>
            <wp:docPr id="1" name="Imagem 2" descr="C:\Users\anajm\AppData\Local\Temp\lu6380e4632.tmp\lu6380e463o_tmp_2605afb29a3fb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C:\Users\anajm\AppData\Local\Temp\lu6380e4632.tmp\lu6380e463o_tmp_2605afb29a3fb614.jpg"/>
                    <pic:cNvPicPr>
                      <a:picLocks noChangeAspect="1" noChangeArrowheads="1"/>
                    </pic:cNvPicPr>
                  </pic:nvPicPr>
                  <pic:blipFill>
                    <a:blip r:embed="rId5"/>
                    <a:stretch>
                      <a:fillRect/>
                    </a:stretch>
                  </pic:blipFill>
                  <pic:spPr bwMode="auto">
                    <a:xfrm>
                      <a:off x="0" y="0"/>
                      <a:ext cx="5429250" cy="7677150"/>
                    </a:xfrm>
                    <a:prstGeom prst="rect">
                      <a:avLst/>
                    </a:prstGeom>
                  </pic:spPr>
                </pic:pic>
              </a:graphicData>
            </a:graphic>
          </wp:anchor>
        </w:drawing>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Normal"/>
        <w:shd w:val="clear" w:color="auto" w:fill="FFFFFF"/>
        <w:suppressAutoHyphens w:val="false"/>
        <w:spacing w:lineRule="auto" w:line="360" w:before="113" w:after="240"/>
        <w:jc w:val="both"/>
        <w:rPr>
          <w:rFonts w:ascii="Arial" w:hAnsi="Arial" w:cs="Arial"/>
          <w:color w:val="000000"/>
          <w:kern w:val="0"/>
          <w:sz w:val="22"/>
          <w:szCs w:val="22"/>
          <w:lang w:eastAsia="pt-BR"/>
        </w:rPr>
      </w:pPr>
      <w:r>
        <w:rPr>
          <w:rFonts w:cs="Arial" w:ascii="Arial" w:hAnsi="Arial"/>
          <w:color w:val="000000"/>
          <w:kern w:val="0"/>
          <w:sz w:val="22"/>
          <w:szCs w:val="22"/>
          <w:lang w:eastAsia="pt-BR"/>
        </w:rPr>
      </w:r>
    </w:p>
    <w:p>
      <w:pPr>
        <w:pStyle w:val="Heading2"/>
        <w:numPr>
          <w:ilvl w:val="1"/>
          <w:numId w:val="1"/>
        </w:numPr>
        <w:tabs>
          <w:tab w:val="clear" w:pos="709"/>
        </w:tabs>
        <w:ind w:hanging="0" w:left="0"/>
        <w:rPr>
          <w:lang w:val="pt-BR"/>
        </w:rPr>
      </w:pPr>
      <w:r>
        <w:rPr>
          <w:lang w:val="pt-B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2"/>
        <w:numPr>
          <w:ilvl w:val="1"/>
          <w:numId w:val="1"/>
        </w:numPr>
        <w:tabs>
          <w:tab w:val="clear" w:pos="709"/>
        </w:tabs>
        <w:ind w:hanging="0" w:left="0"/>
        <w:rPr/>
      </w:pPr>
      <w:r>
        <w:rPr/>
      </w:r>
    </w:p>
    <w:p>
      <w:pPr>
        <w:pStyle w:val="Heading2"/>
        <w:numPr>
          <w:ilvl w:val="1"/>
          <w:numId w:val="1"/>
        </w:numPr>
        <w:tabs>
          <w:tab w:val="clear" w:pos="709"/>
        </w:tabs>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rPr>
      </w:pPr>
      <w:r>
        <w:rPr>
          <w:rFonts w:cs="Arial" w:ascii="Arial" w:hAnsi="Arial"/>
          <w:sz w:val="22"/>
        </w:rPr>
        <w:t>Pregão Eletrônico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7">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rPr>
      </w:pPr>
      <w:r>
        <w:rPr>
          <w:rFonts w:cs="Arial" w:ascii="Arial" w:hAnsi="Arial"/>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5.4.1. Comprovação do compromisso público ou particular de constituição do consórcio, subscrito pelos consorciados;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5.4.2. Indicação da empresa líder do consórcio, que será responsável por sua representação perante 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5.4.4. Responsabilidade solidária dos integrantes pelos atos praticados em consórcio, tanto na fase de licitação quanto na de execução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5.4.5. Procuração das consorciadas, outorgando à empresa líder poderes para representá-las perante a Contratante, em juízo ou fora dele. </w:t>
      </w:r>
    </w:p>
    <w:p>
      <w:pPr>
        <w:pStyle w:val="Normal"/>
        <w:ind w:firstLine="426"/>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8">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9">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overflowPunct w:val="false"/>
        <w:spacing w:lineRule="auto" w:line="240"/>
        <w:ind w:firstLine="284"/>
        <w:textAlignment w:val="auto"/>
        <w:rPr>
          <w:color w:val="auto"/>
          <w:sz w:val="20"/>
          <w:szCs w:val="20"/>
          <w:lang w:val="pt-BR"/>
        </w:rPr>
      </w:pPr>
      <w:r>
        <w:rPr>
          <w:color w:val="auto"/>
          <w:sz w:val="20"/>
          <w:szCs w:val="20"/>
          <w:lang w:val="pt-BR"/>
        </w:rPr>
      </w:r>
    </w:p>
    <w:p>
      <w:pPr>
        <w:pStyle w:val="BodyTextIndent"/>
        <w:tabs>
          <w:tab w:val="clear" w:pos="709"/>
          <w:tab w:val="left" w:pos="284" w:leader="none"/>
        </w:tabs>
        <w:overflowPunct w:val="fals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overflowPunct w:val="false"/>
        <w:spacing w:lineRule="auto" w:line="240"/>
        <w:ind w:firstLine="284"/>
        <w:textAlignment w:val="auto"/>
        <w:rPr>
          <w:color w:val="auto"/>
          <w:sz w:val="20"/>
          <w:szCs w:val="20"/>
        </w:rPr>
      </w:pPr>
      <w:r>
        <w:rPr>
          <w:color w:val="auto"/>
          <w:sz w:val="20"/>
          <w:szCs w:val="20"/>
        </w:rPr>
      </w:r>
    </w:p>
    <w:p>
      <w:pPr>
        <w:pStyle w:val="BodyTextIndent"/>
        <w:overflowPunct w:val="fals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overflowPunct w:val="false"/>
        <w:spacing w:lineRule="auto" w:line="240"/>
        <w:ind w:firstLine="284"/>
        <w:textAlignment w:val="auto"/>
        <w:rPr>
          <w:color w:val="auto"/>
          <w:sz w:val="20"/>
          <w:szCs w:val="20"/>
        </w:rPr>
      </w:pPr>
      <w:r>
        <w:rPr>
          <w:color w:val="auto"/>
          <w:sz w:val="20"/>
          <w:szCs w:val="20"/>
        </w:rPr>
      </w:r>
    </w:p>
    <w:p>
      <w:pPr>
        <w:pStyle w:val="BodyTextIndent"/>
        <w:overflowPunct w:val="false"/>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color w:val="auto"/>
          <w:sz w:val="20"/>
          <w:szCs w:val="20"/>
        </w:rPr>
      </w:pPr>
      <w:r>
        <w:rPr>
          <w:color w:val="auto"/>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rPr>
      </w:pPr>
      <w:r>
        <w:rPr>
          <w:rFonts w:cs="Arial" w:ascii="Arial" w:hAnsi="Arial"/>
        </w:rPr>
      </w:r>
    </w:p>
    <w:p>
      <w:pPr>
        <w:pStyle w:val="Heading8"/>
        <w:numPr>
          <w:ilvl w:val="7"/>
          <w:numId w:val="45"/>
        </w:numPr>
        <w:ind w:firstLine="284" w:left="0"/>
        <w:rPr>
          <w:rFonts w:cs="Arial"/>
          <w:caps/>
          <w:kern w:val="2"/>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46"/>
        </w:numPr>
        <w:ind w:firstLine="284" w:left="0"/>
        <w:rPr>
          <w:rFonts w:cs="Arial"/>
          <w:sz w:val="20"/>
          <w:szCs w:val="20"/>
        </w:rPr>
      </w:pPr>
      <w:r>
        <w:rPr>
          <w:rFonts w:cs="Arial"/>
          <w:caps/>
          <w:sz w:val="20"/>
          <w:szCs w:val="20"/>
        </w:rPr>
        <w:t>10</w:t>
      </w:r>
      <w:r>
        <w:rPr>
          <w:rFonts w:cs="Arial"/>
          <w:caps/>
          <w:sz w:val="20"/>
          <w:szCs w:val="20"/>
          <w:lang w:val="pt-BR"/>
        </w:rPr>
        <w:t>.</w:t>
      </w:r>
      <w:r>
        <w:rPr>
          <w:rFonts w:cs="Arial"/>
          <w:caps/>
          <w:sz w:val="20"/>
          <w:szCs w:val="20"/>
        </w:rPr>
        <w:t xml:space="preserve"> abertura</w:t>
      </w:r>
    </w:p>
    <w:p>
      <w:pPr>
        <w:pStyle w:val="Normal"/>
        <w:ind w:firstLine="284"/>
        <w:jc w:val="both"/>
        <w:rPr>
          <w:rFonts w:ascii="Arial" w:hAnsi="Arial" w:cs="Arial"/>
          <w:sz w:val="18"/>
        </w:rPr>
      </w:pPr>
      <w:r>
        <w:rPr>
          <w:rFonts w:cs="Arial" w:ascii="Arial" w:hAnsi="Arial"/>
          <w:sz w:val="18"/>
        </w:rPr>
      </w:r>
    </w:p>
    <w:p>
      <w:pPr>
        <w:pStyle w:val="Normal"/>
        <w:numPr>
          <w:ilvl w:val="0"/>
          <w:numId w:val="47"/>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48"/>
        </w:numPr>
        <w:ind w:firstLine="284" w:left="0"/>
        <w:jc w:val="both"/>
        <w:rPr>
          <w:rFonts w:ascii="Arial" w:hAnsi="Arial" w:cs="Arial"/>
          <w:sz w:val="18"/>
        </w:rPr>
      </w:pPr>
      <w:r>
        <w:rPr>
          <w:rFonts w:cs="Arial" w:ascii="Arial" w:hAnsi="Arial"/>
          <w:sz w:val="18"/>
        </w:rPr>
      </w:r>
    </w:p>
    <w:p>
      <w:pPr>
        <w:pStyle w:val="Normal"/>
        <w:numPr>
          <w:ilvl w:val="0"/>
          <w:numId w:val="49"/>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50"/>
        </w:numPr>
        <w:ind w:firstLine="284" w:left="0"/>
        <w:jc w:val="both"/>
        <w:rPr>
          <w:rFonts w:ascii="Arial" w:hAnsi="Arial" w:cs="Arial"/>
          <w:sz w:val="18"/>
        </w:rPr>
      </w:pPr>
      <w:r>
        <w:rPr>
          <w:rFonts w:cs="Arial" w:ascii="Arial" w:hAnsi="Arial"/>
          <w:sz w:val="18"/>
        </w:rPr>
      </w:r>
    </w:p>
    <w:p>
      <w:pPr>
        <w:pStyle w:val="Normal"/>
        <w:numPr>
          <w:ilvl w:val="0"/>
          <w:numId w:val="51"/>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52"/>
        </w:numPr>
        <w:ind w:firstLine="284" w:left="0"/>
        <w:jc w:val="both"/>
        <w:rPr>
          <w:rFonts w:ascii="Arial" w:hAnsi="Arial" w:cs="Arial"/>
          <w:sz w:val="18"/>
        </w:rPr>
      </w:pPr>
      <w:r>
        <w:rPr>
          <w:rFonts w:cs="Arial" w:ascii="Arial" w:hAnsi="Arial"/>
          <w:sz w:val="18"/>
        </w:rPr>
      </w:r>
    </w:p>
    <w:p>
      <w:pPr>
        <w:pStyle w:val="Normal"/>
        <w:numPr>
          <w:ilvl w:val="0"/>
          <w:numId w:val="53"/>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54"/>
        </w:numPr>
        <w:ind w:firstLine="284" w:left="0"/>
        <w:jc w:val="both"/>
        <w:rPr>
          <w:rFonts w:ascii="Arial" w:hAnsi="Arial" w:cs="Arial"/>
          <w:sz w:val="18"/>
        </w:rPr>
      </w:pPr>
      <w:r>
        <w:rPr>
          <w:rFonts w:cs="Arial" w:ascii="Arial" w:hAnsi="Arial"/>
          <w:sz w:val="18"/>
        </w:rPr>
      </w:r>
    </w:p>
    <w:p>
      <w:pPr>
        <w:pStyle w:val="Normal"/>
        <w:numPr>
          <w:ilvl w:val="0"/>
          <w:numId w:val="55"/>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56"/>
        </w:numPr>
        <w:ind w:firstLine="284" w:left="0"/>
        <w:jc w:val="both"/>
        <w:rPr>
          <w:rFonts w:ascii="Arial" w:hAnsi="Arial" w:cs="Arial"/>
          <w:sz w:val="18"/>
        </w:rPr>
      </w:pPr>
      <w:r>
        <w:rPr>
          <w:rFonts w:cs="Arial" w:ascii="Arial" w:hAnsi="Arial"/>
          <w:sz w:val="18"/>
        </w:rPr>
      </w:r>
    </w:p>
    <w:p>
      <w:pPr>
        <w:pStyle w:val="Normal"/>
        <w:numPr>
          <w:ilvl w:val="0"/>
          <w:numId w:val="57"/>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58"/>
        </w:numPr>
        <w:ind w:firstLine="284" w:left="0"/>
        <w:jc w:val="both"/>
        <w:rPr>
          <w:rFonts w:ascii="Arial" w:hAnsi="Arial" w:cs="Arial"/>
          <w:sz w:val="18"/>
        </w:rPr>
      </w:pPr>
      <w:r>
        <w:rPr>
          <w:rFonts w:cs="Arial" w:ascii="Arial" w:hAnsi="Arial"/>
          <w:sz w:val="18"/>
        </w:rPr>
      </w:r>
    </w:p>
    <w:p>
      <w:pPr>
        <w:pStyle w:val="BodyText"/>
        <w:numPr>
          <w:ilvl w:val="0"/>
          <w:numId w:val="59"/>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60"/>
        </w:numPr>
        <w:ind w:firstLine="284" w:left="0"/>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18"/>
          <w:szCs w:val="20"/>
        </w:rPr>
      </w:pPr>
      <w:r>
        <w:rPr>
          <w:sz w:val="18"/>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18"/>
          <w:szCs w:val="20"/>
          <w:highlight w:val="yellow"/>
        </w:rPr>
      </w:pPr>
      <w:r>
        <w:rPr>
          <w:sz w:val="18"/>
          <w:szCs w:val="20"/>
          <w:highlight w:val="yellow"/>
        </w:rPr>
      </w:r>
    </w:p>
    <w:p>
      <w:pPr>
        <w:pStyle w:val="BodyText"/>
        <w:numPr>
          <w:ilvl w:val="0"/>
          <w:numId w:val="6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62"/>
        </w:numPr>
        <w:ind w:firstLine="284" w:left="0"/>
        <w:rPr>
          <w:sz w:val="18"/>
          <w:szCs w:val="20"/>
        </w:rPr>
      </w:pPr>
      <w:r>
        <w:rPr>
          <w:sz w:val="18"/>
          <w:szCs w:val="20"/>
        </w:rPr>
      </w:r>
    </w:p>
    <w:p>
      <w:pPr>
        <w:pStyle w:val="BodyText"/>
        <w:numPr>
          <w:ilvl w:val="0"/>
          <w:numId w:val="63"/>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pPr>
        <w:pStyle w:val="BodyText"/>
        <w:numPr>
          <w:ilvl w:val="0"/>
          <w:numId w:val="64"/>
        </w:numPr>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tabs>
          <w:tab w:val="clear" w:pos="709"/>
          <w:tab w:val="left" w:pos="795" w:leader="none"/>
        </w:tabs>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10">
        <w:r>
          <w:rPr>
            <w:rStyle w:val="ListLabel363"/>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bookmarkStart w:id="4"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4"/>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5" w:name="_Ref114668139"/>
      <w:bookmarkStart w:id="6"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7" w:name="_Ref114668249"/>
      <w:bookmarkStart w:id="8"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8"/>
    </w:p>
    <w:p>
      <w:pPr>
        <w:pStyle w:val="Normal"/>
        <w:ind w:firstLine="284"/>
        <w:jc w:val="both"/>
        <w:rPr>
          <w:rFonts w:ascii="Arial" w:hAnsi="Arial" w:cs="Arial"/>
        </w:rPr>
      </w:pPr>
      <w:r>
        <w:rPr>
          <w:rFonts w:cs="Arial" w:ascii="Arial" w:hAnsi="Arial"/>
        </w:rPr>
      </w:r>
      <w:bookmarkStart w:id="9" w:name="_Ref114668245"/>
      <w:bookmarkStart w:id="10"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10"/>
    </w:p>
    <w:p>
      <w:pPr>
        <w:pStyle w:val="Normal"/>
        <w:ind w:firstLine="284"/>
        <w:jc w:val="both"/>
        <w:rPr>
          <w:rFonts w:ascii="Arial" w:hAnsi="Arial" w:cs="Arial"/>
        </w:rPr>
      </w:pPr>
      <w:r>
        <w:rPr>
          <w:rFonts w:cs="Arial" w:ascii="Arial" w:hAnsi="Arial"/>
        </w:rPr>
      </w:r>
      <w:bookmarkStart w:id="11" w:name="_Ref114668247"/>
      <w:bookmarkStart w:id="12"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3" w:name="_Ref114668251"/>
      <w:bookmarkStart w:id="14"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4"/>
    </w:p>
    <w:p>
      <w:pPr>
        <w:pStyle w:val="Normal"/>
        <w:ind w:firstLine="284"/>
        <w:jc w:val="both"/>
        <w:rPr>
          <w:rFonts w:ascii="Arial" w:hAnsi="Arial" w:cs="Arial"/>
        </w:rPr>
      </w:pPr>
      <w:r>
        <w:rPr>
          <w:rFonts w:cs="Arial" w:ascii="Arial" w:hAnsi="Arial"/>
        </w:rPr>
      </w:r>
      <w:bookmarkStart w:id="15" w:name="_Ref114668252"/>
      <w:bookmarkStart w:id="16"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ListLabel363"/>
          <w:rFonts w:cs="Arial" w:ascii="Arial" w:hAnsi="Arial"/>
        </w:rPr>
        <w:instrText xml:space="preserve"> HYPERLINK "https://www.planalto.gov.br/ccivil_03/_ato2011-2014/2013/lei/l12846.htm" \l "art5"</w:instrText>
      </w:r>
      <w:r>
        <w:rPr>
          <w:rStyle w:val="ListLabel363"/>
          <w:rFonts w:cs="Arial" w:ascii="Arial" w:hAnsi="Arial"/>
        </w:rPr>
        <w:fldChar w:fldCharType="separate"/>
      </w:r>
      <w:r>
        <w:rPr>
          <w:rStyle w:val="ListLabel363"/>
          <w:rFonts w:cs="Arial" w:ascii="Arial" w:hAnsi="Arial"/>
        </w:rPr>
        <w:t>art. 5º da Lei n.º 12.846, de 2013</w:t>
      </w:r>
      <w:r>
        <w:rPr>
          <w:rStyle w:val="ListLabel363"/>
          <w:rFonts w:cs="Arial" w:ascii="Arial" w:hAnsi="Arial"/>
        </w:rPr>
        <w:fldChar w:fldCharType="end"/>
      </w:r>
      <w:r>
        <w:rPr>
          <w:rFonts w:cs="Arial" w:ascii="Arial" w:hAnsi="Arial"/>
        </w:rPr>
        <w:t>.</w:t>
      </w:r>
      <w:bookmarkEnd w:id="1"/>
      <w:bookmarkEnd w:id="16"/>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1">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2">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16.1. </w:t>
      </w:r>
      <w:r>
        <w:rPr>
          <w:rFonts w:cs="Arial" w:ascii="Arial" w:hAnsi="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 </w:t>
      </w:r>
      <w:r>
        <w:rPr>
          <w:rFonts w:cs="Arial" w:ascii="Arial" w:hAnsi="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 </w:t>
      </w:r>
      <w:r>
        <w:rPr>
          <w:rFonts w:cs="Arial" w:ascii="Arial" w:hAnsi="Arial"/>
        </w:rPr>
        <w:t>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16.5. </w:t>
      </w:r>
      <w:r>
        <w:rPr>
          <w:rFonts w:cs="Arial" w:ascii="Arial" w:hAnsi="Arial"/>
        </w:rPr>
        <w:t>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16.6. </w:t>
      </w:r>
      <w:r>
        <w:rPr>
          <w:rFonts w:cs="Arial" w:ascii="Arial" w:hAnsi="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16.7. </w:t>
      </w:r>
      <w:r>
        <w:rPr>
          <w:rFonts w:cs="Arial" w:ascii="Arial" w:hAnsi="Arial"/>
        </w:rPr>
        <w:t>As licitantes intimadas para prestar qualquer esclarecimento adicional deverão fazê-lo no prazo determinado pelo Pregoeiro, sob pena de desclassificação/inabilitação.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kern w:val="2"/>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65"/>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10"/>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9"/>
        <w:gridCol w:w="850"/>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bl>
    <w:p>
      <w:pPr>
        <w:pStyle w:val="Normal"/>
        <w:tabs>
          <w:tab w:val="clear" w:pos="709"/>
          <w:tab w:val="left" w:pos="284" w:leader="none"/>
        </w:tabs>
        <w:jc w:val="both"/>
        <w:rPr>
          <w:rFonts w:ascii="Arial" w:hAnsi="Arial" w:cs="Arial"/>
          <w:kern w:val="2"/>
        </w:rPr>
      </w:pPr>
      <w:r>
        <w:rPr>
          <w:rFonts w:cs="Arial" w:ascii="Arial" w:hAnsi="Arial"/>
          <w:kern w:val="2"/>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rPr>
      </w:pPr>
      <w:r>
        <w:rPr>
          <w:rFonts w:cs="Arial" w:ascii="Arial" w:hAnsi="Arial"/>
          <w:b/>
          <w:bCs/>
        </w:rPr>
        <w:t>MINUTA DE CONTRATO OU TERMO EQUIVALENTE</w:t>
      </w:r>
    </w:p>
    <w:p>
      <w:pPr>
        <w:pStyle w:val="Normal"/>
        <w:tabs>
          <w:tab w:val="clear" w:pos="709"/>
          <w:tab w:val="left" w:pos="284" w:leader="none"/>
        </w:tabs>
        <w:jc w:val="center"/>
        <w:rPr>
          <w:rFonts w:ascii="Arial" w:hAnsi="Arial" w:cs="Arial"/>
          <w:b/>
          <w:bCs/>
        </w:rPr>
      </w:pPr>
      <w:r>
        <w:rPr>
          <w:rFonts w:cs="Arial" w:ascii="Arial" w:hAnsi="Arial"/>
        </w:rPr>
        <w:t>====================================================================================</w:t>
      </w:r>
    </w:p>
    <w:p>
      <w:pPr>
        <w:pStyle w:val="Normal"/>
        <w:jc w:val="both"/>
        <w:rPr>
          <w:b/>
          <w:sz w:val="24"/>
          <w:szCs w:val="24"/>
          <w:u w:val="single"/>
        </w:rPr>
      </w:pPr>
      <w:r>
        <w:rPr>
          <w:b/>
          <w:sz w:val="24"/>
          <w:szCs w:val="24"/>
          <w:u w:val="single"/>
        </w:rPr>
        <w:t>CONTRATO QUE ENTRE SI FAZEM A PREFEITURA DO MUNICÍPIO DE PIRACICABA E ................................................, PARA A LOCAÇÃO DE ESTRUTURAS TUBULARES (ARQUIBANCADA) PARA O ESPETÁCULO “PAIXÃO DE CRISTO”.</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w:t>
      </w:r>
    </w:p>
    <w:p>
      <w:pPr>
        <w:pStyle w:val="Normal"/>
        <w:jc w:val="both"/>
        <w:rPr>
          <w:sz w:val="24"/>
          <w:szCs w:val="24"/>
        </w:rPr>
      </w:pPr>
      <w:r>
        <w:rPr>
          <w:b/>
          <w:sz w:val="24"/>
          <w:szCs w:val="24"/>
        </w:rPr>
        <w:t>Prazo: até o término dos serviços (</w:t>
      </w:r>
      <w:bookmarkStart w:id="17" w:name="_GoBack"/>
      <w:bookmarkEnd w:id="17"/>
      <w:r>
        <w:rPr>
          <w:b/>
          <w:sz w:val="24"/>
          <w:szCs w:val="24"/>
        </w:rPr>
        <w:t>estimado para 25 de abril de 2025).</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2025/32.250</w:t>
      </w:r>
    </w:p>
    <w:p>
      <w:pPr>
        <w:pStyle w:val="Normal"/>
        <w:jc w:val="both"/>
        <w:rPr>
          <w:sz w:val="24"/>
          <w:szCs w:val="24"/>
        </w:rPr>
      </w:pPr>
      <w:r>
        <w:rPr>
          <w:b/>
          <w:sz w:val="24"/>
          <w:szCs w:val="24"/>
        </w:rPr>
        <w:t>Pregão Eletrônico n.º ..../2025.</w:t>
      </w:r>
    </w:p>
    <w:p>
      <w:pPr>
        <w:pStyle w:val="Normal"/>
        <w:jc w:val="both"/>
        <w:rPr>
          <w:sz w:val="24"/>
          <w:szCs w:val="24"/>
        </w:rPr>
      </w:pPr>
      <w:r>
        <w:rPr>
          <w:b/>
          <w:sz w:val="24"/>
          <w:szCs w:val="24"/>
        </w:rPr>
        <w:t>Contrato n.º …./202..</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ind w:firstLine="851"/>
        <w:jc w:val="both"/>
        <w:rPr>
          <w:b/>
          <w:sz w:val="24"/>
          <w:szCs w:val="24"/>
        </w:rPr>
      </w:pPr>
      <w:r>
        <w:rPr>
          <w:b/>
          <w:sz w:val="24"/>
          <w:szCs w:val="24"/>
        </w:rPr>
      </w:r>
    </w:p>
    <w:p>
      <w:pPr>
        <w:pStyle w:val="Normal"/>
        <w:jc w:val="both"/>
        <w:rPr>
          <w:b/>
          <w:sz w:val="24"/>
          <w:szCs w:val="24"/>
        </w:rPr>
      </w:pPr>
      <w:r>
        <w:rPr>
          <w:b/>
          <w:sz w:val="24"/>
          <w:szCs w:val="24"/>
        </w:rPr>
      </w:r>
    </w:p>
    <w:p>
      <w:pPr>
        <w:pStyle w:val="Normal"/>
        <w:jc w:val="both"/>
        <w:rPr>
          <w:b/>
          <w:sz w:val="24"/>
          <w:szCs w:val="24"/>
        </w:rPr>
      </w:pPr>
      <w:r>
        <w:rPr>
          <w:b/>
          <w:sz w:val="24"/>
          <w:szCs w:val="24"/>
        </w:rPr>
      </w:r>
    </w:p>
    <w:p>
      <w:pPr>
        <w:pStyle w:val="Normal"/>
        <w:jc w:val="both"/>
        <w:rPr>
          <w:b/>
          <w:sz w:val="24"/>
          <w:szCs w:val="24"/>
        </w:rPr>
      </w:pPr>
      <w:r>
        <w:rPr>
          <w:b/>
          <w:sz w:val="24"/>
          <w:szCs w:val="24"/>
        </w:rPr>
      </w:r>
    </w:p>
    <w:p>
      <w:pPr>
        <w:pStyle w:val="Normal"/>
        <w:jc w:val="both"/>
        <w:rPr>
          <w:b/>
          <w:sz w:val="24"/>
          <w:szCs w:val="24"/>
        </w:rPr>
      </w:pPr>
      <w:r>
        <w:rPr>
          <w:b/>
          <w:sz w:val="24"/>
          <w:szCs w:val="24"/>
        </w:rPr>
      </w:r>
    </w:p>
    <w:p>
      <w:pPr>
        <w:pStyle w:val="Normal"/>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Cultura, Sr. </w:t>
      </w:r>
      <w:r>
        <w:rPr>
          <w:b/>
          <w:sz w:val="24"/>
          <w:szCs w:val="24"/>
        </w:rPr>
        <w:t>CARLOS ALBERTO LORDELLO BELTRAME</w:t>
      </w:r>
      <w:r>
        <w:rPr>
          <w:sz w:val="24"/>
          <w:szCs w:val="24"/>
          <w:shd w:fill="FFFFFF" w:val="clear"/>
        </w:rPr>
        <w:t>, inscrito no CPF nº 017.217.888-67</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960"/>
        <w:gridCol w:w="4961"/>
      </w:tblGrid>
      <w:tr>
        <w:trPr/>
        <w:tc>
          <w:tcPr>
            <w:tcW w:w="4960"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2ª - DO OBJETO</w:t>
            </w:r>
          </w:p>
        </w:tc>
        <w:tc>
          <w:tcPr>
            <w:tcW w:w="4961"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rPr>
            </w:pPr>
            <w:r>
              <w:rPr>
                <w:b/>
                <w:sz w:val="24"/>
                <w:szCs w:val="24"/>
              </w:rPr>
            </w:r>
          </w:p>
        </w:tc>
      </w:tr>
    </w:tbl>
    <w:p>
      <w:pPr>
        <w:pStyle w:val="Normal"/>
        <w:ind w:firstLine="851"/>
        <w:jc w:val="both"/>
        <w:rPr>
          <w:b/>
          <w:sz w:val="24"/>
          <w:szCs w:val="24"/>
        </w:rPr>
      </w:pPr>
      <w:r>
        <w:rPr>
          <w:b/>
          <w:sz w:val="24"/>
          <w:szCs w:val="24"/>
        </w:rPr>
      </w:r>
    </w:p>
    <w:p>
      <w:pPr>
        <w:pStyle w:val="BodyTextIndent"/>
        <w:ind w:firstLine="851"/>
        <w:rPr/>
      </w:pPr>
      <w:r>
        <w:rPr>
          <w:b/>
        </w:rPr>
        <w:t>2.1. A CONTRATADA se obriga a locar estruturas tubulares (arquibancadas) para o espetáculo “Paixão de Cristo”, conforme descrição detalhada constante do Edital de Pregão Eletrônico nº .../2025,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1 12011 13392002121180000 0101011000 339039, constante do exercício de 2025.</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sz w:val="24"/>
                <w:szCs w:val="24"/>
              </w:rPr>
              <w:t>.</w:t>
            </w: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Cultura,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t xml:space="preserve">E-mail para emissão da NF-e: </w:t>
      </w:r>
      <w:hyperlink r:id="rId13">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Cultura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o término dos serviços, a contar da data da Ordem de Serviços.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 </w:t>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2025.</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0"/>
        <w:gridCol w:w="321"/>
        <w:gridCol w:w="4801"/>
      </w:tblGrid>
      <w:tr>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CARLOS ALBERTO L. BELTRAME</w:t>
            </w:r>
          </w:p>
          <w:p>
            <w:pPr>
              <w:pStyle w:val="Normal"/>
              <w:jc w:val="center"/>
              <w:rPr>
                <w:b/>
                <w:sz w:val="24"/>
                <w:szCs w:val="24"/>
              </w:rPr>
            </w:pPr>
            <w:r>
              <w:rPr>
                <w:b/>
                <w:sz w:val="24"/>
                <w:szCs w:val="24"/>
              </w:rPr>
              <w:t>Secretário Municipal de Cultura</w:t>
            </w:r>
          </w:p>
        </w:tc>
        <w:tc>
          <w:tcPr>
            <w:tcW w:w="321" w:type="dxa"/>
            <w:tcBorders>
              <w:left w:val="single" w:sz="4" w:space="0" w:color="000000"/>
            </w:tcBorders>
            <w:shd w:color="auto" w:fill="auto" w:val="clear"/>
          </w:tcPr>
          <w:p>
            <w:pPr>
              <w:pStyle w:val="Normal"/>
              <w:snapToGrid w:val="false"/>
              <w:jc w:val="both"/>
              <w:rPr>
                <w:sz w:val="24"/>
                <w:szCs w:val="24"/>
              </w:rPr>
            </w:pPr>
            <w:r>
              <w:rPr>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2"/>
        <w:gridCol w:w="319"/>
        <w:gridCol w:w="4801"/>
      </w:tblGrid>
      <w:tr>
        <w:trPr>
          <w:trHeight w:val="1089" w:hRule="atLeast"/>
        </w:trPr>
        <w:tc>
          <w:tcPr>
            <w:tcW w:w="4802" w:type="dxa"/>
            <w:tcBorders>
              <w:top w:val="single" w:sz="4" w:space="0" w:color="000000"/>
              <w:lef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19"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tabs>
          <w:tab w:val="clear" w:pos="709"/>
          <w:tab w:val="left" w:pos="284" w:leader="none"/>
        </w:tabs>
        <w:jc w:val="both"/>
        <w:rPr>
          <w:rFonts w:ascii="Arial" w:hAnsi="Arial" w:cs="Arial"/>
        </w:rPr>
      </w:pPr>
      <w:r>
        <w:rPr>
          <w:rFonts w:cs="Arial" w:ascii="Arial" w:hAnsi="Arial"/>
        </w:rPr>
      </w:r>
    </w:p>
    <w:p>
      <w:pPr>
        <w:pStyle w:val="Normal"/>
        <w:ind w:firstLine="567"/>
        <w:jc w:val="both"/>
        <w:rPr/>
      </w:pPr>
      <w:r>
        <w:rPr/>
      </w:r>
    </w:p>
    <w:sectPr>
      <w:headerReference w:type="default" r:id="rId14"/>
      <w:footerReference w:type="default" r:id="rId15"/>
      <w:type w:val="nextPage"/>
      <w:pgSz w:w="11906" w:h="16838"/>
      <w:pgMar w:left="1134" w:right="850" w:gutter="0" w:header="283" w:top="1134" w:footer="283" w:bottom="568"/>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Verdana">
    <w:charset w:val="00"/>
    <w:family w:val="roman"/>
    <w:pitch w:val="variable"/>
  </w:font>
  <w:font w:name="Book Antiqu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32/2025</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39</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39</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6299835" cy="6184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80">
          <wp:simplePos x="0" y="0"/>
          <wp:positionH relativeFrom="column">
            <wp:posOffset>-41910</wp:posOffset>
          </wp:positionH>
          <wp:positionV relativeFrom="paragraph">
            <wp:posOffset>-172720</wp:posOffset>
          </wp:positionV>
          <wp:extent cx="1770380" cy="989965"/>
          <wp:effectExtent l="0" t="0" r="0" b="0"/>
          <wp:wrapTopAndBottom/>
          <wp:docPr id="2"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descr=""/>
                  <pic:cNvPicPr>
                    <a:picLocks noChangeAspect="1" noChangeArrowheads="1"/>
                  </pic:cNvPicPr>
                </pic:nvPicPr>
                <pic:blipFill>
                  <a:blip r:embed="rId1"/>
                  <a:stretch>
                    <a:fillRect/>
                  </a:stretch>
                </pic:blipFill>
                <pic:spPr bwMode="auto">
                  <a:xfrm>
                    <a:off x="0" y="0"/>
                    <a:ext cx="1770380" cy="989965"/>
                  </a:xfrm>
                  <a:prstGeom prst="rect">
                    <a:avLst/>
                  </a:prstGeom>
                </pic:spPr>
              </pic:pic>
            </a:graphicData>
          </a:graphic>
        </wp:anchor>
      </w:drawing>
      <mc:AlternateContent>
        <mc:Choice Requires="wps">
          <w:drawing>
            <wp:anchor behindDoc="1" distT="0" distB="0" distL="114935" distR="113665" simplePos="0" locked="0" layoutInCell="0" allowOverlap="1" relativeHeight="157"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6701A033">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18"/>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18"/>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1"/>
      <w:numFmt w:val="upperRoman"/>
      <w:lvlText w:val="%1."/>
      <w:lvlJc w:val="right"/>
      <w:pPr>
        <w:tabs>
          <w:tab w:val="num" w:pos="720"/>
        </w:tabs>
        <w:ind w:left="720" w:hanging="360"/>
      </w:pPr>
      <w:rPr/>
    </w:lvl>
    <w:lvl w:ilvl="1">
      <w:start w:val="1"/>
      <w:numFmt w:val="upperRoman"/>
      <w:lvlText w:val="%2."/>
      <w:lvlJc w:val="right"/>
      <w:pPr>
        <w:tabs>
          <w:tab w:val="num" w:pos="1440"/>
        </w:tabs>
        <w:ind w:left="1440" w:hanging="360"/>
      </w:pPr>
      <w:rPr/>
    </w:lvl>
    <w:lvl w:ilvl="2">
      <w:start w:val="1"/>
      <w:numFmt w:val="upperRoman"/>
      <w:lvlText w:val="%3."/>
      <w:lvlJc w:val="right"/>
      <w:pPr>
        <w:tabs>
          <w:tab w:val="num" w:pos="2160"/>
        </w:tabs>
        <w:ind w:left="2160" w:hanging="360"/>
      </w:pPr>
      <w:rPr/>
    </w:lvl>
    <w:lvl w:ilvl="3">
      <w:start w:val="1"/>
      <w:numFmt w:val="upperRoman"/>
      <w:lvlText w:val="%4."/>
      <w:lvlJc w:val="right"/>
      <w:pPr>
        <w:tabs>
          <w:tab w:val="num" w:pos="2880"/>
        </w:tabs>
        <w:ind w:left="2880" w:hanging="360"/>
      </w:pPr>
      <w:rPr/>
    </w:lvl>
    <w:lvl w:ilvl="4">
      <w:start w:val="1"/>
      <w:numFmt w:val="upperRoman"/>
      <w:lvlText w:val="%5."/>
      <w:lvlJc w:val="right"/>
      <w:pPr>
        <w:tabs>
          <w:tab w:val="num" w:pos="3600"/>
        </w:tabs>
        <w:ind w:left="3600" w:hanging="360"/>
      </w:pPr>
      <w:rPr/>
    </w:lvl>
    <w:lvl w:ilvl="5">
      <w:start w:val="1"/>
      <w:numFmt w:val="upperRoman"/>
      <w:lvlText w:val="%6."/>
      <w:lvlJc w:val="right"/>
      <w:pPr>
        <w:tabs>
          <w:tab w:val="num" w:pos="4320"/>
        </w:tabs>
        <w:ind w:left="4320" w:hanging="360"/>
      </w:pPr>
      <w:rPr/>
    </w:lvl>
    <w:lvl w:ilvl="6">
      <w:start w:val="1"/>
      <w:numFmt w:val="upperRoman"/>
      <w:lvlText w:val="%7."/>
      <w:lvlJc w:val="right"/>
      <w:pPr>
        <w:tabs>
          <w:tab w:val="num" w:pos="5040"/>
        </w:tabs>
        <w:ind w:left="5040" w:hanging="360"/>
      </w:pPr>
      <w:rPr/>
    </w:lvl>
    <w:lvl w:ilvl="7">
      <w:start w:val="1"/>
      <w:numFmt w:val="upperRoman"/>
      <w:lvlText w:val="%8."/>
      <w:lvlJc w:val="right"/>
      <w:pPr>
        <w:tabs>
          <w:tab w:val="num" w:pos="5760"/>
        </w:tabs>
        <w:ind w:left="5760" w:hanging="360"/>
      </w:pPr>
      <w:rPr/>
    </w:lvl>
    <w:lvl w:ilvl="8">
      <w:start w:val="1"/>
      <w:numFmt w:val="upperRoman"/>
      <w:lvlText w:val="%9."/>
      <w:lvlJc w:val="right"/>
      <w:pPr>
        <w:tabs>
          <w:tab w:val="num" w:pos="6480"/>
        </w:tabs>
        <w:ind w:left="6480" w:hanging="360"/>
      </w:pPr>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4"/>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0"/>
    <w:lvlOverride w:ilvl="0">
      <w:startOverride w:val="1"/>
    </w:lvlOverride>
  </w:num>
</w:numbering>
</file>

<file path=word/settings.xml><?xml version="1.0" encoding="utf-8"?>
<w:settings xmlns:w="http://schemas.openxmlformats.org/wordprocessingml/2006/main">
  <w:zoom w:percent="110"/>
  <w:displayBackgroundShape/>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BodyText"/>
    <w:qFormat/>
    <w:pPr/>
    <w:rPr>
      <w:sz w:val="56"/>
      <w:szCs w:val="56"/>
    </w:rPr>
  </w:style>
  <w:style w:type="paragraph" w:styleId="Caption1">
    <w:name w:val="caption1"/>
    <w:basedOn w:val="Normal"/>
    <w:qFormat/>
    <w:pPr>
      <w:suppressLineNumbers/>
      <w:spacing w:before="120" w:after="120"/>
    </w:pPr>
    <w:rPr>
      <w:rFonts w:cs="Mangal"/>
      <w:i/>
      <w:iCs/>
      <w:sz w:val="24"/>
      <w:szCs w:val="24"/>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e95547"/>
    <w:pPr>
      <w:suppressLineNumbers/>
    </w:pPr>
    <w:rPr>
      <w:rFonts w:ascii="Liberation Serif" w:hAnsi="Liberation Serif" w:eastAsia="SimSun" w:cs="Mangal"/>
      <w:sz w:val="24"/>
      <w:szCs w:val="24"/>
      <w:lang w:bidi="hi-IN"/>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8"/>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eastAsia="zh-CN" w:bidi="hi-IN" w:val="pt-BR"/>
    </w:rPr>
  </w:style>
  <w:style w:type="paragraph" w:styleId="TableContents" w:customStyle="1">
    <w:name w:val="Table Contents"/>
    <w:basedOn w:val="Standard1"/>
    <w:qFormat/>
    <w:rsid w:val="00e95547"/>
    <w:pPr>
      <w:suppressLineNumbers/>
    </w:pP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6f4c2f"/>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piracicaba.sp.gov.br/wp-content/uploads/2024/07/Tutorial-Memorial-de-Segurantha-no-Sem-Papel.pdf" TargetMode="External"/><Relationship Id="rId4" Type="http://schemas.openxmlformats.org/officeDocument/2006/relationships/hyperlink" Target="https://bnccompras.com/" TargetMode="External"/><Relationship Id="rId5" Type="http://schemas.openxmlformats.org/officeDocument/2006/relationships/image" Target="media/image1.jpeg"/><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s://bnccompras.co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notafiscal@piracicaba.sp.gov.br" TargetMode="External"/><Relationship Id="rId13" Type="http://schemas.openxmlformats.org/officeDocument/2006/relationships/hyperlink" Target="mailto:notafiscal@piracicaba.sp.gov.br"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schemas.microsoft.com/office/infopath/2007/PartnerControls"/>
    <ds:schemaRef ds:uri="http://purl.org/dc/elements/1.1/"/>
    <ds:schemaRef ds:uri="60198707-c4ff-4d5d-8bc5-5efdd47f407d"/>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B61EAF-F747-4691-AB63-4B07BE79D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Application>LibreOffice/7.6.7.2$Windows_X86_64 LibreOffice_project/dd47e4b30cb7dab30588d6c79c651f218165e3c5</Application>
  <AppVersion>15.0000</AppVersion>
  <Pages>39</Pages>
  <Words>14282</Words>
  <Characters>83111</Characters>
  <CharactersWithSpaces>96866</CharactersWithSpaces>
  <Paragraphs>660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2025-03-13T17:30:00Z</dcterms:created>
  <dc:creator>Thiago Luiz Araujo Santos</dc:creator>
  <dc:description/>
  <dc:language>pt-BR</dc:language>
  <cp:lastModifiedBy/>
  <cp:lastPrinted>2022-08-03T17:48:00Z</cp:lastPrinted>
  <dcterms:modified xsi:type="dcterms:W3CDTF">2025-03-24T13:00:52Z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