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w:t>
      </w:r>
      <w:r>
        <w:rPr>
          <w:b/>
          <w:color w:val="000000"/>
          <w:sz w:val="20"/>
          <w:szCs w:val="20"/>
          <w:shd w:fill="auto" w:val="clear"/>
          <w:lang w:val="pt-BR"/>
        </w:rPr>
        <w:t>nº 016/2025</w:t>
      </w:r>
      <w:r>
        <w:rPr>
          <w:b/>
          <w:color w:val="000000"/>
          <w:sz w:val="20"/>
          <w:szCs w:val="20"/>
          <w:shd w:fill="auto" w:val="clear"/>
        </w:rPr>
        <w:t xml:space="preserve"> </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w:t>
      </w:r>
      <w:r>
        <w:rPr>
          <w:b/>
          <w:color w:val="000000"/>
          <w:sz w:val="20"/>
          <w:szCs w:val="20"/>
          <w:shd w:fill="auto" w:val="clear"/>
        </w:rPr>
        <w:t>SSAMENTO:</w:t>
      </w:r>
    </w:p>
    <w:p>
      <w:pPr>
        <w:pStyle w:val="Corpodotextorecuado"/>
        <w:widowControl w:val="false"/>
        <w:numPr>
          <w:ilvl w:val="0"/>
          <w:numId w:val="4"/>
        </w:numPr>
        <w:tabs>
          <w:tab w:val="clear" w:pos="709"/>
          <w:tab w:val="left" w:pos="284" w:leader="none"/>
        </w:tabs>
        <w:overflowPunct w:val="true"/>
        <w:spacing w:lineRule="auto" w:line="240"/>
        <w:rPr>
          <w:highlight w:val="none"/>
          <w:shd w:fill="auto" w:val="clear"/>
        </w:rPr>
      </w:pPr>
      <w:r>
        <w:rPr>
          <w:color w:val="000000"/>
          <w:sz w:val="20"/>
          <w:szCs w:val="20"/>
          <w:shd w:fill="auto" w:val="clear"/>
        </w:rPr>
        <w:t>Número do proces</w:t>
      </w:r>
      <w:r>
        <w:rPr>
          <w:color w:val="000000"/>
          <w:sz w:val="20"/>
          <w:szCs w:val="20"/>
          <w:shd w:fill="auto" w:val="clear"/>
          <w:lang w:val="pt-BR"/>
        </w:rPr>
        <w:t xml:space="preserve">so: </w:t>
      </w:r>
      <w:r>
        <w:rPr>
          <w:b/>
          <w:bCs/>
          <w:color w:val="000000"/>
          <w:sz w:val="20"/>
          <w:szCs w:val="20"/>
          <w:shd w:fill="auto" w:val="clear"/>
          <w:lang w:val="pt-BR"/>
        </w:rPr>
        <w:t>34.750/2025</w:t>
      </w:r>
      <w:r>
        <w:rPr>
          <w:b/>
          <w:color w:val="000000"/>
          <w:sz w:val="20"/>
          <w:szCs w:val="20"/>
          <w:shd w:fill="auto" w:val="clear"/>
          <w:lang w:val="pt-BR"/>
        </w:rPr>
        <w:t xml:space="preserve"> </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14/04/2025 - 08h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14/04/2025 - 09h</w:t>
      </w:r>
    </w:p>
    <w:p>
      <w:pPr>
        <w:pStyle w:val="Corpodotextorecuado"/>
        <w:widowControl w:val="false"/>
        <w:numPr>
          <w:ilvl w:val="0"/>
          <w:numId w:val="4"/>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Corpodotextorecuado"/>
        <w:widowControl w:val="false"/>
        <w:numPr>
          <w:ilvl w:val="0"/>
          <w:numId w:val="4"/>
        </w:numPr>
        <w:tabs>
          <w:tab w:val="clear" w:pos="709"/>
          <w:tab w:val="left" w:pos="284" w:leader="none"/>
        </w:tabs>
        <w:overflowPunct w:val="tru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Objeto: Contratação de empresa para realização de pesquisa de opinião dos usuários do Transporte Coletivo do Município de Piracicaba.</w:t>
      </w:r>
    </w:p>
    <w:p>
      <w:pPr>
        <w:pStyle w:val="Normal"/>
        <w:numPr>
          <w:ilvl w:val="0"/>
          <w:numId w:val="6"/>
        </w:numPr>
        <w:tabs>
          <w:tab w:val="clear" w:pos="709"/>
          <w:tab w:val="left" w:pos="284" w:leader="none"/>
        </w:tabs>
        <w:jc w:val="both"/>
        <w:rPr>
          <w:rFonts w:ascii="Arial" w:hAnsi="Arial" w:cs="Arial"/>
        </w:rPr>
      </w:pPr>
      <w:r>
        <w:rPr>
          <w:rFonts w:cs="Arial" w:ascii="Arial" w:hAnsi="Arial"/>
        </w:rPr>
        <w:t>Unidade Requisitante: Secretaria Municipal de Segurança Pública, Trânsito e Transportes</w:t>
      </w:r>
      <w:r>
        <w:rPr>
          <w:rFonts w:cs="Arial" w:ascii="Arial" w:hAnsi="Arial"/>
          <w:shd w:fill="FFFF00" w:val="clear"/>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Fonte de recur</w:t>
      </w:r>
      <w:r>
        <w:rPr>
          <w:rFonts w:cs="Arial" w:ascii="Arial" w:hAnsi="Arial"/>
          <w:shd w:fill="auto" w:val="clear"/>
        </w:rPr>
        <w:t>sos: 0203040035</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R$ 18.937,33 (Dezoito mil, novecentos e trinta e sete reais e trinta e três centavos</w:t>
      </w:r>
      <w:r>
        <w:rPr>
          <w:rFonts w:cs="Arial" w:ascii="Arial" w:hAnsi="Arial"/>
          <w:b/>
          <w:shd w:fill="auto" w:val="clear"/>
        </w:rPr>
        <w:t>).</w:t>
      </w:r>
    </w:p>
    <w:p>
      <w:pPr>
        <w:pStyle w:val="Normal"/>
        <w:numPr>
          <w:ilvl w:val="0"/>
          <w:numId w:val="6"/>
        </w:numPr>
        <w:tabs>
          <w:tab w:val="clear" w:pos="709"/>
          <w:tab w:val="left" w:pos="284" w:leader="none"/>
        </w:tabs>
        <w:jc w:val="both"/>
        <w:rPr>
          <w:rFonts w:ascii="Arial" w:hAnsi="Arial" w:cs="Arial"/>
        </w:rPr>
      </w:pPr>
      <w:r>
        <w:rPr>
          <w:rFonts w:cs="Arial" w:ascii="Arial" w:hAnsi="Arial"/>
          <w:shd w:fill="auto" w:val="clear"/>
        </w:rPr>
        <w:t>Prazo de contratação: até a entrega definitiva.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0"/>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1"/>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2"/>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Deverá ser especificado na proposta o</w:t>
      </w:r>
      <w:r>
        <w:rPr>
          <w:rFonts w:cs="Arial" w:ascii="Arial" w:hAnsi="Arial"/>
          <w:sz w:val="20"/>
          <w:szCs w:val="20"/>
          <w:shd w:fill="auto" w:val="clear"/>
        </w:rPr>
        <w:t xml:space="preserve"> </w:t>
      </w:r>
      <w:r>
        <w:rPr>
          <w:rFonts w:cs="Arial" w:ascii="Arial" w:hAnsi="Arial"/>
          <w:b/>
          <w:sz w:val="20"/>
          <w:szCs w:val="20"/>
          <w:shd w:fill="auto" w:val="clear"/>
        </w:rPr>
        <w:t>preço unitário e total</w:t>
      </w:r>
      <w:r>
        <w:rPr>
          <w:rFonts w:cs="Arial" w:ascii="Arial" w:hAnsi="Arial"/>
          <w:color w:val="C9211E"/>
          <w:sz w:val="20"/>
          <w:szCs w:val="20"/>
          <w:shd w:fill="auto" w:val="clear"/>
        </w:rPr>
        <w:t xml:space="preserve"> </w:t>
      </w:r>
      <w:r>
        <w:rPr>
          <w:rFonts w:eastAsia="Arial" w:cs="Arial" w:ascii="Arial" w:hAnsi="Arial"/>
          <w:b w:val="false"/>
          <w:bCs w:val="false"/>
          <w:i w:val="false"/>
          <w:caps w:val="false"/>
          <w:smallCaps w:val="false"/>
          <w:color w:val="000000"/>
          <w:spacing w:val="0"/>
          <w:sz w:val="20"/>
          <w:szCs w:val="20"/>
          <w:shd w:fill="auto" w:val="clear"/>
        </w:rPr>
        <w:t>e prazo de validade de proposta.</w:t>
      </w:r>
    </w:p>
    <w:p>
      <w:pPr>
        <w:pStyle w:val="ListParagraph"/>
        <w:numPr>
          <w:ilvl w:val="0"/>
          <w:numId w:val="2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2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numPr>
          <w:ilvl w:val="0"/>
          <w:numId w:val="0"/>
        </w:numPr>
        <w:tabs>
          <w:tab w:val="clear" w:pos="709"/>
          <w:tab w:val="left" w:pos="284" w:leader="none"/>
        </w:tabs>
        <w:ind w:left="284" w:hanging="0"/>
        <w:jc w:val="both"/>
        <w:rPr>
          <w:rFonts w:ascii="Arial" w:hAnsi="Arial" w:cs="Arial"/>
        </w:rPr>
      </w:pPr>
      <w:r>
        <w:rPr>
          <w:rFonts w:cs="Arial" w:ascii="Arial" w:hAnsi="Arial"/>
        </w:rPr>
      </w:r>
    </w:p>
    <w:tbl>
      <w:tblPr>
        <w:tblW w:w="9242"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681"/>
        <w:gridCol w:w="854"/>
        <w:gridCol w:w="1013"/>
        <w:gridCol w:w="6693"/>
      </w:tblGrid>
      <w:tr>
        <w:trPr>
          <w:tblHeader w:val="true"/>
          <w:trHeight w:val="283" w:hRule="atLeast"/>
        </w:trPr>
        <w:tc>
          <w:tcPr>
            <w:tcW w:w="681"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Item</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Quant.</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Unid.</w:t>
            </w:r>
          </w:p>
        </w:tc>
        <w:tc>
          <w:tcPr>
            <w:tcW w:w="669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Descritivo</w:t>
            </w:r>
          </w:p>
        </w:tc>
      </w:tr>
      <w:tr>
        <w:trPr>
          <w:trHeight w:val="283" w:hRule="atLeast"/>
        </w:trPr>
        <w:tc>
          <w:tcPr>
            <w:tcW w:w="681"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sz w:val="20"/>
                <w:szCs w:val="20"/>
              </w:rPr>
            </w:pPr>
            <w:r>
              <w:rPr>
                <w:rFonts w:cs="Arial" w:ascii="Arial" w:hAnsi="Arial"/>
                <w:b/>
                <w:sz w:val="20"/>
                <w:szCs w:val="20"/>
                <w:shd w:fill="auto" w:val="clear"/>
              </w:rPr>
              <w:t>01</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01</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01</w:t>
            </w:r>
          </w:p>
        </w:tc>
        <w:tc>
          <w:tcPr>
            <w:tcW w:w="669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numPr>
                <w:ilvl w:val="0"/>
                <w:numId w:val="0"/>
              </w:numPr>
              <w:ind w:left="0" w:hanging="0"/>
              <w:jc w:val="both"/>
              <w:rPr>
                <w:b w:val="false"/>
                <w:b w:val="false"/>
                <w:i w:val="false"/>
                <w:i w:val="false"/>
                <w:caps w:val="false"/>
                <w:smallCaps w:val="false"/>
                <w:spacing w:val="0"/>
              </w:rPr>
            </w:pPr>
            <w:r>
              <w:rPr>
                <w:rFonts w:cs="Arial" w:ascii="Arial" w:hAnsi="Arial"/>
                <w:b w:val="false"/>
                <w:i w:val="false"/>
                <w:caps w:val="false"/>
                <w:smallCaps w:val="false"/>
                <w:spacing w:val="0"/>
                <w:sz w:val="20"/>
                <w:szCs w:val="20"/>
                <w:shd w:fill="auto" w:val="clear"/>
              </w:rPr>
              <w:t>Pesquisa de opinião pública do transporte coletivo de Piracicaba</w:t>
            </w:r>
          </w:p>
        </w:tc>
      </w:tr>
    </w:tbl>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numPr>
          <w:ilvl w:val="0"/>
          <w:numId w:val="25"/>
        </w:numPr>
        <w:tabs>
          <w:tab w:val="clear" w:pos="709"/>
          <w:tab w:val="left" w:pos="284" w:leader="none"/>
        </w:tabs>
        <w:jc w:val="both"/>
        <w:rPr>
          <w:highlight w:val="none"/>
          <w:shd w:fill="auto" w:val="clear"/>
        </w:rPr>
      </w:pPr>
      <w:r>
        <w:rPr>
          <w:rFonts w:cs="Arial" w:ascii="Arial" w:hAnsi="Arial"/>
          <w:shd w:fill="auto" w:val="clear"/>
        </w:rPr>
        <w:t xml:space="preserve">Descritivo técnico: </w:t>
      </w:r>
      <w:r>
        <w:rPr>
          <w:rFonts w:eastAsia="Arial" w:cs="Arial" w:ascii="Arial" w:hAnsi="Arial"/>
          <w:b/>
          <w:color w:val="000000"/>
          <w:shd w:fill="auto" w:val="clear"/>
        </w:rPr>
        <w:t xml:space="preserve">Item 1: </w:t>
      </w:r>
      <w:r>
        <w:rPr>
          <w:rFonts w:eastAsia="Arial" w:cs="Arial" w:ascii="Arial" w:hAnsi="Arial"/>
          <w:b w:val="false"/>
          <w:bCs w:val="false"/>
          <w:color w:val="000000"/>
          <w:shd w:fill="auto" w:val="clear"/>
        </w:rPr>
        <w:t>Constitui objeto do presente Termo de Referência, a contratação de empresa especializada para conduzir uma pesquisa de opinião pública referente aos serviços prestados pelo transporte coletivo de Piracicaba. A pesquisa presencial será realizada nos terminais mais utilizados do município, com uma equipe devidamente treinada e identificada. O objetivo é coletar informações junto aos usuários do transporte coletivo, abordando questões de satisfação, sugestões e reclamações. O mínimo de 800 (oitocentas) entrevistas serão realizadas, utilizando um formulário com aproximadamente 25 a 30 perguntas abertas e fechadas. Após a conclusão da pesquisa em campo, os resultados serão fornecidos em relatórios impressos e em formato eletrônico.</w:t>
      </w:r>
    </w:p>
    <w:p>
      <w:pPr>
        <w:pStyle w:val="Normal"/>
        <w:numPr>
          <w:ilvl w:val="0"/>
          <w:numId w:val="26"/>
        </w:numPr>
        <w:tabs>
          <w:tab w:val="clear" w:pos="709"/>
          <w:tab w:val="left" w:pos="284" w:leader="none"/>
        </w:tabs>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Local para execução dos serviços: </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Terminal Central: Avenida Armando Salles Oliveira, 2001 – Centro.</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Terminal Vila Sônia: Rua Nilo Peçanha, 757 – Vila Sônia.</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Terminal São Jorge: Rua Conchas, 15 – São Jorge.</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Terminal Piracicamirim: Avenida Alberto Vollet Sachs, 2200 – Piracicamirim.</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Terminal Paulicéia: Avenida São Paulo, 1569 – Paulicéia.</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Terminal CECAP: Rua Afonso José Fioravante, 500 – CECAP.</w:t>
      </w:r>
    </w:p>
    <w:p>
      <w:pPr>
        <w:pStyle w:val="Normal"/>
        <w:numPr>
          <w:ilvl w:val="0"/>
          <w:numId w:val="0"/>
        </w:numPr>
        <w:tabs>
          <w:tab w:val="clear" w:pos="709"/>
          <w:tab w:val="left" w:pos="284" w:leader="none"/>
        </w:tabs>
        <w:ind w:left="0" w:hanging="0"/>
        <w:jc w:val="both"/>
        <w:rPr>
          <w:rFonts w:ascii="Arial" w:hAnsi="Arial" w:eastAsia="Arial" w:cs="Arial"/>
          <w:b w:val="false"/>
          <w:b w:val="false"/>
          <w:bCs w:val="false"/>
          <w:color w:val="000000"/>
        </w:rPr>
      </w:pPr>
      <w:r>
        <w:rPr>
          <w:rFonts w:eastAsia="Arial" w:cs="Arial" w:ascii="Arial" w:hAnsi="Arial"/>
          <w:b w:val="false"/>
          <w:bCs w:val="false"/>
          <w:color w:val="000000"/>
        </w:rPr>
      </w:r>
    </w:p>
    <w:p>
      <w:pPr>
        <w:pStyle w:val="Normal"/>
        <w:shd w:val="clear" w:color="auto" w:fill="CCCCCC"/>
        <w:ind w:firstLine="567"/>
        <w:jc w:val="both"/>
        <w:rPr>
          <w:rFonts w:ascii="Arial" w:hAnsi="Arial" w:cs="Arial"/>
        </w:rPr>
      </w:pPr>
      <w:r>
        <w:rPr>
          <w:rFonts w:cs="Arial" w:ascii="Arial" w:hAnsi="Arial"/>
          <w:b/>
          <w:bCs/>
        </w:rPr>
        <w:t>4. DA SUBCONTRATAÇÃO:</w:t>
      </w:r>
    </w:p>
    <w:p>
      <w:pPr>
        <w:pStyle w:val="Normal"/>
        <w:numPr>
          <w:ilvl w:val="0"/>
          <w:numId w:val="27"/>
        </w:numPr>
        <w:tabs>
          <w:tab w:val="clear" w:pos="709"/>
          <w:tab w:val="left" w:pos="284" w:leader="none"/>
        </w:tabs>
        <w:jc w:val="both"/>
        <w:rPr>
          <w:sz w:val="20"/>
          <w:szCs w:val="20"/>
          <w:lang w:eastAsia="pt-BR"/>
        </w:rPr>
      </w:pPr>
      <w:r>
        <w:rPr>
          <w:rFonts w:ascii="Arial" w:hAnsi="Arial"/>
          <w:sz w:val="20"/>
          <w:szCs w:val="20"/>
          <w:lang w:eastAsia="pt-BR"/>
        </w:rPr>
        <w:t xml:space="preserve"> </w:t>
      </w:r>
      <w:r>
        <w:rPr>
          <w:rFonts w:ascii="Arial" w:hAnsi="Arial"/>
          <w:sz w:val="20"/>
          <w:szCs w:val="20"/>
          <w:lang w:eastAsia="pt-BR"/>
        </w:rPr>
        <w:t>Não é admitida a subcontratação do objeto contratual.</w:t>
      </w:r>
    </w:p>
    <w:p>
      <w:pPr>
        <w:pStyle w:val="Normal"/>
        <w:numPr>
          <w:ilvl w:val="0"/>
          <w:numId w:val="0"/>
        </w:numPr>
        <w:tabs>
          <w:tab w:val="clear" w:pos="709"/>
          <w:tab w:val="left" w:pos="284" w:leader="none"/>
        </w:tabs>
        <w:ind w:left="0" w:hanging="0"/>
        <w:jc w:val="both"/>
        <w:rPr>
          <w:sz w:val="20"/>
          <w:szCs w:val="20"/>
          <w:lang w:eastAsia="pt-BR"/>
        </w:rPr>
      </w:pPr>
      <w:r>
        <w:rPr>
          <w:sz w:val="20"/>
          <w:szCs w:val="20"/>
          <w:lang w:eastAsia="pt-BR"/>
        </w:rPr>
      </w:r>
    </w:p>
    <w:p>
      <w:pPr>
        <w:pStyle w:val="Normal"/>
        <w:shd w:val="clear" w:color="auto" w:fill="CCCCCC"/>
        <w:ind w:firstLine="567"/>
        <w:jc w:val="both"/>
        <w:rPr>
          <w:rFonts w:ascii="Arial" w:hAnsi="Arial" w:cs="Arial"/>
        </w:rPr>
      </w:pPr>
      <w:r>
        <w:rPr>
          <w:rFonts w:cs="Arial" w:ascii="Arial" w:hAnsi="Arial"/>
          <w:b/>
          <w:bCs/>
        </w:rPr>
        <w:t>5. DA EXECUÇÃO DOS SERVIÇOS:</w:t>
      </w:r>
    </w:p>
    <w:p>
      <w:pPr>
        <w:pStyle w:val="Normal"/>
        <w:numPr>
          <w:ilvl w:val="0"/>
          <w:numId w:val="28"/>
        </w:numPr>
        <w:tabs>
          <w:tab w:val="clear" w:pos="709"/>
          <w:tab w:val="left" w:pos="284" w:leader="none"/>
        </w:tabs>
        <w:jc w:val="both"/>
        <w:rPr>
          <w:rFonts w:ascii="Arial" w:hAnsi="Arial" w:cs="Arial"/>
          <w:lang w:eastAsia="pt-BR"/>
        </w:rPr>
      </w:pPr>
      <w:r>
        <w:rPr>
          <w:rFonts w:cs="Arial" w:ascii="Arial" w:hAnsi="Arial"/>
          <w:lang w:eastAsia="pt-BR"/>
        </w:rPr>
        <w:t xml:space="preserve">Prazo de execução: </w:t>
      </w:r>
      <w:r>
        <w:rPr>
          <w:rFonts w:cs="Arial" w:ascii="Arial" w:hAnsi="Arial"/>
          <w:shd w:fill="auto" w:val="clear"/>
          <w:lang w:eastAsia="pt-BR"/>
        </w:rPr>
        <w:t xml:space="preserve">até o máximo de 30 (trinta) dias, </w:t>
      </w:r>
      <w:r>
        <w:rPr>
          <w:rFonts w:cs="Arial" w:ascii="Arial" w:hAnsi="Arial"/>
          <w:lang w:eastAsia="pt-BR"/>
        </w:rPr>
        <w:t>a contar da Ordem de Fornecimento, emitida pela Unidade Requisitante.</w:t>
      </w:r>
    </w:p>
    <w:p>
      <w:pPr>
        <w:pStyle w:val="Normal"/>
        <w:numPr>
          <w:ilvl w:val="0"/>
          <w:numId w:val="29"/>
        </w:numPr>
        <w:tabs>
          <w:tab w:val="clear" w:pos="709"/>
          <w:tab w:val="left" w:pos="284" w:leader="none"/>
        </w:tabs>
        <w:jc w:val="both"/>
        <w:rPr>
          <w:rFonts w:ascii="Arial" w:hAnsi="Arial" w:cs="Arial"/>
          <w:color w:val="000000"/>
          <w:kern w:val="0"/>
          <w:lang w:eastAsia="pt-BR"/>
        </w:rPr>
      </w:pPr>
      <w:r>
        <w:rPr>
          <w:rFonts w:cs="Arial" w:ascii="Arial" w:hAnsi="Arial"/>
          <w:color w:val="000000"/>
          <w:kern w:val="0"/>
          <w:shd w:fill="auto" w:val="clear"/>
          <w:lang w:eastAsia="pt-BR"/>
        </w:rPr>
        <w:t>Toda execução dos serviços com mão de obra e material incluso será por conta da contratada.</w:t>
      </w:r>
    </w:p>
    <w:p>
      <w:pPr>
        <w:pStyle w:val="Normal"/>
        <w:numPr>
          <w:ilvl w:val="0"/>
          <w:numId w:val="0"/>
        </w:numPr>
        <w:tabs>
          <w:tab w:val="clear" w:pos="709"/>
          <w:tab w:val="left" w:pos="284" w:leader="none"/>
        </w:tabs>
        <w:ind w:left="0" w:hanging="0"/>
        <w:jc w:val="both"/>
        <w:rPr>
          <w:rFonts w:ascii="Arial" w:hAnsi="Arial" w:cs="Arial"/>
          <w:highlight w:val="none"/>
          <w:shd w:fill="auto" w:val="clear"/>
        </w:rPr>
      </w:pPr>
      <w:r>
        <w:rPr>
          <w:rFonts w:cs="Arial" w:ascii="Arial" w:hAnsi="Arial"/>
          <w:shd w:fill="auto" w:val="clear"/>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w:t>
      </w:r>
      <w:r>
        <w:rPr>
          <w:rFonts w:cs="Arial" w:ascii="Arial" w:hAnsi="Arial"/>
          <w:color w:val="000000"/>
          <w:shd w:fill="auto" w:val="clear"/>
        </w:rPr>
        <w:t>iários (ISS)</w:t>
      </w:r>
      <w:r>
        <w:rPr>
          <w:rFonts w:cs="Arial" w:ascii="Arial" w:hAnsi="Arial"/>
          <w:b/>
          <w:bCs/>
          <w:color w:val="000000"/>
          <w:shd w:fill="auto" w:val="clear"/>
        </w:rPr>
        <w:t>;</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8"/>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expedidas por empresas Públicas ou Privadas, em nome da licitante, que comprove a execução satisfatória de serviços similares ao objeto desta licitação, com identificação de quem o assinou.</w:t>
      </w:r>
    </w:p>
    <w:p>
      <w:pPr>
        <w:pStyle w:val="Normal"/>
        <w:jc w:val="both"/>
        <w:rPr>
          <w:rFonts w:ascii="Arial" w:hAnsi="Arial" w:cs="Arial"/>
          <w:highlight w:val="none"/>
          <w:shd w:fill="auto" w:val="clear"/>
        </w:rPr>
      </w:pPr>
      <w:r>
        <w:rPr>
          <w:rFonts w:cs="Arial" w:ascii="Arial" w:hAnsi="Arial"/>
          <w:shd w:fill="auto" w:val="clear"/>
        </w:rPr>
      </w:r>
    </w:p>
    <w:p>
      <w:pPr>
        <w:pStyle w:val="Normal"/>
        <w:ind w:firstLine="567"/>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08 de abril de 2025.</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Larissa Palomo Monferdini</w:t>
      </w:r>
    </w:p>
    <w:p>
      <w:pPr>
        <w:pStyle w:val="Normal"/>
        <w:jc w:val="center"/>
        <w:rPr>
          <w:rFonts w:ascii="Arial" w:hAnsi="Arial"/>
          <w:b/>
          <w:b/>
        </w:rPr>
      </w:pPr>
      <w:r>
        <w:rPr>
          <w:rFonts w:ascii="Arial" w:hAnsi="Arial"/>
          <w:b/>
          <w:shd w:fill="auto" w:val="clear"/>
        </w:rPr>
        <w:t>Chefe de Setor</w:t>
      </w:r>
      <w:bookmarkStart w:id="0" w:name="_GoBack_Copia_1"/>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w:t>
      </w:r>
      <w:bookmarkStart w:id="1"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w:t>
      </w:r>
      <w:bookmarkEnd w:id="1"/>
      <w:r>
        <w:rPr>
          <w:rFonts w:cs="Arial" w:ascii="Arial" w:hAnsi="Arial"/>
        </w:rPr>
        <w:t>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33"/>
        <w:gridCol w:w="866"/>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Item</w:t>
            </w:r>
          </w:p>
        </w:tc>
        <w:tc>
          <w:tcPr>
            <w:tcW w:w="833"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Quant.</w:t>
            </w:r>
          </w:p>
        </w:tc>
        <w:tc>
          <w:tcPr>
            <w:tcW w:w="8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bookmarkStart w:id="18" w:name="_GoBack_Copia_1_Copia_1"/>
      <w:bookmarkStart w:id="19" w:name="_GoBack_Copia_1_Copia_1"/>
      <w:bookmarkEnd w:id="0"/>
      <w:bookmarkEnd w:id="19"/>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b/>
        <w:sz w:val="16"/>
      </w:rPr>
    </w:pPr>
    <w:r>
      <w:drawing>
        <wp:anchor behindDoc="1" distT="0" distB="0" distL="0" distR="0" simplePos="0" locked="0" layoutInCell="0" allowOverlap="1" relativeHeight="45">
          <wp:simplePos x="0" y="0"/>
          <wp:positionH relativeFrom="column">
            <wp:posOffset>-202565</wp:posOffset>
          </wp:positionH>
          <wp:positionV relativeFrom="paragraph">
            <wp:posOffset>101600</wp:posOffset>
          </wp:positionV>
          <wp:extent cx="6746875" cy="464820"/>
          <wp:effectExtent l="0" t="0" r="0" b="0"/>
          <wp:wrapSquare wrapText="largest"/>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
                  <a:stretch>
                    <a:fillRect/>
                  </a:stretch>
                </pic:blipFill>
                <pic:spPr bwMode="auto">
                  <a:xfrm>
                    <a:off x="0" y="0"/>
                    <a:ext cx="6746875" cy="464820"/>
                  </a:xfrm>
                  <a:prstGeom prst="rect">
                    <a:avLst/>
                  </a:prstGeom>
                </pic:spPr>
              </pic:pic>
            </a:graphicData>
          </a:graphic>
        </wp:anchor>
      </w:drawing>
    </w:r>
    <w:r>
      <w:rPr>
        <w:rFonts w:cs="Arial" w:ascii="Arial" w:hAnsi="Arial"/>
        <w:color w:val="000000"/>
        <w:sz w:val="16"/>
      </w:rPr>
      <w:t xml:space="preserve">Dispensa Eletrônica nº </w:t>
    </w:r>
    <w:r>
      <w:rPr>
        <w:rFonts w:cs="Arial" w:ascii="Arial" w:hAnsi="Arial"/>
        <w:color w:val="000000"/>
        <w:sz w:val="16"/>
        <w:shd w:fill="auto" w:val="clear"/>
      </w:rPr>
      <w:t>016/20</w:t>
    </w:r>
    <w:r>
      <w:rPr>
        <w:rFonts w:cs="Arial" w:ascii="Arial" w:hAnsi="Arial"/>
        <w:color w:val="000000"/>
        <w:sz w:val="16"/>
      </w:rPr>
      <w:t xml:space="preserve">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Contedodoquadro"/>
      <w:jc w:val="center"/>
      <w:rPr>
        <w:rFonts w:ascii="Arial" w:hAnsi="Arial" w:cs="Arial"/>
        <w:b/>
        <w:b/>
        <w:sz w:val="16"/>
      </w:rPr>
    </w:pPr>
    <w:r>
      <w:rPr>
        <w:rFonts w:cs="Arial" w:ascii="Arial" w:hAnsi="Arial"/>
        <w:b/>
        <w:sz w:val="16"/>
      </w:rPr>
    </w:r>
  </w:p>
  <w:p>
    <w:pPr>
      <w:pStyle w:val="Contedodoquadro"/>
      <w:ind w:left="3346" w:hanging="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suff w:val="nothing"/>
      <w:lvlText w:val="%1)"/>
      <w:lvlJc w:val="left"/>
      <w:pPr>
        <w:tabs>
          <w:tab w:val="num" w:pos="0"/>
        </w:tabs>
        <w:ind w:left="0" w:hanging="0"/>
      </w:pPr>
      <w:rPr>
        <w:b/>
        <w:bCs/>
      </w:rPr>
    </w:lvl>
    <w:lvl w:ilvl="1">
      <w:start w:val="1"/>
      <w:numFmt w:val="decimal"/>
      <w:suff w:val="nothing"/>
      <w:lvlText w:val="%2."/>
      <w:lvlJc w:val="left"/>
      <w:pPr>
        <w:tabs>
          <w:tab w:val="num" w:pos="0"/>
        </w:tabs>
        <w:ind w:left="0" w:hanging="0"/>
      </w:pPr>
      <w:rPr/>
    </w:lvl>
    <w:lvl w:ilvl="2">
      <w:start w:val="1"/>
      <w:numFmt w:val="decimal"/>
      <w:suff w:val="nothing"/>
      <w:lvlText w:val="%2.%3."/>
      <w:lvlJc w:val="left"/>
      <w:pPr>
        <w:tabs>
          <w:tab w:val="num" w:pos="0"/>
        </w:tabs>
        <w:ind w:left="0" w:hanging="0"/>
      </w:pPr>
      <w:rPr/>
    </w:lvl>
    <w:lvl w:ilvl="3">
      <w:start w:val="1"/>
      <w:numFmt w:val="decimal"/>
      <w:suff w:val="nothing"/>
      <w:lvlText w:val="%2.%3.%4."/>
      <w:lvlJc w:val="left"/>
      <w:pPr>
        <w:tabs>
          <w:tab w:val="num" w:pos="0"/>
        </w:tabs>
        <w:ind w:left="0" w:hanging="0"/>
      </w:pPr>
      <w:rPr/>
    </w:lvl>
    <w:lvl w:ilvl="4">
      <w:start w:val="1"/>
      <w:numFmt w:val="decimal"/>
      <w:suff w:val="nothing"/>
      <w:lvlText w:val="%2.%3.%4.%5."/>
      <w:lvlJc w:val="left"/>
      <w:pPr>
        <w:tabs>
          <w:tab w:val="num" w:pos="0"/>
        </w:tabs>
        <w:ind w:left="0" w:hanging="0"/>
      </w:pPr>
      <w:rPr/>
    </w:lvl>
    <w:lvl w:ilvl="5">
      <w:start w:val="1"/>
      <w:numFmt w:val="decimal"/>
      <w:suff w:val="nothing"/>
      <w:lvlText w:val="%2.%3.%4.%5.%6."/>
      <w:lvlJc w:val="left"/>
      <w:pPr>
        <w:tabs>
          <w:tab w:val="num" w:pos="0"/>
        </w:tabs>
        <w:ind w:left="0" w:hanging="0"/>
      </w:pPr>
      <w:rPr/>
    </w:lvl>
    <w:lvl w:ilvl="6">
      <w:start w:val="1"/>
      <w:numFmt w:val="decimal"/>
      <w:suff w:val="nothing"/>
      <w:lvlText w:val="%2.%3.%4.%5.%6.%7."/>
      <w:lvlJc w:val="left"/>
      <w:pPr>
        <w:tabs>
          <w:tab w:val="num" w:pos="0"/>
        </w:tabs>
        <w:ind w:left="0" w:hanging="0"/>
      </w:pPr>
      <w:rPr/>
    </w:lvl>
    <w:lvl w:ilvl="7">
      <w:start w:val="1"/>
      <w:numFmt w:val="decimal"/>
      <w:suff w:val="nothing"/>
      <w:lvlText w:val="%2.%3.%4.%5.%6.%7.%8."/>
      <w:lvlJc w:val="left"/>
      <w:pPr>
        <w:tabs>
          <w:tab w:val="num" w:pos="0"/>
        </w:tabs>
        <w:ind w:left="0" w:hanging="0"/>
      </w:pPr>
      <w:rPr/>
    </w:lvl>
    <w:lvl w:ilvl="8">
      <w:start w:val="1"/>
      <w:numFmt w:val="upperRoman"/>
      <w:suff w:val="nothing"/>
      <w:lvlText w:val="%9."/>
      <w:lvlJc w:val="right"/>
      <w:pPr>
        <w:tabs>
          <w:tab w:val="num" w:pos="0"/>
        </w:tabs>
        <w:ind w:left="0" w:hanging="0"/>
      </w:pPr>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4"/>
    <w:lvlOverride w:ilvl="0">
      <w:startOverride w:val="1"/>
    </w:lvlOverride>
  </w:num>
  <w:num w:numId="21">
    <w:abstractNumId w:val="4"/>
  </w:num>
  <w:num w:numId="22">
    <w:abstractNumId w:val="4"/>
  </w:num>
  <w:num w:numId="23">
    <w:abstractNumId w:val="4"/>
  </w:num>
  <w:num w:numId="24">
    <w:abstractNumId w:val="4"/>
  </w:num>
  <w:num w:numId="25">
    <w:abstractNumId w:val="4"/>
  </w:num>
  <w:num w:numId="26">
    <w:abstractNumId w:val="4"/>
  </w:num>
  <w:num w:numId="27">
    <w:abstractNumId w:val="16"/>
    <w:lvlOverride w:ilvl="0">
      <w:startOverride w:val="1"/>
    </w:lvlOverride>
  </w:num>
  <w:num w:numId="28">
    <w:abstractNumId w:val="17"/>
    <w:lvlOverride w:ilvl="0">
      <w:startOverride w:val="1"/>
    </w:lvlOverride>
  </w:num>
  <w:num w:numId="29">
    <w:abstractNumId w:val="17"/>
  </w:num>
</w:numbering>
</file>

<file path=word/settings.xml><?xml version="1.0" encoding="utf-8"?>
<w:settings xmlns:w="http://schemas.openxmlformats.org/wordprocessingml/2006/main">
  <w:zoom w:percent="11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Application>LibreOffice/7.4.5.1$Windows_X86_64 LibreOffice_project/9c0871452b3918c1019dde9bfac75448afc4b57f</Application>
  <AppVersion>15.0000</AppVersion>
  <Pages>11</Pages>
  <Words>4706</Words>
  <Characters>27458</Characters>
  <CharactersWithSpaces>31941</CharactersWithSpaces>
  <Paragraphs>255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2025-04-08T13:34:39Z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