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media/image2.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footer3.xml.rels" ContentType="application/vnd.openxmlformats-package.relationships+xml"/>
  <Override PartName="/word/_rels/header2.xml.rels" ContentType="application/vnd.openxmlformats-package.relationships+xml"/>
  <Override PartName="/word/_rels/footer2.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BodyTextIndent"/>
        <w:widowControl w:val="false"/>
        <w:shd w:val="clear" w:color="auto" w:fill="CCCCCC"/>
        <w:spacing w:lineRule="auto" w:line="240"/>
        <w:jc w:val="center"/>
        <w:rPr>
          <w:b/>
          <w:color w:val="auto"/>
          <w:sz w:val="20"/>
          <w:szCs w:val="20"/>
          <w:lang w:val="pt-BR"/>
        </w:rPr>
      </w:pPr>
      <w:r>
        <w:rPr>
          <w:b/>
          <w:color w:val="auto"/>
          <w:sz w:val="20"/>
          <w:szCs w:val="20"/>
        </w:rPr>
        <w:t xml:space="preserve">EDITAL DE </w:t>
      </w:r>
      <w:r>
        <w:rPr>
          <w:b/>
          <w:color w:val="auto"/>
          <w:sz w:val="20"/>
          <w:szCs w:val="20"/>
          <w:lang w:val="pt-BR"/>
        </w:rPr>
        <w:t>DISPENSA ELETRÔNICA nº 27/2025</w:t>
      </w:r>
      <w:r>
        <w:rPr>
          <w:b/>
          <w:color w:val="auto"/>
          <w:sz w:val="20"/>
          <w:szCs w:val="20"/>
        </w:rPr>
        <w:t xml:space="preserve"> </w:t>
      </w:r>
    </w:p>
    <w:p>
      <w:pPr>
        <w:pStyle w:val="BodyTextIndent"/>
        <w:widowControl w:val="false"/>
        <w:spacing w:lineRule="auto" w:line="240"/>
        <w:jc w:val="center"/>
        <w:rPr>
          <w:b/>
          <w:bCs/>
          <w:color w:val="auto"/>
          <w:sz w:val="20"/>
          <w:szCs w:val="20"/>
        </w:rPr>
      </w:pPr>
      <w:r>
        <w:rPr>
          <w:b/>
          <w:bCs/>
          <w:color w:val="auto"/>
          <w:sz w:val="20"/>
          <w:szCs w:val="20"/>
        </w:rPr>
      </w:r>
    </w:p>
    <w:p>
      <w:pPr>
        <w:pStyle w:val="BodyTextIndent"/>
        <w:widowControl w:val="false"/>
        <w:spacing w:lineRule="auto" w:line="240"/>
        <w:jc w:val="center"/>
        <w:rPr>
          <w:b/>
          <w:bCs/>
          <w:color w:val="auto"/>
          <w:sz w:val="20"/>
          <w:szCs w:val="20"/>
        </w:rPr>
      </w:pPr>
      <w:r>
        <w:rPr>
          <w:b/>
          <w:bCs/>
          <w:color w:val="auto"/>
          <w:sz w:val="20"/>
          <w:szCs w:val="20"/>
        </w:rPr>
        <w:t>PRORROGAÇÃO</w:t>
      </w:r>
    </w:p>
    <w:p>
      <w:pPr>
        <w:pStyle w:val="BodyTextIndent"/>
        <w:widowControl w:val="false"/>
        <w:spacing w:lineRule="auto" w:line="240"/>
        <w:jc w:val="center"/>
        <w:rPr>
          <w:b/>
          <w:bCs/>
          <w:color w:val="auto"/>
          <w:sz w:val="20"/>
          <w:szCs w:val="20"/>
        </w:rPr>
      </w:pPr>
      <w:r>
        <w:rPr>
          <w:b/>
          <w:bCs/>
          <w:color w:val="auto"/>
          <w:sz w:val="20"/>
          <w:szCs w:val="20"/>
        </w:rPr>
      </w:r>
    </w:p>
    <w:p>
      <w:pPr>
        <w:pStyle w:val="BodyTextIndent"/>
        <w:widowControl w:val="false"/>
        <w:spacing w:lineRule="auto" w:line="240"/>
        <w:jc w:val="center"/>
        <w:rPr>
          <w:b/>
          <w:bCs/>
          <w:color w:val="auto"/>
          <w:sz w:val="20"/>
          <w:szCs w:val="20"/>
          <w:lang w:val="pt-BR"/>
        </w:rPr>
      </w:pPr>
      <w:r>
        <w:rPr>
          <w:b/>
          <w:bCs/>
          <w:color w:val="auto"/>
          <w:sz w:val="20"/>
          <w:szCs w:val="20"/>
          <w:lang w:val="pt-BR"/>
        </w:rPr>
        <w:t>TERMO DE REFERÊNCIA</w:t>
      </w:r>
    </w:p>
    <w:p>
      <w:pPr>
        <w:pStyle w:val="BodyTextIndent"/>
        <w:widowControl w:val="false"/>
        <w:spacing w:lineRule="auto" w:line="240"/>
        <w:jc w:val="center"/>
        <w:rPr>
          <w:color w:val="auto"/>
          <w:sz w:val="20"/>
          <w:szCs w:val="20"/>
        </w:rPr>
      </w:pPr>
      <w:r>
        <w:rPr>
          <w:color w:val="auto"/>
          <w:sz w:val="20"/>
          <w:szCs w:val="20"/>
        </w:rPr>
      </w:r>
    </w:p>
    <w:p>
      <w:pPr>
        <w:pStyle w:val="BodyTextIndent"/>
        <w:widowControl w:val="false"/>
        <w:shd w:val="clear" w:color="auto" w:fill="DDDDDD"/>
        <w:spacing w:lineRule="auto" w:line="240"/>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pPr>
        <w:pStyle w:val="BodyTextIndent"/>
        <w:widowControl w:val="false"/>
        <w:numPr>
          <w:ilvl w:val="0"/>
          <w:numId w:val="6"/>
        </w:numPr>
        <w:tabs>
          <w:tab w:val="clear" w:pos="709"/>
          <w:tab w:val="left" w:pos="284" w:leader="none"/>
        </w:tabs>
        <w:overflowPunct w:val="true"/>
        <w:spacing w:lineRule="auto" w:line="240"/>
        <w:rPr>
          <w:color w:val="auto"/>
          <w:sz w:val="20"/>
          <w:szCs w:val="20"/>
          <w:lang w:val="pt-BR"/>
        </w:rPr>
      </w:pPr>
      <w:r>
        <w:rPr>
          <w:color w:val="auto"/>
          <w:sz w:val="20"/>
          <w:szCs w:val="20"/>
        </w:rPr>
        <w:t>Número do proces</w:t>
      </w:r>
      <w:r>
        <w:rPr>
          <w:color w:val="auto"/>
          <w:sz w:val="20"/>
          <w:szCs w:val="20"/>
          <w:lang w:val="pt-BR"/>
        </w:rPr>
        <w:t xml:space="preserve">so: </w:t>
      </w:r>
      <w:r>
        <w:rPr>
          <w:b/>
          <w:bCs/>
          <w:color w:val="auto"/>
          <w:sz w:val="20"/>
          <w:szCs w:val="20"/>
          <w:lang w:val="pt-BR"/>
        </w:rPr>
        <w:t>44691/2025</w:t>
      </w:r>
      <w:r>
        <w:rPr>
          <w:b/>
          <w:color w:val="auto"/>
          <w:sz w:val="20"/>
          <w:szCs w:val="20"/>
          <w:lang w:val="pt-BR"/>
        </w:rPr>
        <w:t xml:space="preserve"> </w:t>
      </w:r>
    </w:p>
    <w:p>
      <w:pPr>
        <w:pStyle w:val="BodyTextIndent"/>
        <w:widowControl w:val="false"/>
        <w:numPr>
          <w:ilvl w:val="0"/>
          <w:numId w:val="6"/>
        </w:numPr>
        <w:tabs>
          <w:tab w:val="clear" w:pos="709"/>
          <w:tab w:val="left" w:pos="284" w:leader="none"/>
        </w:tabs>
        <w:overflowPunct w:val="true"/>
        <w:spacing w:lineRule="auto" w:line="240"/>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w:t>
      </w:r>
      <w:r>
        <w:rPr>
          <w:b/>
          <w:bCs/>
          <w:color w:val="auto"/>
          <w:sz w:val="20"/>
          <w:szCs w:val="20"/>
          <w:lang w:val="pt-BR"/>
        </w:rPr>
        <w:t>13</w:t>
      </w:r>
      <w:r>
        <w:rPr>
          <w:b/>
          <w:color w:val="auto"/>
          <w:sz w:val="20"/>
          <w:szCs w:val="20"/>
          <w:lang w:val="pt-BR"/>
        </w:rPr>
        <w:t>/05/2025 - 08h</w:t>
      </w:r>
    </w:p>
    <w:p>
      <w:pPr>
        <w:pStyle w:val="BodyTextIndent"/>
        <w:widowControl w:val="false"/>
        <w:numPr>
          <w:ilvl w:val="0"/>
          <w:numId w:val="6"/>
        </w:numPr>
        <w:tabs>
          <w:tab w:val="clear" w:pos="709"/>
          <w:tab w:val="left" w:pos="284" w:leader="none"/>
        </w:tabs>
        <w:overflowPunct w:val="true"/>
        <w:spacing w:lineRule="auto" w:line="240"/>
        <w:rPr>
          <w:color w:val="auto"/>
          <w:sz w:val="20"/>
          <w:szCs w:val="20"/>
        </w:rPr>
      </w:pPr>
      <w:r>
        <w:rPr>
          <w:color w:val="auto"/>
          <w:sz w:val="20"/>
          <w:szCs w:val="20"/>
        </w:rPr>
        <w:t>Data de início de lances:</w:t>
      </w:r>
      <w:r>
        <w:rPr>
          <w:color w:val="auto"/>
          <w:sz w:val="20"/>
          <w:szCs w:val="20"/>
          <w:lang w:val="pt-BR"/>
        </w:rPr>
        <w:t xml:space="preserve"> </w:t>
      </w:r>
      <w:r>
        <w:rPr>
          <w:b/>
          <w:bCs/>
          <w:color w:val="auto"/>
          <w:sz w:val="20"/>
          <w:szCs w:val="20"/>
          <w:lang w:val="pt-BR"/>
        </w:rPr>
        <w:t>13</w:t>
      </w:r>
      <w:r>
        <w:rPr>
          <w:b/>
          <w:color w:val="auto"/>
          <w:sz w:val="20"/>
          <w:szCs w:val="20"/>
          <w:lang w:val="pt-BR"/>
        </w:rPr>
        <w:t>/05/2025 - 09h</w:t>
      </w:r>
    </w:p>
    <w:p>
      <w:pPr>
        <w:pStyle w:val="BodyTextIndent"/>
        <w:widowControl w:val="false"/>
        <w:numPr>
          <w:ilvl w:val="0"/>
          <w:numId w:val="6"/>
        </w:numPr>
        <w:tabs>
          <w:tab w:val="clear" w:pos="709"/>
          <w:tab w:val="left" w:pos="284" w:leader="none"/>
        </w:tabs>
        <w:overflowPunct w:val="true"/>
        <w:spacing w:lineRule="auto" w:line="240"/>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bookmarkStart w:id="0" w:name="_GoBack"/>
      <w:bookmarkEnd w:id="0"/>
    </w:p>
    <w:p>
      <w:pPr>
        <w:pStyle w:val="BodyTextIndent"/>
        <w:widowControl w:val="false"/>
        <w:numPr>
          <w:ilvl w:val="0"/>
          <w:numId w:val="6"/>
        </w:numPr>
        <w:tabs>
          <w:tab w:val="clear" w:pos="709"/>
          <w:tab w:val="left" w:pos="284" w:leader="none"/>
        </w:tabs>
        <w:overflowPunct w:val="true"/>
        <w:spacing w:lineRule="auto" w:line="240"/>
        <w:rPr>
          <w:b/>
          <w:bCs/>
          <w:color w:val="auto"/>
          <w:sz w:val="20"/>
          <w:szCs w:val="20"/>
        </w:rPr>
      </w:pPr>
      <w:r>
        <w:rPr>
          <w:color w:val="auto"/>
          <w:sz w:val="20"/>
          <w:szCs w:val="20"/>
        </w:rPr>
        <w:t xml:space="preserve">Endereço </w:t>
      </w:r>
      <w:r>
        <w:rPr>
          <w:sz w:val="20"/>
          <w:szCs w:val="20"/>
        </w:rPr>
        <w:t>eletrônico</w:t>
      </w:r>
      <w:r>
        <w:rPr>
          <w:sz w:val="20"/>
          <w:szCs w:val="20"/>
          <w:lang w:val="pt-BR"/>
        </w:rPr>
        <w:t xml:space="preserve">: </w:t>
      </w:r>
      <w:hyperlink r:id="rId2">
        <w:r>
          <w:rPr>
            <w:rStyle w:val="Style"/>
            <w:color w:val="0000FF"/>
            <w:sz w:val="20"/>
            <w:szCs w:val="20"/>
            <w:u w:val="single"/>
            <w:lang w:val="pt-BR"/>
          </w:rPr>
          <w:t>https://bnccompras.com</w:t>
        </w:r>
      </w:hyperlink>
      <w:r>
        <w:rPr>
          <w:sz w:val="20"/>
          <w:szCs w:val="20"/>
          <w:lang w:val="pt-BR"/>
        </w:rPr>
        <w:t>.</w:t>
      </w:r>
    </w:p>
    <w:p>
      <w:pPr>
        <w:pStyle w:val="BodyTextIndent"/>
        <w:widowControl w:val="false"/>
        <w:tabs>
          <w:tab w:val="clear" w:pos="709"/>
          <w:tab w:val="left" w:pos="284" w:leader="none"/>
        </w:tabs>
        <w:spacing w:lineRule="auto" w:line="240"/>
        <w:rPr>
          <w:b/>
          <w:bCs/>
          <w:color w:val="auto"/>
          <w:sz w:val="20"/>
          <w:szCs w:val="20"/>
          <w:highlight w:val="yellow"/>
        </w:rPr>
      </w:pPr>
      <w:r>
        <w:rPr>
          <w:b/>
          <w:bCs/>
          <w:color w:val="auto"/>
          <w:sz w:val="20"/>
          <w:szCs w:val="20"/>
          <w:highlight w:val="yellow"/>
        </w:rPr>
      </w:r>
    </w:p>
    <w:p>
      <w:pPr>
        <w:pStyle w:val="Normal"/>
        <w:shd w:val="clear" w:color="auto" w:fill="DDDDDD"/>
        <w:ind w:firstLine="567"/>
        <w:jc w:val="both"/>
        <w:rPr>
          <w:rFonts w:ascii="Arial" w:hAnsi="Arial" w:cs="Arial"/>
        </w:rPr>
      </w:pPr>
      <w:r>
        <w:rPr>
          <w:rFonts w:cs="Arial" w:ascii="Arial" w:hAnsi="Arial"/>
          <w:b/>
          <w:bCs/>
        </w:rPr>
        <w:t>2. DO OBJETO:</w:t>
      </w:r>
    </w:p>
    <w:p>
      <w:pPr>
        <w:pStyle w:val="Normal"/>
        <w:numPr>
          <w:ilvl w:val="0"/>
          <w:numId w:val="7"/>
        </w:numPr>
        <w:tabs>
          <w:tab w:val="clear" w:pos="709"/>
          <w:tab w:val="left" w:pos="284" w:leader="none"/>
        </w:tabs>
        <w:jc w:val="both"/>
        <w:rPr>
          <w:rFonts w:ascii="Arial" w:hAnsi="Arial" w:cs="Arial"/>
        </w:rPr>
      </w:pPr>
      <w:r>
        <w:rPr>
          <w:rFonts w:cs="Arial" w:ascii="Arial" w:hAnsi="Arial"/>
        </w:rPr>
        <w:t xml:space="preserve">Objeto: </w:t>
      </w:r>
      <w:r>
        <w:rPr>
          <w:rFonts w:cs="Arial" w:ascii="Arial" w:hAnsi="Arial"/>
          <w:b/>
        </w:rPr>
        <w:t>Prestação de serviços de hospedagem.</w:t>
      </w:r>
    </w:p>
    <w:p>
      <w:pPr>
        <w:pStyle w:val="Normal"/>
        <w:numPr>
          <w:ilvl w:val="0"/>
          <w:numId w:val="7"/>
        </w:numPr>
        <w:tabs>
          <w:tab w:val="clear" w:pos="709"/>
          <w:tab w:val="left" w:pos="284" w:leader="none"/>
        </w:tabs>
        <w:jc w:val="both"/>
        <w:rPr>
          <w:rFonts w:ascii="Arial" w:hAnsi="Arial" w:cs="Arial"/>
        </w:rPr>
      </w:pPr>
      <w:r>
        <w:rPr>
          <w:rFonts w:cs="Arial" w:ascii="Arial" w:hAnsi="Arial"/>
        </w:rPr>
        <w:t>Unidade Requisitante: Secretaria Municipal de Administração e Governo – Tiro de Guerra.</w:t>
      </w:r>
    </w:p>
    <w:p>
      <w:pPr>
        <w:pStyle w:val="Normal"/>
        <w:numPr>
          <w:ilvl w:val="0"/>
          <w:numId w:val="7"/>
        </w:numPr>
        <w:tabs>
          <w:tab w:val="clear" w:pos="709"/>
          <w:tab w:val="left" w:pos="284" w:leader="none"/>
        </w:tabs>
        <w:jc w:val="both"/>
        <w:rPr>
          <w:rFonts w:ascii="Arial" w:hAnsi="Arial" w:cs="Arial"/>
        </w:rPr>
      </w:pPr>
      <w:r>
        <w:rPr>
          <w:rFonts w:cs="Arial" w:ascii="Arial" w:hAnsi="Arial"/>
        </w:rPr>
        <w:t xml:space="preserve">Fonte de recursos: Tesouro – Dotação Orçamentária: 04.122.0004.2006.0000 - MANUTENÇÃO E APOIO AO SERVIÇO MILITAR NO MUNICÍPIO </w:t>
      </w:r>
    </w:p>
    <w:p>
      <w:pPr>
        <w:pStyle w:val="Normal"/>
        <w:numPr>
          <w:ilvl w:val="0"/>
          <w:numId w:val="7"/>
        </w:numPr>
        <w:tabs>
          <w:tab w:val="clear" w:pos="709"/>
          <w:tab w:val="left" w:pos="284" w:leader="none"/>
        </w:tabs>
        <w:jc w:val="both"/>
        <w:rPr>
          <w:rFonts w:ascii="Arial" w:hAnsi="Arial" w:cs="Arial"/>
        </w:rPr>
      </w:pPr>
      <w:r>
        <w:rPr>
          <w:rFonts w:cs="Arial" w:ascii="Arial" w:hAnsi="Arial"/>
        </w:rPr>
        <w:t xml:space="preserve">Valor estimado da contratação: </w:t>
      </w:r>
      <w:r>
        <w:rPr>
          <w:rFonts w:cs="Arial" w:ascii="Arial" w:hAnsi="Arial"/>
          <w:b/>
        </w:rPr>
        <w:t>R$ 5.032,07 (Cinco mil e trinta e dois reais e sete centavos).</w:t>
      </w:r>
    </w:p>
    <w:p>
      <w:pPr>
        <w:pStyle w:val="Normal"/>
        <w:numPr>
          <w:ilvl w:val="0"/>
          <w:numId w:val="7"/>
        </w:numPr>
        <w:tabs>
          <w:tab w:val="clear" w:pos="709"/>
          <w:tab w:val="left" w:pos="284" w:leader="none"/>
        </w:tabs>
        <w:jc w:val="both"/>
        <w:rPr>
          <w:rFonts w:ascii="Arial" w:hAnsi="Arial" w:cs="Arial"/>
        </w:rPr>
      </w:pPr>
      <w:r>
        <w:rPr>
          <w:rFonts w:cs="Arial" w:ascii="Arial" w:hAnsi="Arial"/>
        </w:rPr>
        <w:t>Prazo de contratação: 04 (quatro) meses, de julho a outubro de 2025.</w:t>
      </w:r>
    </w:p>
    <w:p>
      <w:pPr>
        <w:pStyle w:val="Normal"/>
        <w:numPr>
          <w:ilvl w:val="0"/>
          <w:numId w:val="7"/>
        </w:numPr>
        <w:tabs>
          <w:tab w:val="clear" w:pos="709"/>
          <w:tab w:val="left" w:pos="284" w:leader="none"/>
        </w:tabs>
        <w:jc w:val="both"/>
        <w:rPr>
          <w:rFonts w:ascii="Arial" w:hAnsi="Arial" w:cs="Arial"/>
        </w:rPr>
      </w:pPr>
      <w:r>
        <w:rPr>
          <w:rFonts w:cs="Arial" w:ascii="Arial" w:hAnsi="Arial"/>
        </w:rPr>
        <w:t>Amparo Legal: Art. 75, Inciso II (será aplicado o benefício da LC 123/06, conforme item 2.3.1. do Regulamento Geral).</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DDDDDD"/>
        <w:ind w:firstLine="567"/>
        <w:jc w:val="both"/>
        <w:rPr>
          <w:rFonts w:ascii="Arial" w:hAnsi="Arial" w:cs="Arial"/>
        </w:rPr>
      </w:pPr>
      <w:r>
        <w:rPr>
          <w:rFonts w:cs="Arial" w:ascii="Arial" w:hAnsi="Arial"/>
          <w:b/>
          <w:bCs/>
        </w:rPr>
        <w:t>3. DA PROPOSTA:</w:t>
      </w:r>
    </w:p>
    <w:p>
      <w:pPr>
        <w:pStyle w:val="Normal"/>
        <w:numPr>
          <w:ilvl w:val="0"/>
          <w:numId w:val="13"/>
        </w:numPr>
        <w:tabs>
          <w:tab w:val="clear" w:pos="709"/>
          <w:tab w:val="left" w:pos="284" w:leader="none"/>
        </w:tabs>
        <w:jc w:val="both"/>
        <w:rPr>
          <w:rFonts w:ascii="Arial" w:hAnsi="Arial" w:cs="Arial"/>
        </w:rPr>
      </w:pPr>
      <w:r>
        <w:rPr>
          <w:rFonts w:cs="Arial" w:ascii="Arial" w:hAnsi="Arial"/>
        </w:rPr>
        <w:t>Prazo de validade: 30 (trinta) dias.</w:t>
      </w:r>
    </w:p>
    <w:p>
      <w:pPr>
        <w:pStyle w:val="Normal"/>
        <w:numPr>
          <w:ilvl w:val="0"/>
          <w:numId w:val="6"/>
        </w:numPr>
        <w:tabs>
          <w:tab w:val="clear" w:pos="709"/>
          <w:tab w:val="left" w:pos="284" w:leader="none"/>
        </w:tabs>
        <w:jc w:val="both"/>
        <w:rPr>
          <w:rFonts w:ascii="Arial" w:hAnsi="Arial" w:cs="Arial"/>
          <w:b/>
          <w:u w:val="single"/>
        </w:rPr>
      </w:pPr>
      <w:r>
        <w:rPr>
          <w:rFonts w:cs="Arial" w:ascii="Arial" w:hAnsi="Arial"/>
        </w:rPr>
        <w:t>Prazo de Pagamento: 15 (quinze) dias úteis, contados da data do recebimento da nota fiscal, em atendimento ao Decreto Municipal Nº 17.640/18.</w:t>
      </w:r>
    </w:p>
    <w:p>
      <w:pPr>
        <w:pStyle w:val="ListParagraph"/>
        <w:numPr>
          <w:ilvl w:val="0"/>
          <w:numId w:val="6"/>
        </w:numPr>
        <w:tabs>
          <w:tab w:val="clear" w:pos="709"/>
          <w:tab w:val="left" w:pos="284" w:leader="none"/>
        </w:tabs>
        <w:spacing w:lineRule="auto" w:line="240" w:before="0" w:after="0"/>
        <w:jc w:val="both"/>
        <w:rPr>
          <w:rFonts w:ascii="Arial" w:hAnsi="Arial" w:cs="Arial"/>
          <w:sz w:val="20"/>
          <w:szCs w:val="20"/>
        </w:rPr>
      </w:pPr>
      <w:r>
        <w:rPr>
          <w:rFonts w:cs="Arial" w:ascii="Arial" w:hAnsi="Arial"/>
          <w:sz w:val="20"/>
          <w:szCs w:val="20"/>
        </w:rPr>
        <w:t xml:space="preserve">Deverá ser especificado na proposta o </w:t>
      </w:r>
      <w:r>
        <w:rPr>
          <w:rFonts w:cs="Arial" w:ascii="Arial" w:hAnsi="Arial"/>
          <w:b/>
          <w:sz w:val="20"/>
          <w:szCs w:val="20"/>
        </w:rPr>
        <w:t xml:space="preserve">preço unitário e total </w:t>
      </w:r>
      <w:r>
        <w:rPr>
          <w:rFonts w:cs="Arial" w:ascii="Arial" w:hAnsi="Arial"/>
          <w:sz w:val="20"/>
          <w:szCs w:val="20"/>
        </w:rPr>
        <w:t>do item</w:t>
      </w:r>
      <w:r>
        <w:rPr>
          <w:rFonts w:cs="Arial" w:ascii="Arial" w:hAnsi="Arial"/>
          <w:b/>
          <w:sz w:val="20"/>
          <w:szCs w:val="20"/>
        </w:rPr>
        <w:t>.</w:t>
      </w:r>
    </w:p>
    <w:p>
      <w:pPr>
        <w:pStyle w:val="ListParagraph"/>
        <w:numPr>
          <w:ilvl w:val="0"/>
          <w:numId w:val="6"/>
        </w:numPr>
        <w:tabs>
          <w:tab w:val="clear" w:pos="709"/>
          <w:tab w:val="left" w:pos="284" w:leader="none"/>
        </w:tabs>
        <w:spacing w:lineRule="auto" w:line="240" w:before="0" w:after="0"/>
        <w:jc w:val="both"/>
        <w:rPr>
          <w:rFonts w:ascii="Arial" w:hAnsi="Arial" w:cs="Arial"/>
          <w:sz w:val="20"/>
          <w:szCs w:val="20"/>
        </w:rPr>
      </w:pPr>
      <w:r>
        <w:rPr>
          <w:rFonts w:cs="Arial" w:ascii="Arial" w:hAnsi="Arial"/>
          <w:sz w:val="20"/>
          <w:szCs w:val="20"/>
        </w:rPr>
        <w:t>Critério de Julgamento: Menor valor por item.</w:t>
      </w:r>
    </w:p>
    <w:p>
      <w:pPr>
        <w:pStyle w:val="ListParagraph"/>
        <w:numPr>
          <w:ilvl w:val="0"/>
          <w:numId w:val="6"/>
        </w:numPr>
        <w:tabs>
          <w:tab w:val="clear" w:pos="709"/>
          <w:tab w:val="left" w:pos="284" w:leader="none"/>
        </w:tabs>
        <w:spacing w:lineRule="auto" w:line="240" w:before="0" w:after="0"/>
        <w:jc w:val="both"/>
        <w:rPr>
          <w:rFonts w:ascii="Arial" w:hAnsi="Arial" w:cs="Arial"/>
          <w:sz w:val="20"/>
          <w:szCs w:val="20"/>
        </w:rPr>
      </w:pPr>
      <w:r>
        <w:rPr>
          <w:rFonts w:cs="Arial" w:ascii="Arial" w:hAnsi="Arial"/>
          <w:sz w:val="20"/>
          <w:szCs w:val="20"/>
        </w:rPr>
        <w:t>Tipo de Fornecimento: Parcelado.</w:t>
      </w:r>
    </w:p>
    <w:p>
      <w:pPr>
        <w:pStyle w:val="Normal"/>
        <w:numPr>
          <w:ilvl w:val="0"/>
          <w:numId w:val="6"/>
        </w:numPr>
        <w:tabs>
          <w:tab w:val="clear" w:pos="709"/>
          <w:tab w:val="left" w:pos="284" w:leader="none"/>
        </w:tabs>
        <w:jc w:val="both"/>
        <w:rPr>
          <w:rFonts w:ascii="Arial" w:hAnsi="Arial" w:eastAsia="Arial" w:cs="Arial"/>
        </w:rPr>
      </w:pPr>
      <w:r>
        <w:rPr>
          <w:rFonts w:cs="Arial" w:ascii="Arial" w:hAnsi="Arial"/>
        </w:rPr>
        <w:t>Especificações e quantidades:</w:t>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850"/>
        <w:gridCol w:w="850"/>
        <w:gridCol w:w="7369"/>
      </w:tblGrid>
      <w:tr>
        <w:trPr>
          <w:tblHeader w:val="true"/>
          <w:trHeight w:val="283" w:hRule="atLeast"/>
        </w:trPr>
        <w:tc>
          <w:tcPr>
            <w:tcW w:w="850" w:type="dxa"/>
            <w:tcBorders>
              <w:top w:val="single" w:sz="4" w:space="0" w:color="000000"/>
              <w:left w:val="single" w:sz="4" w:space="0" w:color="000000"/>
              <w:bottom w:val="single" w:sz="4" w:space="0" w:color="000000"/>
            </w:tcBorders>
            <w:vAlign w:val="center"/>
          </w:tcPr>
          <w:p>
            <w:pPr>
              <w:pStyle w:val="Contedodatabela"/>
              <w:widowControl w:val="false"/>
              <w:rPr>
                <w:rFonts w:cs="Arial"/>
                <w:b/>
              </w:rPr>
            </w:pPr>
            <w:r>
              <w:rPr>
                <w:rFonts w:cs="Arial"/>
                <w:b/>
              </w:rPr>
              <w:t>Item</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rPr>
                <w:rFonts w:cs="Arial"/>
                <w:b/>
              </w:rPr>
            </w:pPr>
            <w:r>
              <w:rPr>
                <w:rFonts w:cs="Arial"/>
                <w:b/>
              </w:rPr>
              <w:t>Quant.</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rPr>
                <w:rFonts w:cs="Arial"/>
                <w:b/>
              </w:rPr>
            </w:pPr>
            <w:r>
              <w:rPr>
                <w:rFonts w:cs="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cs="Arial"/>
              </w:rPr>
            </w:pPr>
            <w:r>
              <w:rPr>
                <w:rFonts w:cs="Arial"/>
                <w:b/>
              </w:rPr>
              <w:t>Descritivo</w:t>
            </w:r>
          </w:p>
        </w:tc>
      </w:tr>
      <w:tr>
        <w:trPr>
          <w:trHeight w:val="283"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rPr>
            </w:pPr>
            <w:r>
              <w:rPr>
                <w:rFonts w:cs="Arial" w:ascii="Arial" w:hAnsi="Arial"/>
                <w:b/>
              </w:rPr>
              <w:t>01</w:t>
            </w:r>
          </w:p>
        </w:tc>
        <w:tc>
          <w:tcPr>
            <w:tcW w:w="850" w:type="dxa"/>
            <w:tcBorders>
              <w:top w:val="single" w:sz="4" w:space="0" w:color="000000"/>
              <w:left w:val="single" w:sz="4" w:space="0" w:color="000000"/>
              <w:bottom w:val="single" w:sz="4" w:space="0" w:color="000000"/>
            </w:tcBorders>
            <w:vAlign w:val="center"/>
          </w:tcPr>
          <w:p>
            <w:pPr>
              <w:pStyle w:val="ListParagraph"/>
              <w:tabs>
                <w:tab w:val="clear" w:pos="709"/>
                <w:tab w:val="left" w:pos="284" w:leader="none"/>
              </w:tabs>
              <w:spacing w:lineRule="auto" w:line="240" w:before="0" w:after="0"/>
              <w:ind w:left="0"/>
              <w:jc w:val="both"/>
              <w:rPr>
                <w:rFonts w:ascii="Arial" w:hAnsi="Arial" w:cs="Arial"/>
                <w:sz w:val="20"/>
                <w:szCs w:val="20"/>
              </w:rPr>
            </w:pPr>
            <w:r>
              <w:rPr>
                <w:rFonts w:cs="Arial" w:ascii="Arial" w:hAnsi="Arial"/>
                <w:sz w:val="20"/>
                <w:szCs w:val="20"/>
              </w:rPr>
              <w:t>23</w:t>
            </w:r>
          </w:p>
        </w:tc>
        <w:tc>
          <w:tcPr>
            <w:tcW w:w="850" w:type="dxa"/>
            <w:tcBorders>
              <w:top w:val="single" w:sz="4" w:space="0" w:color="000000"/>
              <w:left w:val="single" w:sz="4" w:space="0" w:color="000000"/>
              <w:bottom w:val="single" w:sz="4" w:space="0" w:color="000000"/>
            </w:tcBorders>
            <w:vAlign w:val="center"/>
          </w:tcPr>
          <w:p>
            <w:pPr>
              <w:pStyle w:val="ListParagraph"/>
              <w:tabs>
                <w:tab w:val="clear" w:pos="709"/>
                <w:tab w:val="left" w:pos="284" w:leader="none"/>
              </w:tabs>
              <w:spacing w:lineRule="auto" w:line="240" w:before="0" w:after="0"/>
              <w:ind w:left="0"/>
              <w:jc w:val="both"/>
              <w:rPr>
                <w:rFonts w:ascii="Arial" w:hAnsi="Arial" w:cs="Arial"/>
                <w:sz w:val="20"/>
                <w:szCs w:val="20"/>
              </w:rPr>
            </w:pPr>
            <w:r>
              <w:rPr>
                <w:rFonts w:cs="Arial" w:ascii="Arial" w:hAnsi="Arial"/>
                <w:sz w:val="20"/>
                <w:szCs w:val="20"/>
              </w:rPr>
              <w:t>Serviço</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ListParagraph"/>
              <w:tabs>
                <w:tab w:val="clear" w:pos="709"/>
                <w:tab w:val="left" w:pos="284" w:leader="none"/>
              </w:tabs>
              <w:spacing w:lineRule="auto" w:line="240" w:before="0" w:after="0"/>
              <w:ind w:left="0"/>
              <w:jc w:val="both"/>
              <w:rPr>
                <w:rFonts w:ascii="Arial" w:hAnsi="Arial" w:cs="Arial"/>
                <w:sz w:val="20"/>
                <w:szCs w:val="20"/>
              </w:rPr>
            </w:pPr>
            <w:r>
              <w:rPr>
                <w:rFonts w:cs="Arial" w:ascii="Arial" w:hAnsi="Arial"/>
                <w:sz w:val="20"/>
                <w:szCs w:val="20"/>
              </w:rPr>
              <w:t>Hospedagem SINGLE para militares, com inclusão de café da manhã e estacionamento</w:t>
            </w:r>
          </w:p>
        </w:tc>
      </w:tr>
    </w:tbl>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numPr>
          <w:ilvl w:val="0"/>
          <w:numId w:val="6"/>
        </w:numPr>
        <w:tabs>
          <w:tab w:val="clear" w:pos="709"/>
          <w:tab w:val="left" w:pos="284" w:leader="none"/>
        </w:tabs>
        <w:jc w:val="both"/>
        <w:rPr>
          <w:rFonts w:ascii="Arial" w:hAnsi="Arial" w:eastAsia="Arial" w:cs="Arial"/>
        </w:rPr>
      </w:pPr>
      <w:r>
        <w:rPr>
          <w:rFonts w:cs="Arial" w:ascii="Arial" w:hAnsi="Arial"/>
        </w:rPr>
        <w:t xml:space="preserve">Descritivo técnico: </w:t>
      </w:r>
    </w:p>
    <w:p>
      <w:pPr>
        <w:pStyle w:val="Normal"/>
        <w:tabs>
          <w:tab w:val="clear" w:pos="709"/>
          <w:tab w:val="left" w:pos="284" w:leader="none"/>
        </w:tabs>
        <w:jc w:val="both"/>
        <w:rPr>
          <w:rFonts w:ascii="Arial" w:hAnsi="Arial" w:eastAsia="Arial" w:cs="Arial"/>
        </w:rPr>
      </w:pPr>
      <w:r>
        <w:rPr>
          <w:rFonts w:eastAsia="Arial" w:cs="Arial" w:ascii="Arial" w:hAnsi="Arial"/>
        </w:rPr>
      </w:r>
    </w:p>
    <w:tbl>
      <w:tblPr>
        <w:tblW w:w="5000" w:type="pct"/>
        <w:jc w:val="left"/>
        <w:tblInd w:w="0" w:type="dxa"/>
        <w:tblLayout w:type="fixed"/>
        <w:tblCellMar>
          <w:top w:w="28" w:type="dxa"/>
          <w:left w:w="28" w:type="dxa"/>
          <w:bottom w:w="28" w:type="dxa"/>
          <w:right w:w="28" w:type="dxa"/>
        </w:tblCellMar>
        <w:tblLook w:firstRow="1" w:noVBand="1" w:lastRow="0" w:firstColumn="1" w:lastColumn="0" w:noHBand="0" w:val="04a0"/>
      </w:tblPr>
      <w:tblGrid>
        <w:gridCol w:w="1417"/>
        <w:gridCol w:w="1417"/>
        <w:gridCol w:w="0"/>
        <w:gridCol w:w="1417"/>
        <w:gridCol w:w="0"/>
        <w:gridCol w:w="1417"/>
        <w:gridCol w:w="1"/>
        <w:gridCol w:w="1416"/>
        <w:gridCol w:w="1"/>
        <w:gridCol w:w="1417"/>
        <w:gridCol w:w="0"/>
        <w:gridCol w:w="1417"/>
      </w:tblGrid>
      <w:tr>
        <w:trPr/>
        <w:tc>
          <w:tcPr>
            <w:tcW w:w="2834" w:type="dxa"/>
            <w:gridSpan w:val="2"/>
            <w:tcBorders>
              <w:top w:val="single" w:sz="2" w:space="0" w:color="000000"/>
              <w:left w:val="single" w:sz="2" w:space="0" w:color="000000"/>
              <w:bottom w:val="single" w:sz="2" w:space="0" w:color="000000"/>
            </w:tcBorders>
            <w:shd w:color="auto" w:fill="CCCCCC" w:val="clear"/>
          </w:tcPr>
          <w:p>
            <w:pPr>
              <w:pStyle w:val="ListParagraph"/>
              <w:tabs>
                <w:tab w:val="clear" w:pos="709"/>
                <w:tab w:val="left" w:pos="284" w:leader="none"/>
              </w:tabs>
              <w:spacing w:lineRule="auto" w:line="240" w:before="0" w:after="0"/>
              <w:ind w:left="0"/>
              <w:jc w:val="both"/>
              <w:rPr>
                <w:rFonts w:ascii="Arial" w:hAnsi="Arial" w:cs="Arial"/>
                <w:sz w:val="20"/>
                <w:szCs w:val="20"/>
              </w:rPr>
            </w:pPr>
            <w:r>
              <w:rPr>
                <w:rFonts w:cs="Arial" w:ascii="Arial" w:hAnsi="Arial"/>
                <w:sz w:val="20"/>
                <w:szCs w:val="20"/>
              </w:rPr>
            </w:r>
          </w:p>
        </w:tc>
        <w:tc>
          <w:tcPr>
            <w:tcW w:w="1417" w:type="dxa"/>
            <w:gridSpan w:val="2"/>
            <w:tcBorders>
              <w:top w:val="single" w:sz="2" w:space="0" w:color="000000"/>
              <w:left w:val="single" w:sz="2" w:space="0" w:color="000000"/>
              <w:bottom w:val="single" w:sz="2" w:space="0" w:color="000000"/>
            </w:tcBorders>
            <w:shd w:color="auto" w:fill="CCCCCC" w:val="clear"/>
          </w:tcPr>
          <w:p>
            <w:pPr>
              <w:pStyle w:val="ListParagraph"/>
              <w:tabs>
                <w:tab w:val="clear" w:pos="709"/>
                <w:tab w:val="left" w:pos="284" w:leader="none"/>
              </w:tabs>
              <w:spacing w:lineRule="auto" w:line="240" w:before="0" w:after="0"/>
              <w:ind w:left="0"/>
              <w:jc w:val="center"/>
              <w:rPr>
                <w:rFonts w:ascii="Arial" w:hAnsi="Arial" w:cs="Arial"/>
                <w:b/>
                <w:bCs/>
                <w:sz w:val="20"/>
                <w:szCs w:val="20"/>
              </w:rPr>
            </w:pPr>
            <w:r>
              <w:rPr>
                <w:rFonts w:cs="Arial" w:ascii="Arial" w:hAnsi="Arial"/>
                <w:b/>
                <w:bCs/>
                <w:sz w:val="20"/>
                <w:szCs w:val="20"/>
              </w:rPr>
              <w:t>Julho</w:t>
            </w:r>
          </w:p>
        </w:tc>
        <w:tc>
          <w:tcPr>
            <w:tcW w:w="1417" w:type="dxa"/>
            <w:gridSpan w:val="2"/>
            <w:tcBorders>
              <w:top w:val="single" w:sz="2" w:space="0" w:color="000000"/>
              <w:left w:val="single" w:sz="2" w:space="0" w:color="000000"/>
              <w:bottom w:val="single" w:sz="2" w:space="0" w:color="000000"/>
            </w:tcBorders>
            <w:shd w:color="auto" w:fill="CCCCCC" w:val="clear"/>
          </w:tcPr>
          <w:p>
            <w:pPr>
              <w:pStyle w:val="ListParagraph"/>
              <w:tabs>
                <w:tab w:val="clear" w:pos="709"/>
                <w:tab w:val="left" w:pos="284" w:leader="none"/>
              </w:tabs>
              <w:spacing w:lineRule="auto" w:line="240" w:before="0" w:after="0"/>
              <w:ind w:left="0"/>
              <w:jc w:val="center"/>
              <w:rPr>
                <w:rFonts w:ascii="Arial" w:hAnsi="Arial" w:cs="Arial"/>
                <w:b/>
                <w:bCs/>
                <w:sz w:val="20"/>
                <w:szCs w:val="20"/>
              </w:rPr>
            </w:pPr>
            <w:r>
              <w:rPr>
                <w:rFonts w:cs="Arial" w:ascii="Arial" w:hAnsi="Arial"/>
                <w:b/>
                <w:bCs/>
                <w:sz w:val="20"/>
                <w:szCs w:val="20"/>
              </w:rPr>
              <w:t>Agosto</w:t>
            </w:r>
          </w:p>
        </w:tc>
        <w:tc>
          <w:tcPr>
            <w:tcW w:w="1417" w:type="dxa"/>
            <w:gridSpan w:val="2"/>
            <w:tcBorders>
              <w:top w:val="single" w:sz="2" w:space="0" w:color="000000"/>
              <w:left w:val="single" w:sz="2" w:space="0" w:color="000000"/>
              <w:bottom w:val="single" w:sz="2" w:space="0" w:color="000000"/>
            </w:tcBorders>
            <w:shd w:color="auto" w:fill="CCCCCC" w:val="clear"/>
          </w:tcPr>
          <w:p>
            <w:pPr>
              <w:pStyle w:val="ListParagraph"/>
              <w:tabs>
                <w:tab w:val="clear" w:pos="709"/>
                <w:tab w:val="left" w:pos="284" w:leader="none"/>
              </w:tabs>
              <w:spacing w:lineRule="auto" w:line="240" w:before="0" w:after="0"/>
              <w:ind w:left="0"/>
              <w:jc w:val="center"/>
              <w:rPr>
                <w:rFonts w:ascii="Arial" w:hAnsi="Arial" w:cs="Arial"/>
                <w:b/>
                <w:bCs/>
                <w:sz w:val="20"/>
                <w:szCs w:val="20"/>
              </w:rPr>
            </w:pPr>
            <w:r>
              <w:rPr>
                <w:rFonts w:cs="Arial" w:ascii="Arial" w:hAnsi="Arial"/>
                <w:b/>
                <w:bCs/>
                <w:sz w:val="20"/>
                <w:szCs w:val="20"/>
              </w:rPr>
              <w:t>Setembro</w:t>
            </w:r>
          </w:p>
        </w:tc>
        <w:tc>
          <w:tcPr>
            <w:tcW w:w="1418" w:type="dxa"/>
            <w:gridSpan w:val="2"/>
            <w:tcBorders>
              <w:top w:val="single" w:sz="2" w:space="0" w:color="000000"/>
              <w:left w:val="single" w:sz="2" w:space="0" w:color="000000"/>
              <w:bottom w:val="single" w:sz="2" w:space="0" w:color="000000"/>
            </w:tcBorders>
            <w:shd w:color="auto" w:fill="CCCCCC" w:val="clear"/>
          </w:tcPr>
          <w:p>
            <w:pPr>
              <w:pStyle w:val="ListParagraph"/>
              <w:tabs>
                <w:tab w:val="clear" w:pos="709"/>
                <w:tab w:val="left" w:pos="284" w:leader="none"/>
              </w:tabs>
              <w:spacing w:lineRule="auto" w:line="240" w:before="0" w:after="0"/>
              <w:ind w:left="0"/>
              <w:jc w:val="center"/>
              <w:rPr>
                <w:rFonts w:ascii="Arial" w:hAnsi="Arial" w:cs="Arial"/>
                <w:b/>
                <w:bCs/>
                <w:sz w:val="20"/>
                <w:szCs w:val="20"/>
              </w:rPr>
            </w:pPr>
            <w:r>
              <w:rPr>
                <w:rFonts w:cs="Arial" w:ascii="Arial" w:hAnsi="Arial"/>
                <w:b/>
                <w:bCs/>
                <w:sz w:val="20"/>
                <w:szCs w:val="20"/>
              </w:rPr>
              <w:t>Outubro</w:t>
            </w:r>
          </w:p>
        </w:tc>
        <w:tc>
          <w:tcPr>
            <w:tcW w:w="1417" w:type="dxa"/>
            <w:gridSpan w:val="2"/>
            <w:tcBorders>
              <w:top w:val="single" w:sz="2" w:space="0" w:color="000000"/>
              <w:left w:val="single" w:sz="2" w:space="0" w:color="000000"/>
              <w:bottom w:val="single" w:sz="2" w:space="0" w:color="000000"/>
              <w:right w:val="single" w:sz="2" w:space="0" w:color="000000"/>
            </w:tcBorders>
            <w:shd w:color="auto" w:fill="CCCCCC" w:val="clear"/>
          </w:tcPr>
          <w:p>
            <w:pPr>
              <w:pStyle w:val="ListParagraph"/>
              <w:tabs>
                <w:tab w:val="clear" w:pos="709"/>
                <w:tab w:val="left" w:pos="284" w:leader="none"/>
              </w:tabs>
              <w:spacing w:lineRule="auto" w:line="240" w:before="0" w:after="0"/>
              <w:ind w:left="0"/>
              <w:jc w:val="both"/>
              <w:rPr>
                <w:rFonts w:ascii="Arial" w:hAnsi="Arial" w:cs="Arial"/>
                <w:sz w:val="20"/>
                <w:szCs w:val="20"/>
              </w:rPr>
            </w:pPr>
            <w:r>
              <w:rPr>
                <w:rFonts w:cs="Arial" w:ascii="Arial" w:hAnsi="Arial"/>
                <w:sz w:val="20"/>
                <w:szCs w:val="20"/>
              </w:rPr>
            </w:r>
          </w:p>
        </w:tc>
      </w:tr>
      <w:tr>
        <w:trPr>
          <w:trHeight w:val="313" w:hRule="atLeast"/>
        </w:trPr>
        <w:tc>
          <w:tcPr>
            <w:tcW w:w="1417" w:type="dxa"/>
            <w:vMerge w:val="restart"/>
            <w:tcBorders>
              <w:left w:val="single" w:sz="2" w:space="0" w:color="000000"/>
              <w:bottom w:val="single" w:sz="2" w:space="0" w:color="000000"/>
            </w:tcBorders>
            <w:vAlign w:val="center"/>
          </w:tcPr>
          <w:p>
            <w:pPr>
              <w:pStyle w:val="ListParagraph"/>
              <w:tabs>
                <w:tab w:val="clear" w:pos="709"/>
                <w:tab w:val="left" w:pos="284" w:leader="none"/>
              </w:tabs>
              <w:spacing w:lineRule="auto" w:line="240" w:before="0" w:after="0"/>
              <w:ind w:left="0"/>
              <w:jc w:val="both"/>
              <w:rPr>
                <w:rFonts w:ascii="Arial" w:hAnsi="Arial" w:cs="Arial"/>
                <w:b/>
                <w:bCs/>
                <w:sz w:val="20"/>
                <w:szCs w:val="20"/>
              </w:rPr>
            </w:pPr>
            <w:r>
              <w:rPr>
                <w:rFonts w:cs="Arial" w:ascii="Arial" w:hAnsi="Arial"/>
                <w:b/>
                <w:bCs/>
                <w:sz w:val="20"/>
                <w:szCs w:val="20"/>
              </w:rPr>
              <w:t>Hospedagem</w:t>
            </w:r>
          </w:p>
        </w:tc>
        <w:tc>
          <w:tcPr>
            <w:tcW w:w="1417" w:type="dxa"/>
            <w:gridSpan w:val="2"/>
            <w:tcBorders>
              <w:left w:val="single" w:sz="2" w:space="0" w:color="000000"/>
              <w:bottom w:val="single" w:sz="2" w:space="0" w:color="000000"/>
            </w:tcBorders>
            <w:vAlign w:val="center"/>
          </w:tcPr>
          <w:p>
            <w:pPr>
              <w:pStyle w:val="ListParagraph"/>
              <w:tabs>
                <w:tab w:val="clear" w:pos="709"/>
                <w:tab w:val="left" w:pos="284" w:leader="none"/>
              </w:tabs>
              <w:spacing w:lineRule="auto" w:line="240" w:before="0" w:after="0"/>
              <w:ind w:left="0"/>
              <w:jc w:val="both"/>
              <w:rPr>
                <w:rFonts w:ascii="Arial" w:hAnsi="Arial" w:cs="Arial"/>
                <w:sz w:val="20"/>
                <w:szCs w:val="20"/>
              </w:rPr>
            </w:pPr>
            <w:r>
              <w:rPr>
                <w:rFonts w:cs="Arial" w:ascii="Arial" w:hAnsi="Arial"/>
                <w:sz w:val="20"/>
                <w:szCs w:val="20"/>
              </w:rPr>
              <w:t>N° pernoite</w:t>
            </w:r>
          </w:p>
        </w:tc>
        <w:tc>
          <w:tcPr>
            <w:tcW w:w="1417" w:type="dxa"/>
            <w:gridSpan w:val="2"/>
            <w:tcBorders>
              <w:left w:val="single" w:sz="2" w:space="0" w:color="000000"/>
              <w:bottom w:val="single" w:sz="2" w:space="0" w:color="000000"/>
            </w:tcBorders>
          </w:tcPr>
          <w:p>
            <w:pPr>
              <w:pStyle w:val="ListParagraph"/>
              <w:tabs>
                <w:tab w:val="clear" w:pos="709"/>
                <w:tab w:val="left" w:pos="284" w:leader="none"/>
              </w:tabs>
              <w:spacing w:lineRule="auto" w:line="240" w:before="0" w:after="0"/>
              <w:ind w:left="0"/>
              <w:jc w:val="center"/>
              <w:rPr>
                <w:rFonts w:ascii="Arial" w:hAnsi="Arial" w:cs="Arial"/>
                <w:sz w:val="20"/>
                <w:szCs w:val="20"/>
              </w:rPr>
            </w:pPr>
            <w:r>
              <w:rPr>
                <w:rFonts w:cs="Arial" w:ascii="Arial" w:hAnsi="Arial"/>
                <w:sz w:val="20"/>
                <w:szCs w:val="20"/>
              </w:rPr>
              <w:t>1</w:t>
            </w:r>
          </w:p>
        </w:tc>
        <w:tc>
          <w:tcPr>
            <w:tcW w:w="1418" w:type="dxa"/>
            <w:gridSpan w:val="2"/>
            <w:tcBorders>
              <w:left w:val="single" w:sz="2" w:space="0" w:color="000000"/>
              <w:bottom w:val="single" w:sz="2" w:space="0" w:color="000000"/>
            </w:tcBorders>
          </w:tcPr>
          <w:p>
            <w:pPr>
              <w:pStyle w:val="ListParagraph"/>
              <w:tabs>
                <w:tab w:val="clear" w:pos="709"/>
                <w:tab w:val="left" w:pos="284" w:leader="none"/>
              </w:tabs>
              <w:spacing w:lineRule="auto" w:line="240" w:before="0" w:after="0"/>
              <w:ind w:left="0"/>
              <w:jc w:val="center"/>
              <w:rPr>
                <w:rFonts w:ascii="Arial" w:hAnsi="Arial" w:cs="Arial"/>
                <w:sz w:val="20"/>
                <w:szCs w:val="20"/>
              </w:rPr>
            </w:pPr>
            <w:r>
              <w:rPr>
                <w:rFonts w:cs="Arial" w:ascii="Arial" w:hAnsi="Arial"/>
                <w:sz w:val="20"/>
                <w:szCs w:val="20"/>
              </w:rPr>
              <w:t>1</w:t>
            </w:r>
          </w:p>
        </w:tc>
        <w:tc>
          <w:tcPr>
            <w:tcW w:w="1417" w:type="dxa"/>
            <w:gridSpan w:val="2"/>
            <w:tcBorders>
              <w:left w:val="single" w:sz="2" w:space="0" w:color="000000"/>
              <w:bottom w:val="single" w:sz="2" w:space="0" w:color="000000"/>
            </w:tcBorders>
          </w:tcPr>
          <w:p>
            <w:pPr>
              <w:pStyle w:val="ListParagraph"/>
              <w:tabs>
                <w:tab w:val="clear" w:pos="709"/>
                <w:tab w:val="left" w:pos="284" w:leader="none"/>
              </w:tabs>
              <w:spacing w:lineRule="auto" w:line="240" w:before="0" w:after="0"/>
              <w:ind w:left="0"/>
              <w:jc w:val="center"/>
              <w:rPr>
                <w:rFonts w:ascii="Arial" w:hAnsi="Arial" w:cs="Arial"/>
                <w:sz w:val="20"/>
                <w:szCs w:val="20"/>
              </w:rPr>
            </w:pPr>
            <w:r>
              <w:rPr>
                <w:rFonts w:cs="Arial" w:ascii="Arial" w:hAnsi="Arial"/>
                <w:sz w:val="20"/>
                <w:szCs w:val="20"/>
              </w:rPr>
              <w:t>4</w:t>
            </w:r>
          </w:p>
        </w:tc>
        <w:tc>
          <w:tcPr>
            <w:tcW w:w="1417" w:type="dxa"/>
            <w:gridSpan w:val="2"/>
            <w:tcBorders>
              <w:left w:val="single" w:sz="2" w:space="0" w:color="000000"/>
              <w:bottom w:val="single" w:sz="2" w:space="0" w:color="000000"/>
            </w:tcBorders>
          </w:tcPr>
          <w:p>
            <w:pPr>
              <w:pStyle w:val="ListParagraph"/>
              <w:tabs>
                <w:tab w:val="clear" w:pos="709"/>
                <w:tab w:val="left" w:pos="284" w:leader="none"/>
              </w:tabs>
              <w:spacing w:lineRule="auto" w:line="240" w:before="0" w:after="0"/>
              <w:ind w:left="0"/>
              <w:jc w:val="center"/>
              <w:rPr>
                <w:rFonts w:ascii="Arial" w:hAnsi="Arial" w:cs="Arial"/>
                <w:sz w:val="20"/>
                <w:szCs w:val="20"/>
              </w:rPr>
            </w:pPr>
            <w:r>
              <w:rPr>
                <w:rFonts w:cs="Arial" w:ascii="Arial" w:hAnsi="Arial"/>
                <w:sz w:val="20"/>
                <w:szCs w:val="20"/>
              </w:rPr>
              <w:t>1</w:t>
            </w:r>
          </w:p>
        </w:tc>
        <w:tc>
          <w:tcPr>
            <w:tcW w:w="1417" w:type="dxa"/>
            <w:tcBorders>
              <w:left w:val="single" w:sz="2" w:space="0" w:color="000000"/>
              <w:bottom w:val="single" w:sz="2" w:space="0" w:color="000000"/>
              <w:right w:val="single" w:sz="2" w:space="0" w:color="000000"/>
            </w:tcBorders>
          </w:tcPr>
          <w:p>
            <w:pPr>
              <w:pStyle w:val="ListParagraph"/>
              <w:tabs>
                <w:tab w:val="clear" w:pos="709"/>
                <w:tab w:val="left" w:pos="284" w:leader="none"/>
              </w:tabs>
              <w:spacing w:lineRule="auto" w:line="240" w:before="0" w:after="0"/>
              <w:ind w:left="0"/>
              <w:jc w:val="center"/>
              <w:rPr>
                <w:rFonts w:ascii="Arial" w:hAnsi="Arial" w:cs="Arial"/>
                <w:sz w:val="20"/>
                <w:szCs w:val="20"/>
              </w:rPr>
            </w:pPr>
            <w:r>
              <w:rPr>
                <w:rFonts w:cs="Arial" w:ascii="Arial" w:hAnsi="Arial"/>
                <w:sz w:val="20"/>
                <w:szCs w:val="20"/>
              </w:rPr>
            </w:r>
          </w:p>
        </w:tc>
      </w:tr>
      <w:tr>
        <w:trPr/>
        <w:tc>
          <w:tcPr>
            <w:tcW w:w="1417" w:type="dxa"/>
            <w:vMerge w:val="continue"/>
            <w:tcBorders>
              <w:left w:val="single" w:sz="2" w:space="0" w:color="000000"/>
              <w:bottom w:val="single" w:sz="2" w:space="0" w:color="000000"/>
            </w:tcBorders>
          </w:tcPr>
          <w:p>
            <w:pPr>
              <w:pStyle w:val="Contedodatabelauser"/>
              <w:widowControl/>
              <w:tabs>
                <w:tab w:val="clear" w:pos="709"/>
                <w:tab w:val="left" w:pos="284" w:leader="none"/>
              </w:tabs>
              <w:jc w:val="both"/>
              <w:rPr>
                <w:rFonts w:ascii="Arial" w:hAnsi="Arial" w:cs="Arial"/>
              </w:rPr>
            </w:pPr>
            <w:r>
              <w:rPr>
                <w:rFonts w:cs="Arial" w:ascii="Arial" w:hAnsi="Arial"/>
              </w:rPr>
            </w:r>
          </w:p>
        </w:tc>
        <w:tc>
          <w:tcPr>
            <w:tcW w:w="1417" w:type="dxa"/>
            <w:gridSpan w:val="2"/>
            <w:tcBorders>
              <w:left w:val="single" w:sz="2" w:space="0" w:color="000000"/>
              <w:bottom w:val="single" w:sz="2" w:space="0" w:color="000000"/>
            </w:tcBorders>
            <w:vAlign w:val="center"/>
          </w:tcPr>
          <w:p>
            <w:pPr>
              <w:pStyle w:val="ListParagraph"/>
              <w:tabs>
                <w:tab w:val="clear" w:pos="709"/>
                <w:tab w:val="left" w:pos="284" w:leader="none"/>
              </w:tabs>
              <w:spacing w:lineRule="auto" w:line="240" w:before="0" w:after="0"/>
              <w:ind w:left="0"/>
              <w:jc w:val="both"/>
              <w:rPr>
                <w:rFonts w:ascii="Arial" w:hAnsi="Arial" w:cs="Arial"/>
                <w:sz w:val="20"/>
                <w:szCs w:val="20"/>
              </w:rPr>
            </w:pPr>
            <w:r>
              <w:rPr>
                <w:rFonts w:cs="Arial" w:ascii="Arial" w:hAnsi="Arial"/>
                <w:sz w:val="20"/>
                <w:szCs w:val="20"/>
              </w:rPr>
              <w:t>N° oficiais</w:t>
            </w:r>
          </w:p>
        </w:tc>
        <w:tc>
          <w:tcPr>
            <w:tcW w:w="1417" w:type="dxa"/>
            <w:gridSpan w:val="2"/>
            <w:tcBorders>
              <w:left w:val="single" w:sz="2" w:space="0" w:color="000000"/>
              <w:bottom w:val="single" w:sz="2" w:space="0" w:color="000000"/>
            </w:tcBorders>
          </w:tcPr>
          <w:p>
            <w:pPr>
              <w:pStyle w:val="ListParagraph"/>
              <w:tabs>
                <w:tab w:val="clear" w:pos="709"/>
                <w:tab w:val="left" w:pos="284" w:leader="none"/>
              </w:tabs>
              <w:spacing w:lineRule="auto" w:line="240" w:before="0" w:after="0"/>
              <w:ind w:left="0"/>
              <w:jc w:val="center"/>
              <w:rPr>
                <w:rFonts w:ascii="Arial" w:hAnsi="Arial" w:cs="Arial"/>
                <w:sz w:val="20"/>
                <w:szCs w:val="20"/>
              </w:rPr>
            </w:pPr>
            <w:r>
              <w:rPr>
                <w:rFonts w:cs="Arial" w:ascii="Arial" w:hAnsi="Arial"/>
                <w:sz w:val="20"/>
                <w:szCs w:val="20"/>
              </w:rPr>
              <w:t>5</w:t>
            </w:r>
          </w:p>
        </w:tc>
        <w:tc>
          <w:tcPr>
            <w:tcW w:w="1418" w:type="dxa"/>
            <w:gridSpan w:val="2"/>
            <w:tcBorders>
              <w:left w:val="single" w:sz="2" w:space="0" w:color="000000"/>
              <w:bottom w:val="single" w:sz="2" w:space="0" w:color="000000"/>
            </w:tcBorders>
          </w:tcPr>
          <w:p>
            <w:pPr>
              <w:pStyle w:val="ListParagraph"/>
              <w:tabs>
                <w:tab w:val="clear" w:pos="709"/>
                <w:tab w:val="left" w:pos="284" w:leader="none"/>
              </w:tabs>
              <w:spacing w:lineRule="auto" w:line="240" w:before="0" w:after="0"/>
              <w:ind w:left="0"/>
              <w:jc w:val="center"/>
              <w:rPr>
                <w:rFonts w:ascii="Arial" w:hAnsi="Arial" w:cs="Arial"/>
                <w:sz w:val="20"/>
                <w:szCs w:val="20"/>
              </w:rPr>
            </w:pPr>
            <w:r>
              <w:rPr>
                <w:rFonts w:cs="Arial" w:ascii="Arial" w:hAnsi="Arial"/>
                <w:sz w:val="20"/>
                <w:szCs w:val="20"/>
              </w:rPr>
              <w:t>5</w:t>
            </w:r>
          </w:p>
        </w:tc>
        <w:tc>
          <w:tcPr>
            <w:tcW w:w="1417" w:type="dxa"/>
            <w:gridSpan w:val="2"/>
            <w:tcBorders>
              <w:left w:val="single" w:sz="2" w:space="0" w:color="000000"/>
              <w:bottom w:val="single" w:sz="2" w:space="0" w:color="000000"/>
            </w:tcBorders>
          </w:tcPr>
          <w:p>
            <w:pPr>
              <w:pStyle w:val="ListParagraph"/>
              <w:tabs>
                <w:tab w:val="clear" w:pos="709"/>
                <w:tab w:val="left" w:pos="284" w:leader="none"/>
              </w:tabs>
              <w:spacing w:lineRule="auto" w:line="240" w:before="0" w:after="0"/>
              <w:ind w:left="0"/>
              <w:jc w:val="center"/>
              <w:rPr>
                <w:rFonts w:ascii="Arial" w:hAnsi="Arial" w:cs="Arial"/>
                <w:sz w:val="20"/>
                <w:szCs w:val="20"/>
              </w:rPr>
            </w:pPr>
            <w:r>
              <w:rPr>
                <w:rFonts w:cs="Arial" w:ascii="Arial" w:hAnsi="Arial"/>
                <w:sz w:val="20"/>
                <w:szCs w:val="20"/>
              </w:rPr>
              <w:t>2</w:t>
            </w:r>
          </w:p>
        </w:tc>
        <w:tc>
          <w:tcPr>
            <w:tcW w:w="1417" w:type="dxa"/>
            <w:gridSpan w:val="2"/>
            <w:tcBorders>
              <w:left w:val="single" w:sz="2" w:space="0" w:color="000000"/>
              <w:bottom w:val="single" w:sz="2" w:space="0" w:color="000000"/>
            </w:tcBorders>
          </w:tcPr>
          <w:p>
            <w:pPr>
              <w:pStyle w:val="ListParagraph"/>
              <w:tabs>
                <w:tab w:val="clear" w:pos="709"/>
                <w:tab w:val="left" w:pos="284" w:leader="none"/>
              </w:tabs>
              <w:spacing w:lineRule="auto" w:line="240" w:before="0" w:after="0"/>
              <w:ind w:left="0"/>
              <w:jc w:val="center"/>
              <w:rPr>
                <w:rFonts w:ascii="Arial" w:hAnsi="Arial" w:cs="Arial"/>
                <w:sz w:val="20"/>
                <w:szCs w:val="20"/>
              </w:rPr>
            </w:pPr>
            <w:r>
              <w:rPr>
                <w:rFonts w:cs="Arial" w:ascii="Arial" w:hAnsi="Arial"/>
                <w:sz w:val="20"/>
                <w:szCs w:val="20"/>
              </w:rPr>
              <w:t>5</w:t>
            </w:r>
          </w:p>
        </w:tc>
        <w:tc>
          <w:tcPr>
            <w:tcW w:w="1417" w:type="dxa"/>
            <w:tcBorders>
              <w:left w:val="single" w:sz="2" w:space="0" w:color="000000"/>
              <w:bottom w:val="single" w:sz="2" w:space="0" w:color="000000"/>
              <w:right w:val="single" w:sz="2" w:space="0" w:color="000000"/>
            </w:tcBorders>
          </w:tcPr>
          <w:p>
            <w:pPr>
              <w:pStyle w:val="ListParagraph"/>
              <w:tabs>
                <w:tab w:val="clear" w:pos="709"/>
                <w:tab w:val="left" w:pos="284" w:leader="none"/>
              </w:tabs>
              <w:spacing w:lineRule="auto" w:line="240" w:before="0" w:after="0"/>
              <w:ind w:left="0"/>
              <w:jc w:val="center"/>
              <w:rPr>
                <w:rFonts w:ascii="Arial" w:hAnsi="Arial" w:cs="Arial"/>
                <w:sz w:val="20"/>
                <w:szCs w:val="20"/>
              </w:rPr>
            </w:pPr>
            <w:r>
              <w:rPr>
                <w:rFonts w:cs="Arial" w:ascii="Arial" w:hAnsi="Arial"/>
                <w:sz w:val="20"/>
                <w:szCs w:val="20"/>
              </w:rPr>
            </w:r>
          </w:p>
        </w:tc>
      </w:tr>
      <w:tr>
        <w:trPr>
          <w:trHeight w:val="306" w:hRule="atLeast"/>
        </w:trPr>
        <w:tc>
          <w:tcPr>
            <w:tcW w:w="2834" w:type="dxa"/>
            <w:gridSpan w:val="2"/>
            <w:tcBorders>
              <w:left w:val="single" w:sz="2" w:space="0" w:color="000000"/>
              <w:bottom w:val="single" w:sz="2" w:space="0" w:color="000000"/>
            </w:tcBorders>
            <w:shd w:color="auto" w:fill="CCCCCC" w:val="clear"/>
            <w:vAlign w:val="center"/>
          </w:tcPr>
          <w:p>
            <w:pPr>
              <w:pStyle w:val="ListParagraph"/>
              <w:tabs>
                <w:tab w:val="clear" w:pos="709"/>
                <w:tab w:val="left" w:pos="284" w:leader="none"/>
              </w:tabs>
              <w:spacing w:lineRule="auto" w:line="240" w:before="0" w:after="0"/>
              <w:ind w:left="0"/>
              <w:jc w:val="center"/>
              <w:rPr>
                <w:rFonts w:ascii="Arial" w:hAnsi="Arial" w:cs="Arial"/>
                <w:b/>
                <w:bCs/>
                <w:sz w:val="20"/>
                <w:szCs w:val="20"/>
              </w:rPr>
            </w:pPr>
            <w:r>
              <w:rPr>
                <w:rFonts w:cs="Arial" w:ascii="Arial" w:hAnsi="Arial"/>
                <w:b/>
                <w:bCs/>
                <w:sz w:val="20"/>
                <w:szCs w:val="20"/>
              </w:rPr>
              <w:t>Total diárias</w:t>
            </w:r>
          </w:p>
        </w:tc>
        <w:tc>
          <w:tcPr>
            <w:tcW w:w="1417" w:type="dxa"/>
            <w:gridSpan w:val="2"/>
            <w:tcBorders>
              <w:left w:val="single" w:sz="2" w:space="0" w:color="000000"/>
              <w:bottom w:val="single" w:sz="2" w:space="0" w:color="000000"/>
            </w:tcBorders>
            <w:shd w:color="auto" w:fill="CCCCCC" w:val="clear"/>
          </w:tcPr>
          <w:p>
            <w:pPr>
              <w:pStyle w:val="ListParagraph"/>
              <w:tabs>
                <w:tab w:val="clear" w:pos="709"/>
                <w:tab w:val="left" w:pos="284" w:leader="none"/>
              </w:tabs>
              <w:spacing w:lineRule="auto" w:line="240" w:before="0" w:after="0"/>
              <w:ind w:left="0"/>
              <w:jc w:val="center"/>
              <w:rPr>
                <w:rFonts w:ascii="Arial" w:hAnsi="Arial" w:cs="Arial"/>
                <w:sz w:val="20"/>
                <w:szCs w:val="20"/>
              </w:rPr>
            </w:pPr>
            <w:r>
              <w:rPr>
                <w:rFonts w:cs="Arial" w:ascii="Arial" w:hAnsi="Arial"/>
                <w:sz w:val="20"/>
                <w:szCs w:val="20"/>
              </w:rPr>
              <w:t>5</w:t>
            </w:r>
          </w:p>
        </w:tc>
        <w:tc>
          <w:tcPr>
            <w:tcW w:w="1417" w:type="dxa"/>
            <w:gridSpan w:val="2"/>
            <w:tcBorders>
              <w:left w:val="single" w:sz="2" w:space="0" w:color="000000"/>
              <w:bottom w:val="single" w:sz="2" w:space="0" w:color="000000"/>
            </w:tcBorders>
            <w:shd w:color="auto" w:fill="CCCCCC" w:val="clear"/>
          </w:tcPr>
          <w:p>
            <w:pPr>
              <w:pStyle w:val="ListParagraph"/>
              <w:tabs>
                <w:tab w:val="clear" w:pos="709"/>
                <w:tab w:val="left" w:pos="284" w:leader="none"/>
              </w:tabs>
              <w:spacing w:lineRule="auto" w:line="240" w:before="0" w:after="0"/>
              <w:ind w:left="0"/>
              <w:jc w:val="center"/>
              <w:rPr>
                <w:rFonts w:ascii="Arial" w:hAnsi="Arial" w:cs="Arial"/>
                <w:sz w:val="20"/>
                <w:szCs w:val="20"/>
              </w:rPr>
            </w:pPr>
            <w:r>
              <w:rPr>
                <w:rFonts w:cs="Arial" w:ascii="Arial" w:hAnsi="Arial"/>
                <w:sz w:val="20"/>
                <w:szCs w:val="20"/>
              </w:rPr>
              <w:t>5</w:t>
            </w:r>
          </w:p>
        </w:tc>
        <w:tc>
          <w:tcPr>
            <w:tcW w:w="1417" w:type="dxa"/>
            <w:gridSpan w:val="2"/>
            <w:tcBorders>
              <w:left w:val="single" w:sz="2" w:space="0" w:color="000000"/>
              <w:bottom w:val="single" w:sz="2" w:space="0" w:color="000000"/>
            </w:tcBorders>
            <w:shd w:color="auto" w:fill="CCCCCC" w:val="clear"/>
          </w:tcPr>
          <w:p>
            <w:pPr>
              <w:pStyle w:val="ListParagraph"/>
              <w:tabs>
                <w:tab w:val="clear" w:pos="709"/>
                <w:tab w:val="left" w:pos="284" w:leader="none"/>
              </w:tabs>
              <w:spacing w:lineRule="auto" w:line="240" w:before="0" w:after="0"/>
              <w:ind w:left="0"/>
              <w:jc w:val="center"/>
              <w:rPr>
                <w:rFonts w:ascii="Arial" w:hAnsi="Arial" w:cs="Arial"/>
                <w:sz w:val="20"/>
                <w:szCs w:val="20"/>
              </w:rPr>
            </w:pPr>
            <w:r>
              <w:rPr>
                <w:rFonts w:cs="Arial" w:ascii="Arial" w:hAnsi="Arial"/>
                <w:sz w:val="20"/>
                <w:szCs w:val="20"/>
              </w:rPr>
              <w:t>8</w:t>
            </w:r>
          </w:p>
        </w:tc>
        <w:tc>
          <w:tcPr>
            <w:tcW w:w="1418" w:type="dxa"/>
            <w:gridSpan w:val="2"/>
            <w:tcBorders>
              <w:left w:val="single" w:sz="2" w:space="0" w:color="000000"/>
              <w:bottom w:val="single" w:sz="2" w:space="0" w:color="000000"/>
            </w:tcBorders>
            <w:shd w:color="auto" w:fill="CCCCCC" w:val="clear"/>
          </w:tcPr>
          <w:p>
            <w:pPr>
              <w:pStyle w:val="ListParagraph"/>
              <w:tabs>
                <w:tab w:val="clear" w:pos="709"/>
                <w:tab w:val="left" w:pos="284" w:leader="none"/>
              </w:tabs>
              <w:spacing w:lineRule="auto" w:line="240" w:before="0" w:after="0"/>
              <w:ind w:left="0"/>
              <w:jc w:val="center"/>
              <w:rPr>
                <w:rFonts w:ascii="Arial" w:hAnsi="Arial" w:cs="Arial"/>
                <w:sz w:val="20"/>
                <w:szCs w:val="20"/>
              </w:rPr>
            </w:pPr>
            <w:r>
              <w:rPr>
                <w:rFonts w:cs="Arial" w:ascii="Arial" w:hAnsi="Arial"/>
                <w:sz w:val="20"/>
                <w:szCs w:val="20"/>
              </w:rPr>
              <w:t>5</w:t>
            </w:r>
          </w:p>
        </w:tc>
        <w:tc>
          <w:tcPr>
            <w:tcW w:w="1417" w:type="dxa"/>
            <w:gridSpan w:val="2"/>
            <w:tcBorders>
              <w:left w:val="single" w:sz="2" w:space="0" w:color="000000"/>
              <w:bottom w:val="single" w:sz="2" w:space="0" w:color="000000"/>
              <w:right w:val="single" w:sz="2" w:space="0" w:color="000000"/>
            </w:tcBorders>
            <w:shd w:color="auto" w:fill="CCCCCC" w:val="clear"/>
          </w:tcPr>
          <w:p>
            <w:pPr>
              <w:pStyle w:val="ListParagraph"/>
              <w:tabs>
                <w:tab w:val="clear" w:pos="709"/>
                <w:tab w:val="left" w:pos="284" w:leader="none"/>
              </w:tabs>
              <w:spacing w:lineRule="auto" w:line="240" w:before="0" w:after="0"/>
              <w:ind w:left="0"/>
              <w:jc w:val="center"/>
              <w:rPr>
                <w:rFonts w:ascii="Arial" w:hAnsi="Arial" w:cs="Arial"/>
                <w:sz w:val="20"/>
                <w:szCs w:val="20"/>
              </w:rPr>
            </w:pPr>
            <w:r>
              <w:rPr>
                <w:rFonts w:cs="Arial" w:ascii="Arial" w:hAnsi="Arial"/>
                <w:sz w:val="20"/>
                <w:szCs w:val="20"/>
              </w:rPr>
              <w:t>23</w:t>
            </w:r>
          </w:p>
        </w:tc>
      </w:tr>
    </w:tbl>
    <w:p>
      <w:pPr>
        <w:pStyle w:val="Normal"/>
        <w:tabs>
          <w:tab w:val="clear" w:pos="709"/>
          <w:tab w:val="left" w:pos="284" w:leader="none"/>
        </w:tabs>
        <w:jc w:val="both"/>
        <w:rPr>
          <w:rFonts w:ascii="Arial" w:hAnsi="Arial" w:eastAsia="Arial" w:cs="Arial"/>
        </w:rPr>
      </w:pPr>
      <w:r>
        <w:rPr>
          <w:rFonts w:cs="Arial" w:ascii="Arial" w:hAnsi="Arial"/>
          <w:b/>
          <w:bCs/>
        </w:rPr>
        <w:t>Por se tratar de uma estimativa, o quantitativo acima pode sofrer alterações em razão de fatores diversos.</w:t>
      </w:r>
      <w:r>
        <w:rPr>
          <w:rFonts w:cs="Arial" w:ascii="Arial" w:hAnsi="Arial"/>
        </w:rPr>
        <w:br/>
      </w:r>
    </w:p>
    <w:p>
      <w:pPr>
        <w:pStyle w:val="Normal"/>
        <w:shd w:val="clear" w:color="auto" w:fill="CCCCCC"/>
        <w:ind w:firstLine="567"/>
        <w:jc w:val="both"/>
        <w:rPr>
          <w:rFonts w:ascii="Arial" w:hAnsi="Arial" w:cs="Arial"/>
        </w:rPr>
      </w:pPr>
      <w:r>
        <w:rPr>
          <w:rFonts w:cs="Arial" w:ascii="Arial" w:hAnsi="Arial"/>
          <w:b/>
          <w:bCs/>
        </w:rPr>
        <w:t>4. DA EXECUÇÃO DOS SERVIÇOS:</w:t>
      </w:r>
    </w:p>
    <w:p>
      <w:pPr>
        <w:pStyle w:val="Normal"/>
        <w:numPr>
          <w:ilvl w:val="0"/>
          <w:numId w:val="14"/>
        </w:numPr>
        <w:tabs>
          <w:tab w:val="clear" w:pos="709"/>
          <w:tab w:val="left" w:pos="284" w:leader="none"/>
        </w:tabs>
        <w:jc w:val="both"/>
        <w:rPr>
          <w:rFonts w:ascii="Arial" w:hAnsi="Arial" w:cs="Arial"/>
          <w:lang w:eastAsia="pt-BR"/>
        </w:rPr>
      </w:pPr>
      <w:r>
        <w:rPr>
          <w:rFonts w:cs="Arial" w:ascii="Arial" w:hAnsi="Arial"/>
          <w:lang w:eastAsia="pt-BR"/>
        </w:rPr>
        <w:t>Prazo de execução: Imediato, a contar da Ordem de Fornecimento, emitida pela Unidade Requisitante.</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CCCCCC"/>
        <w:ind w:firstLine="567"/>
        <w:jc w:val="both"/>
        <w:rPr>
          <w:rFonts w:ascii="Arial" w:hAnsi="Arial" w:cs="Arial"/>
        </w:rPr>
      </w:pPr>
      <w:r>
        <w:rPr>
          <w:rFonts w:cs="Arial" w:ascii="Arial" w:hAnsi="Arial"/>
          <w:b/>
          <w:bCs/>
        </w:rPr>
        <w:t>5. DA SUBCONTRATAÇÃO:</w:t>
      </w:r>
    </w:p>
    <w:p>
      <w:pPr>
        <w:pStyle w:val="Normal"/>
        <w:jc w:val="both"/>
        <w:rPr>
          <w:rFonts w:ascii="Arial" w:hAnsi="Arial" w:cs="Arial"/>
        </w:rPr>
      </w:pPr>
      <w:r>
        <w:rPr>
          <w:rFonts w:cs="Arial" w:ascii="Arial" w:hAnsi="Arial"/>
          <w:b/>
          <w:bCs/>
        </w:rPr>
        <w:t>a)</w:t>
      </w:r>
      <w:r>
        <w:rPr>
          <w:rFonts w:cs="Arial" w:ascii="Arial" w:hAnsi="Arial"/>
        </w:rPr>
        <w:t xml:space="preserve"> Não é admitida a subcontratação do objeto contratual.</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shd w:val="clear" w:color="auto" w:fill="DDDDDD"/>
        <w:ind w:firstLine="567"/>
        <w:jc w:val="both"/>
        <w:rPr>
          <w:rFonts w:ascii="Arial" w:hAnsi="Arial" w:cs="Arial"/>
        </w:rPr>
      </w:pPr>
      <w:r>
        <w:rPr>
          <w:rFonts w:cs="Arial" w:ascii="Arial" w:hAnsi="Arial"/>
          <w:b/>
          <w:bCs/>
        </w:rPr>
        <w:t>6. DO FORNECIMENTO DE INFORMAÇÕES:</w:t>
      </w:r>
    </w:p>
    <w:p>
      <w:pPr>
        <w:pStyle w:val="Normal"/>
        <w:numPr>
          <w:ilvl w:val="0"/>
          <w:numId w:val="8"/>
        </w:numPr>
        <w:tabs>
          <w:tab w:val="clear" w:pos="709"/>
          <w:tab w:val="left" w:pos="284" w:leader="none"/>
          <w:tab w:val="left" w:pos="567" w:leader="none"/>
        </w:tabs>
        <w:jc w:val="both"/>
        <w:rPr>
          <w:rFonts w:ascii="Arial" w:hAnsi="Arial" w:cs="Arial"/>
        </w:rPr>
      </w:pPr>
      <w:r>
        <w:rPr>
          <w:rFonts w:cs="Arial" w:ascii="Arial" w:hAnsi="Arial"/>
        </w:rPr>
        <w:t xml:space="preserve">As informações ou esclarecimentos referentes a presente licitação deverão ser inseridas no sistema de processamento da licitação, através do sítio eletrônico: </w:t>
      </w:r>
      <w:hyperlink r:id="rId3">
        <w:r>
          <w:rPr>
            <w:rStyle w:val="Style"/>
            <w:rFonts w:cs="Arial" w:ascii="Arial" w:hAnsi="Arial"/>
            <w:color w:val="0000FF"/>
            <w:u w:val="single"/>
          </w:rPr>
          <w:t>https://bnccompras.com</w:t>
        </w:r>
      </w:hyperlink>
      <w:r>
        <w:rPr>
          <w:rFonts w:cs="Arial" w:ascii="Arial" w:hAnsi="Arial"/>
        </w:rPr>
        <w:t>.</w:t>
      </w:r>
    </w:p>
    <w:p>
      <w:pPr>
        <w:pStyle w:val="Normal"/>
        <w:numPr>
          <w:ilvl w:val="1"/>
          <w:numId w:val="8"/>
        </w:numPr>
        <w:tabs>
          <w:tab w:val="clear" w:pos="709"/>
          <w:tab w:val="left" w:pos="284" w:leader="none"/>
        </w:tabs>
        <w:jc w:val="both"/>
        <w:rPr>
          <w:rFonts w:ascii="Arial" w:hAnsi="Arial" w:cs="Arial"/>
        </w:rPr>
      </w:pPr>
      <w:r>
        <w:rPr>
          <w:rFonts w:cs="Arial" w:ascii="Arial" w:hAnsi="Arial"/>
        </w:rPr>
        <w:t xml:space="preserve">O prazo para o interessado realizar a solicitação de esclarecimento será até as </w:t>
      </w:r>
      <w:r>
        <w:rPr>
          <w:rFonts w:cs="Arial" w:ascii="Arial" w:hAnsi="Arial"/>
          <w:b/>
        </w:rPr>
        <w:t>12h00 do dia útil anterior</w:t>
      </w:r>
      <w:r>
        <w:rPr>
          <w:rFonts w:cs="Arial" w:ascii="Arial" w:hAnsi="Arial"/>
        </w:rPr>
        <w:t xml:space="preserve"> à data limite de recebimento de propostas. </w:t>
      </w:r>
    </w:p>
    <w:p>
      <w:pPr>
        <w:pStyle w:val="Normal"/>
        <w:numPr>
          <w:ilvl w:val="1"/>
          <w:numId w:val="8"/>
        </w:numPr>
        <w:tabs>
          <w:tab w:val="clear" w:pos="709"/>
          <w:tab w:val="left" w:pos="284" w:leader="none"/>
        </w:tabs>
        <w:jc w:val="both"/>
        <w:rPr>
          <w:rFonts w:ascii="Arial" w:hAnsi="Arial" w:cs="Arial"/>
        </w:rPr>
      </w:pPr>
      <w:r>
        <w:rPr>
          <w:rFonts w:cs="Arial" w:ascii="Arial" w:hAnsi="Arial"/>
        </w:rPr>
        <w:t xml:space="preserve">O prazo para a Prefeitura responder a solicitação de esclarecimento será até as </w:t>
      </w:r>
      <w:r>
        <w:rPr>
          <w:rFonts w:cs="Arial" w:ascii="Arial" w:hAnsi="Arial"/>
          <w:b/>
        </w:rPr>
        <w:t xml:space="preserve">17h00 do dia útil anterior </w:t>
      </w:r>
      <w:r>
        <w:rPr>
          <w:rFonts w:cs="Arial" w:ascii="Arial" w:hAnsi="Arial"/>
        </w:rPr>
        <w:t>à data limite de recebimento de propostas.</w:t>
      </w:r>
    </w:p>
    <w:p>
      <w:pPr>
        <w:pStyle w:val="Normal"/>
        <w:numPr>
          <w:ilvl w:val="1"/>
          <w:numId w:val="8"/>
        </w:numPr>
        <w:tabs>
          <w:tab w:val="clear" w:pos="709"/>
          <w:tab w:val="left" w:pos="284" w:leader="none"/>
        </w:tabs>
        <w:jc w:val="both"/>
        <w:rPr>
          <w:rFonts w:ascii="Arial" w:hAnsi="Arial" w:cs="Arial"/>
        </w:rPr>
      </w:pPr>
      <w:r>
        <w:rPr>
          <w:rFonts w:cs="Arial" w:ascii="Arial" w:hAnsi="Arial"/>
        </w:rPr>
        <w:t>Caso haja alguma impossibilidade da Prefeitura responder dentro do prazo estipulado acima, a abertura será suspensa, e após a resposta da solicitação de esclarecimento, será marcada uma nova data.</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CCCCCC"/>
        <w:ind w:firstLine="567"/>
        <w:jc w:val="both"/>
        <w:rPr>
          <w:rFonts w:ascii="Arial" w:hAnsi="Arial" w:cs="Arial"/>
        </w:rPr>
      </w:pPr>
      <w:r>
        <w:rPr>
          <w:rFonts w:cs="Arial" w:ascii="Arial" w:hAnsi="Arial"/>
          <w:b/>
          <w:bCs/>
        </w:rPr>
        <w:t>7. EXIGÊNCIA PARA HABILITAÇÃO:</w:t>
      </w:r>
    </w:p>
    <w:p>
      <w:pPr>
        <w:pStyle w:val="Normal"/>
        <w:tabs>
          <w:tab w:val="clear" w:pos="709"/>
          <w:tab w:val="left" w:pos="284" w:leader="none"/>
        </w:tabs>
        <w:jc w:val="both"/>
        <w:rPr>
          <w:rFonts w:ascii="Arial" w:hAnsi="Arial" w:cs="Arial"/>
          <w:b/>
          <w:bCs/>
        </w:rPr>
      </w:pPr>
      <w:r>
        <w:rPr>
          <w:rFonts w:cs="Arial" w:ascii="Arial" w:hAnsi="Arial"/>
          <w:b/>
          <w:bCs/>
        </w:rPr>
        <w:t>Proposta e Documentos obrigatórios que deverão ser anexados no site pela empresa vencedora da etapa de lances, no prazo máximo de 06 horas:</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9"/>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9"/>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9"/>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9"/>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9"/>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9"/>
        </w:numPr>
        <w:tabs>
          <w:tab w:val="clear" w:pos="709"/>
          <w:tab w:val="left" w:pos="284" w:leader="none"/>
        </w:tabs>
        <w:jc w:val="both"/>
        <w:rPr>
          <w:rFonts w:ascii="Arial" w:hAnsi="Arial" w:cs="Arial"/>
          <w:color w:val="000000"/>
        </w:rPr>
      </w:pPr>
      <w:r>
        <w:rPr>
          <w:rFonts w:cs="Arial" w:ascii="Arial" w:hAnsi="Arial"/>
          <w:color w:val="000000"/>
        </w:rPr>
        <w:t>Certidão Negativa de Débitos ou Positiva com Efeito de Negativa de Débitos com a Fazenda Municipal de débito, relativa à sede ou do domicílio do licitante, com relação aos tributos mobiliários (ISS);</w:t>
      </w:r>
    </w:p>
    <w:p>
      <w:pPr>
        <w:pStyle w:val="Normal"/>
        <w:numPr>
          <w:ilvl w:val="1"/>
          <w:numId w:val="9"/>
        </w:numPr>
        <w:tabs>
          <w:tab w:val="clear" w:pos="709"/>
          <w:tab w:val="left" w:pos="284" w:leader="none"/>
        </w:tabs>
        <w:jc w:val="both"/>
        <w:rPr>
          <w:rFonts w:ascii="Arial" w:hAnsi="Arial" w:cs="Arial"/>
          <w:color w:val="000000"/>
        </w:rPr>
      </w:pPr>
      <w:r>
        <w:rPr>
          <w:rFonts w:cs="Arial" w:ascii="Arial" w:hAnsi="Arial"/>
          <w:color w:val="000000"/>
        </w:rPr>
        <w:t>Certidão de regularidade de débito para com o Fundo de Garantia por Tempo de Serviço (FGTS).</w:t>
      </w:r>
    </w:p>
    <w:p>
      <w:pPr>
        <w:pStyle w:val="Normal"/>
        <w:numPr>
          <w:ilvl w:val="1"/>
          <w:numId w:val="9"/>
        </w:numPr>
        <w:tabs>
          <w:tab w:val="clear" w:pos="709"/>
          <w:tab w:val="left" w:pos="284" w:leader="none"/>
        </w:tabs>
        <w:jc w:val="both"/>
        <w:rPr>
          <w:rFonts w:ascii="Arial" w:hAnsi="Arial" w:cs="Arial"/>
        </w:rPr>
      </w:pPr>
      <w:r>
        <w:rPr>
          <w:rFonts w:cs="Arial" w:ascii="Arial" w:hAnsi="Arial"/>
          <w:color w:val="000000"/>
        </w:rPr>
        <w:t>Certidão Negativa ou Positiva de Débitos Trabalhistas com Efeito de Negativa de Débitos Trabalhistas.</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numPr>
          <w:ilvl w:val="0"/>
          <w:numId w:val="9"/>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9"/>
        </w:numPr>
        <w:tabs>
          <w:tab w:val="clear" w:pos="709"/>
          <w:tab w:val="left" w:pos="284" w:leader="none"/>
        </w:tabs>
        <w:jc w:val="both"/>
        <w:rPr>
          <w:rFonts w:ascii="Arial" w:hAnsi="Arial" w:cs="Arial"/>
        </w:rPr>
      </w:pPr>
      <w:r>
        <w:rPr>
          <w:rFonts w:cs="Arial" w:ascii="Arial" w:hAnsi="Arial"/>
        </w:rPr>
        <w:t xml:space="preserve">Certidão negativa de </w:t>
      </w:r>
      <w:r>
        <w:rPr>
          <w:rFonts w:cs="Arial" w:ascii="Arial" w:hAnsi="Arial"/>
          <w:b/>
        </w:rPr>
        <w:t>falência e concordata, recuperação judicial ou extrajudicial</w:t>
      </w:r>
      <w:r>
        <w:rPr>
          <w:rFonts w:cs="Arial" w:ascii="Arial" w:hAnsi="Arial"/>
        </w:rPr>
        <w:t xml:space="preserve"> expedida pelo distribuidor da sede da pessoa jurídica, com data não superior a 180 (cento e oitenta) dias, da data limite para o recebimento das propostas da presente licitação.</w:t>
      </w:r>
    </w:p>
    <w:p>
      <w:pPr>
        <w:pStyle w:val="Normal"/>
        <w:numPr>
          <w:ilvl w:val="2"/>
          <w:numId w:val="9"/>
        </w:numPr>
        <w:tabs>
          <w:tab w:val="clear" w:pos="709"/>
          <w:tab w:val="left" w:pos="284" w:leader="none"/>
          <w:tab w:val="left" w:pos="426" w:leader="none"/>
        </w:tabs>
        <w:jc w:val="both"/>
        <w:rPr>
          <w:rFonts w:ascii="Arial" w:hAnsi="Arial" w:cs="Arial"/>
        </w:rPr>
      </w:pPr>
      <w:r>
        <w:rPr>
          <w:rFonts w:cs="Arial" w:ascii="Arial" w:hAnsi="Arial"/>
        </w:rPr>
        <w:t>Nas hipóteses em que a certidão encaminhada for positiva, deve o licitante apresentar comprovante da homologação/deferimento pelo juízo competente do plano de recuperação judicial/extrajudicial em vigor.</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9"/>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9"/>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9"/>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9"/>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9"/>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9"/>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 documentos</w:t>
      </w:r>
      <w:r>
        <w:rPr>
          <w:rFonts w:cs="Arial" w:ascii="Arial" w:hAnsi="Arial"/>
          <w:color w:val="000000"/>
        </w:rPr>
        <w:t>:</w:t>
      </w:r>
    </w:p>
    <w:p>
      <w:pPr>
        <w:pStyle w:val="Normal"/>
        <w:numPr>
          <w:ilvl w:val="3"/>
          <w:numId w:val="9"/>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9"/>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numPr>
          <w:ilvl w:val="1"/>
          <w:numId w:val="9"/>
        </w:numPr>
        <w:tabs>
          <w:tab w:val="clear" w:pos="709"/>
          <w:tab w:val="left" w:pos="284" w:leader="none"/>
          <w:tab w:val="left" w:pos="426" w:leader="none"/>
        </w:tabs>
        <w:jc w:val="both"/>
        <w:rPr>
          <w:rFonts w:ascii="Arial" w:hAnsi="Arial" w:cs="Arial"/>
        </w:rPr>
      </w:pPr>
      <w:r>
        <w:rPr>
          <w:rFonts w:cs="Arial" w:ascii="Arial" w:hAnsi="Arial"/>
        </w:rPr>
        <w:t xml:space="preserve">Proposta com os dados da empresa conforme modelo do </w:t>
      </w:r>
      <w:r>
        <w:rPr>
          <w:rFonts w:cs="Arial" w:ascii="Arial" w:hAnsi="Arial"/>
          <w:b/>
          <w:bCs/>
        </w:rPr>
        <w:t>Anexo IV</w:t>
      </w:r>
      <w:r>
        <w:rPr>
          <w:rFonts w:cs="Arial" w:ascii="Arial" w:hAnsi="Arial"/>
          <w:color w:val="000000"/>
        </w:rPr>
        <w:t xml:space="preserve"> do Regulamento Geral deste Edital</w:t>
      </w:r>
      <w:r>
        <w:rPr>
          <w:rFonts w:cs="Arial" w:ascii="Arial" w:hAnsi="Arial"/>
        </w:rPr>
        <w:t>.</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Piracicaba, </w:t>
      </w:r>
      <w:r>
        <w:rPr>
          <w:rFonts w:cs="Arial" w:ascii="Arial" w:hAnsi="Arial"/>
        </w:rPr>
        <w:t>07</w:t>
      </w:r>
      <w:r>
        <w:rPr>
          <w:rFonts w:cs="Arial" w:ascii="Arial" w:hAnsi="Arial"/>
        </w:rPr>
        <w:t xml:space="preserve"> de </w:t>
      </w:r>
      <w:r>
        <w:rPr>
          <w:rFonts w:cs="Arial" w:ascii="Arial" w:hAnsi="Arial"/>
        </w:rPr>
        <w:t>maio</w:t>
      </w:r>
      <w:r>
        <w:rPr>
          <w:rFonts w:cs="Arial" w:ascii="Arial" w:hAnsi="Arial"/>
        </w:rPr>
        <w:t xml:space="preserve"> de 2025.</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center"/>
        <w:rPr/>
      </w:pPr>
      <w:r>
        <w:rPr>
          <w:rFonts w:cs="Arial" w:ascii="Arial" w:hAnsi="Arial"/>
          <w:b/>
        </w:rPr>
        <w:t>Larissa Palomo Monferdini</w:t>
      </w:r>
    </w:p>
    <w:p>
      <w:pPr>
        <w:pStyle w:val="Normal"/>
        <w:jc w:val="center"/>
        <w:rPr>
          <w:rFonts w:ascii="Arial" w:hAnsi="Arial" w:cs="Arial"/>
          <w:b/>
        </w:rPr>
      </w:pPr>
      <w:r>
        <w:rPr>
          <w:rFonts w:cs="Arial" w:ascii="Arial" w:hAnsi="Arial"/>
          <w:b/>
        </w:rPr>
        <w:t>Chefe de Setor</w:t>
      </w:r>
      <w:r>
        <w:br w:type="page"/>
      </w:r>
    </w:p>
    <w:p>
      <w:pPr>
        <w:pStyle w:val="Heading2"/>
        <w:numPr>
          <w:ilvl w:val="1"/>
          <w:numId w:val="4"/>
        </w:numPr>
        <w:spacing w:before="0" w:after="0"/>
        <w:ind w:hanging="0" w:left="0"/>
        <w:rPr/>
      </w:pPr>
      <w:r>
        <w:rPr/>
        <w:t>REGULAMENTO GERAL</w:t>
      </w:r>
    </w:p>
    <w:p>
      <w:pPr>
        <w:pStyle w:val="Heading2"/>
        <w:numPr>
          <w:ilvl w:val="0"/>
          <w:numId w:val="0"/>
        </w:numPr>
        <w:tabs>
          <w:tab w:val="clear" w:pos="709"/>
          <w:tab w:val="left" w:pos="708" w:leader="none"/>
          <w:tab w:val="left" w:pos="851" w:leader="none"/>
        </w:tabs>
        <w:ind w:hanging="0" w:left="0"/>
        <w:rPr>
          <w:b w:val="false"/>
        </w:rPr>
      </w:pPr>
      <w:r>
        <w:rPr>
          <w:b w:val="false"/>
          <w:lang w:val="pt-BR"/>
        </w:rPr>
        <w:t>DISPENSA ELETRÔNICA</w:t>
      </w:r>
    </w:p>
    <w:p>
      <w:pPr>
        <w:pStyle w:val="Heading2"/>
        <w:numPr>
          <w:ilvl w:val="0"/>
          <w:numId w:val="4"/>
        </w:numPr>
        <w:tabs>
          <w:tab w:val="clear" w:pos="709"/>
          <w:tab w:val="left" w:pos="708" w:leader="none"/>
          <w:tab w:val="left" w:pos="851" w:leader="none"/>
        </w:tabs>
        <w:ind w:hanging="0"/>
        <w:rPr/>
      </w:pPr>
      <w:r>
        <w:rPr/>
      </w:r>
    </w:p>
    <w:p>
      <w:pPr>
        <w:pStyle w:val="Normal"/>
        <w:ind w:firstLine="284" w:right="-1"/>
        <w:jc w:val="both"/>
        <w:rPr>
          <w:rFonts w:ascii="Arial" w:hAnsi="Arial" w:cs="Arial"/>
          <w:b/>
          <w:bCs/>
        </w:rPr>
      </w:pPr>
      <w:r>
        <w:rPr>
          <w:rFonts w:cs="Arial" w:ascii="Arial" w:hAnsi="Arial"/>
        </w:rPr>
        <w:t xml:space="preserve">O Departamento de Material e Patrimônio torna público, por meio da utilização dos recursos da tecnologia da informação – </w:t>
      </w:r>
      <w:r>
        <w:rPr>
          <w:rFonts w:cs="Arial" w:ascii="Arial" w:hAnsi="Arial"/>
          <w:i/>
          <w:iCs/>
        </w:rPr>
        <w:t>INTERNET</w:t>
      </w:r>
      <w:r>
        <w:rPr>
          <w:rFonts w:cs="Arial" w:ascii="Arial" w:hAnsi="Arial"/>
        </w:rPr>
        <w:t xml:space="preserve"> – que fará realizar-se DISPENSA ELETRÔNICA.</w:t>
      </w:r>
    </w:p>
    <w:p>
      <w:pPr>
        <w:pStyle w:val="Normal"/>
        <w:numPr>
          <w:ilvl w:val="0"/>
          <w:numId w:val="4"/>
        </w:numPr>
        <w:ind w:firstLine="284" w:left="0" w:right="-1"/>
        <w:jc w:val="both"/>
        <w:rPr>
          <w:rFonts w:ascii="Arial" w:hAnsi="Arial" w:cs="Arial"/>
          <w:b/>
          <w:bCs/>
        </w:rPr>
      </w:pPr>
      <w:r>
        <w:rPr>
          <w:rFonts w:cs="Arial" w:ascii="Arial" w:hAnsi="Arial"/>
          <w:b/>
          <w:bCs/>
        </w:rPr>
      </w:r>
    </w:p>
    <w:p>
      <w:pPr>
        <w:pStyle w:val="Normal"/>
        <w:ind w:firstLine="284" w:right="-1"/>
        <w:jc w:val="both"/>
        <w:rPr>
          <w:rFonts w:ascii="Arial" w:hAnsi="Arial" w:cs="Arial"/>
        </w:rPr>
      </w:pPr>
      <w:r>
        <w:rPr>
          <w:rFonts w:cs="Arial" w:ascii="Arial" w:hAnsi="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pPr>
        <w:pStyle w:val="Normal"/>
        <w:numPr>
          <w:ilvl w:val="0"/>
          <w:numId w:val="4"/>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1. REFERÊNCIA DE TEMPO</w:t>
      </w:r>
    </w:p>
    <w:p>
      <w:pPr>
        <w:pStyle w:val="Normal"/>
        <w:numPr>
          <w:ilvl w:val="0"/>
          <w:numId w:val="4"/>
        </w:numPr>
        <w:ind w:firstLine="284" w:left="0" w:right="-1"/>
        <w:jc w:val="both"/>
        <w:rPr>
          <w:rFonts w:ascii="Arial" w:hAnsi="Arial" w:cs="Arial"/>
        </w:rPr>
      </w:pPr>
      <w:r>
        <w:rPr>
          <w:rFonts w:cs="Arial" w:ascii="Arial" w:hAnsi="Arial"/>
        </w:rPr>
      </w:r>
    </w:p>
    <w:p>
      <w:pPr>
        <w:pStyle w:val="Heading3"/>
        <w:numPr>
          <w:ilvl w:val="2"/>
          <w:numId w:val="4"/>
        </w:numPr>
        <w:ind w:firstLine="284" w:left="0" w:right="-1"/>
        <w:jc w:val="both"/>
        <w:rPr>
          <w:b w:val="false"/>
          <w:sz w:val="20"/>
          <w:szCs w:val="20"/>
        </w:rPr>
      </w:pPr>
      <w:r>
        <w:rPr>
          <w:sz w:val="20"/>
          <w:szCs w:val="20"/>
        </w:rPr>
        <w:t>1.1.</w:t>
      </w:r>
      <w:r>
        <w:rPr>
          <w:b w:val="false"/>
          <w:sz w:val="20"/>
          <w:szCs w:val="20"/>
          <w:lang w:val="pt-BR"/>
        </w:rPr>
        <w:t xml:space="preserve"> </w:t>
      </w:r>
      <w:r>
        <w:rPr>
          <w:b w:val="false"/>
          <w:caps w:val="false"/>
          <w:smallCaps w:val="false"/>
          <w:sz w:val="20"/>
          <w:szCs w:val="20"/>
        </w:rPr>
        <w:t xml:space="preserve">Todas as referências de tempo no edital, no aviso e durante a sessão pública observarão obrigatoriamente o horário de </w:t>
      </w:r>
      <w:r>
        <w:rPr>
          <w:b w:val="false"/>
          <w:caps w:val="false"/>
          <w:smallCaps w:val="false"/>
          <w:sz w:val="20"/>
          <w:szCs w:val="20"/>
          <w:lang w:val="pt-BR"/>
        </w:rPr>
        <w:t>B</w:t>
      </w:r>
      <w:r>
        <w:rPr>
          <w:b w:val="false"/>
          <w:caps w:val="false"/>
          <w:smallCaps w:val="false"/>
          <w:sz w:val="20"/>
          <w:szCs w:val="20"/>
        </w:rPr>
        <w:t xml:space="preserve">rasília – </w:t>
      </w:r>
      <w:r>
        <w:rPr>
          <w:b w:val="false"/>
          <w:caps w:val="false"/>
          <w:smallCaps w:val="false"/>
          <w:sz w:val="20"/>
          <w:szCs w:val="20"/>
          <w:lang w:val="pt-BR"/>
        </w:rPr>
        <w:t>DF</w:t>
      </w:r>
      <w:r>
        <w:rPr>
          <w:b w:val="false"/>
          <w:caps w:val="false"/>
          <w:smallCaps w:val="false"/>
          <w:sz w:val="20"/>
          <w:szCs w:val="20"/>
        </w:rPr>
        <w:t xml:space="preserve"> e, desta forma, serão registradas no sistema eletrônico e na documentação relativa ao certame.</w:t>
      </w:r>
    </w:p>
    <w:p>
      <w:pPr>
        <w:pStyle w:val="Normal"/>
        <w:numPr>
          <w:ilvl w:val="0"/>
          <w:numId w:val="4"/>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2. CONDIÇÕES PARA PARTICIPAÇÃO</w:t>
      </w:r>
    </w:p>
    <w:p>
      <w:pPr>
        <w:pStyle w:val="Normal"/>
        <w:numPr>
          <w:ilvl w:val="0"/>
          <w:numId w:val="4"/>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2.1.</w:t>
      </w:r>
      <w:r>
        <w:rPr>
          <w:rFonts w:cs="Arial" w:ascii="Arial" w:hAnsi="Arial"/>
        </w:rPr>
        <w:t xml:space="preserve"> A participação na presente dispensa eletrônica se dará mediante Sistema de Dispensa Eletrônica integrante do Portal BNC, disponível no endereço eletrônico </w:t>
      </w:r>
      <w:hyperlink r:id="rId4">
        <w:r>
          <w:rPr>
            <w:rStyle w:val="Style"/>
            <w:rFonts w:cs="Arial" w:ascii="Arial" w:hAnsi="Arial"/>
            <w:color w:val="0000FF"/>
            <w:u w:val="single"/>
          </w:rPr>
          <w:t>https://bnccompras.com</w:t>
        </w:r>
      </w:hyperlink>
      <w:r>
        <w:rPr>
          <w:rFonts w:cs="Arial" w:ascii="Arial" w:hAnsi="Arial"/>
        </w:rPr>
        <w:t xml:space="preserve">.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2.2.</w:t>
      </w:r>
      <w:r>
        <w:rPr>
          <w:rFonts w:cs="Arial" w:ascii="Arial" w:hAnsi="Arial"/>
        </w:rPr>
        <w:t xml:space="preserve"> Os fornecedores deverão se cadastrar previamente no Portal BNC para acesso ao sistema e operacionalização.</w:t>
      </w:r>
    </w:p>
    <w:p>
      <w:pPr>
        <w:pStyle w:val="Normal"/>
        <w:numPr>
          <w:ilvl w:val="0"/>
          <w:numId w:val="4"/>
        </w:numPr>
        <w:ind w:firstLine="284" w:left="0" w:right="-1"/>
        <w:jc w:val="both"/>
        <w:rPr>
          <w:rFonts w:ascii="Arial" w:hAnsi="Arial" w:cs="Arial"/>
          <w:highlight w:val="yellow"/>
        </w:rPr>
      </w:pPr>
      <w:r>
        <w:rPr>
          <w:rFonts w:cs="Arial" w:ascii="Arial" w:hAnsi="Arial"/>
          <w:highlight w:val="yellow"/>
        </w:rPr>
      </w:r>
    </w:p>
    <w:p>
      <w:pPr>
        <w:pStyle w:val="Heading9"/>
        <w:numPr>
          <w:ilvl w:val="8"/>
          <w:numId w:val="4"/>
        </w:numPr>
        <w:ind w:firstLine="284" w:left="0" w:right="-1"/>
        <w:rPr>
          <w:b w:val="false"/>
          <w:i w:val="false"/>
          <w:i w:val="false"/>
          <w:sz w:val="20"/>
          <w:szCs w:val="20"/>
        </w:rPr>
      </w:pPr>
      <w:r>
        <w:rPr>
          <w:i w:val="false"/>
          <w:sz w:val="20"/>
          <w:szCs w:val="20"/>
        </w:rPr>
        <w:t>2.3.</w:t>
      </w:r>
      <w:r>
        <w:rPr>
          <w:b w:val="false"/>
          <w:i w:val="false"/>
          <w:caps w:val="false"/>
          <w:smallCaps w:val="false"/>
          <w:sz w:val="20"/>
          <w:szCs w:val="20"/>
        </w:rPr>
        <w:t xml:space="preserve"> Poderão participar do processo licitatório os interessados do ramo de atividade pertinente ao objeto da contratação que atenderem a todas as exigências e condições contidas neste edital e seus anexos.</w:t>
      </w:r>
    </w:p>
    <w:p>
      <w:pPr>
        <w:pStyle w:val="Normal"/>
        <w:numPr>
          <w:ilvl w:val="0"/>
          <w:numId w:val="4"/>
        </w:numPr>
        <w:ind w:firstLine="284" w:left="0" w:right="-1"/>
        <w:jc w:val="both"/>
        <w:rPr>
          <w:rFonts w:ascii="Arial" w:hAnsi="Arial" w:cs="Arial"/>
        </w:rPr>
      </w:pPr>
      <w:r>
        <w:rPr>
          <w:rFonts w:cs="Arial" w:ascii="Arial" w:hAnsi="Arial"/>
        </w:rPr>
      </w:r>
    </w:p>
    <w:p>
      <w:pPr>
        <w:pStyle w:val="Standard"/>
        <w:numPr>
          <w:ilvl w:val="0"/>
          <w:numId w:val="4"/>
        </w:numPr>
        <w:ind w:firstLine="284" w:left="0" w:right="-1"/>
        <w:jc w:val="both"/>
        <w:rPr>
          <w:rFonts w:ascii="Arial" w:hAnsi="Arial" w:cs="Arial"/>
        </w:rPr>
      </w:pPr>
      <w:r>
        <w:rPr>
          <w:rFonts w:cs="Arial" w:ascii="Arial" w:hAnsi="Arial"/>
          <w:b/>
        </w:rPr>
        <w:t>2.3.1.</w:t>
      </w:r>
      <w:r>
        <w:rPr>
          <w:rFonts w:cs="Arial" w:ascii="Arial" w:hAnsi="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cs="Arial" w:ascii="Arial" w:hAnsi="Arial"/>
          <w:b/>
          <w:bCs/>
        </w:rPr>
        <w:t xml:space="preserve">empresas classificadas como microempresas (ME) ou empresas de pequeno porte (EPP), seguindo a ordem de classificação das mesmas, </w:t>
      </w:r>
      <w:r>
        <w:rPr>
          <w:rFonts w:cs="Arial" w:ascii="Arial" w:hAnsi="Arial"/>
        </w:rPr>
        <w:t>dando preferência à contratação destas, desde que atendar a todas as exigências e condições contidas neste Edital e seus Anexos.</w:t>
      </w:r>
    </w:p>
    <w:p>
      <w:pPr>
        <w:pStyle w:val="Standard"/>
        <w:numPr>
          <w:ilvl w:val="0"/>
          <w:numId w:val="4"/>
        </w:numPr>
        <w:ind w:firstLine="284" w:left="0" w:right="-1"/>
        <w:jc w:val="both"/>
        <w:rPr>
          <w:rFonts w:ascii="Arial" w:hAnsi="Arial" w:cs="Arial"/>
          <w:b/>
        </w:rPr>
      </w:pPr>
      <w:r>
        <w:rPr>
          <w:rFonts w:cs="Arial" w:ascii="Arial" w:hAnsi="Arial"/>
          <w:b/>
        </w:rPr>
      </w:r>
    </w:p>
    <w:p>
      <w:pPr>
        <w:pStyle w:val="Standard"/>
        <w:ind w:firstLine="284" w:right="-1"/>
        <w:jc w:val="both"/>
        <w:rPr>
          <w:rFonts w:ascii="Arial" w:hAnsi="Arial" w:cs="Arial"/>
        </w:rPr>
      </w:pPr>
      <w:r>
        <w:rPr>
          <w:rFonts w:cs="Arial" w:ascii="Arial" w:hAnsi="Arial"/>
          <w:b/>
        </w:rPr>
        <w:t>2.3.1.1.</w:t>
      </w:r>
      <w:r>
        <w:rPr>
          <w:rFonts w:cs="Arial" w:ascii="Arial" w:hAnsi="Arial"/>
        </w:rPr>
        <w:t xml:space="preserve"> Não havendo interessados classificados como microempresas (ME) ou empresas de pequeno porte (EPP), a aquisição será estendida a qualquer interessado do ramo de atividade, sem restrição de classificação fiscal.</w:t>
      </w:r>
    </w:p>
    <w:p>
      <w:pPr>
        <w:pStyle w:val="Standard"/>
        <w:numPr>
          <w:ilvl w:val="0"/>
          <w:numId w:val="4"/>
        </w:numPr>
        <w:ind w:firstLine="284" w:left="0" w:right="-1"/>
        <w:jc w:val="both"/>
        <w:rPr>
          <w:rFonts w:ascii="Arial" w:hAnsi="Arial" w:cs="Arial"/>
        </w:rPr>
      </w:pPr>
      <w:r>
        <w:rPr>
          <w:rFonts w:cs="Arial" w:ascii="Arial" w:hAnsi="Arial"/>
        </w:rPr>
      </w:r>
    </w:p>
    <w:p>
      <w:pPr>
        <w:pStyle w:val="Normal"/>
        <w:numPr>
          <w:ilvl w:val="0"/>
          <w:numId w:val="4"/>
        </w:numPr>
        <w:ind w:firstLine="284" w:left="0" w:right="-1"/>
        <w:jc w:val="both"/>
        <w:rPr>
          <w:rFonts w:ascii="Arial" w:hAnsi="Arial" w:cs="Arial"/>
        </w:rPr>
      </w:pPr>
      <w:r>
        <w:rPr>
          <w:rFonts w:cs="Arial" w:ascii="Arial" w:hAnsi="Arial"/>
          <w:b/>
          <w:bCs/>
        </w:rPr>
        <w:t>2.4.</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numPr>
          <w:ilvl w:val="0"/>
          <w:numId w:val="4"/>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2.4.1.</w:t>
      </w:r>
      <w:r>
        <w:rPr>
          <w:rFonts w:cs="Arial" w:ascii="Arial" w:hAnsi="Arial"/>
        </w:rPr>
        <w:t xml:space="preserve"> Autor do anteprojeto, do projeto básico ou do projeto executivo, pessoa física ou jurídica, quando a licitação versar sobre obra, serviços ou fornecimento de bens a ele relacionados;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w:t>
      </w:r>
      <w:r>
        <w:rPr>
          <w:rFonts w:cs="Arial" w:ascii="Arial" w:hAnsi="Arial"/>
        </w:rPr>
        <w:t xml:space="preserve"> Pessoa física ou jurídica que se encontre, ao tempo da licitação, impossibilidade de participar da licitação em decorrência de sanção que lhe foi imposta;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2.4.3.1.</w:t>
      </w:r>
      <w:r>
        <w:rPr>
          <w:rFonts w:cs="Arial" w:ascii="Arial" w:hAnsi="Arial"/>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2.4.3.2.</w:t>
      </w:r>
      <w:r>
        <w:rPr>
          <w:rFonts w:cs="Arial" w:ascii="Arial" w:hAnsi="Arial"/>
        </w:rPr>
        <w:t xml:space="preserve"> A sanção de declaração de inidoneidade, disposta no Art. 156, IV da Lei 14.133/2021, impedirá o responsável de licitar no âmbito da Administração direta e indireta de todos os entes federativos.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2.4.5.</w:t>
      </w:r>
      <w:r>
        <w:rPr>
          <w:rFonts w:cs="Arial" w:ascii="Arial" w:hAnsi="Arial"/>
        </w:rPr>
        <w:t xml:space="preserve"> Empresas controladoras, controladas ou coligadas, nos termos da Lei n° 6.404, de 15 de dezembro de 1976, concorrendo entre si;</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2.4.6.</w:t>
      </w:r>
      <w:r>
        <w:rPr>
          <w:rFonts w:cs="Arial" w:ascii="Arial" w:hAnsi="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0"/>
          <w:numId w:val="4"/>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caps/>
        </w:rPr>
        <w:t>3. credenciamento NO APLICATIVO LICITAÇÕES</w:t>
      </w:r>
    </w:p>
    <w:p>
      <w:pPr>
        <w:pStyle w:val="Normal"/>
        <w:numPr>
          <w:ilvl w:val="0"/>
          <w:numId w:val="4"/>
        </w:numPr>
        <w:ind w:firstLine="284" w:left="0" w:right="-1"/>
        <w:jc w:val="both"/>
        <w:rPr>
          <w:rFonts w:ascii="Arial" w:hAnsi="Arial" w:cs="Arial"/>
        </w:rPr>
      </w:pPr>
      <w:r>
        <w:rPr>
          <w:rFonts w:cs="Arial" w:ascii="Arial" w:hAnsi="Arial"/>
        </w:rPr>
      </w:r>
    </w:p>
    <w:p>
      <w:pPr>
        <w:pStyle w:val="Heading1"/>
        <w:numPr>
          <w:ilvl w:val="0"/>
          <w:numId w:val="4"/>
        </w:numPr>
        <w:ind w:firstLine="284" w:left="0" w:right="-1"/>
        <w:jc w:val="both"/>
        <w:rPr>
          <w:b w:val="false"/>
          <w:sz w:val="20"/>
          <w:szCs w:val="20"/>
        </w:rPr>
      </w:pPr>
      <w:r>
        <w:rPr>
          <w:sz w:val="20"/>
          <w:szCs w:val="20"/>
        </w:rPr>
        <w:t>3.1.</w:t>
      </w:r>
      <w:r>
        <w:rPr>
          <w:b w:val="false"/>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false"/>
          <w:sz w:val="20"/>
          <w:szCs w:val="20"/>
          <w:lang w:val="pt-BR"/>
        </w:rPr>
        <w:t xml:space="preserve"> </w:t>
      </w:r>
      <w:hyperlink r:id="rId5">
        <w:r>
          <w:rPr>
            <w:rStyle w:val="Style"/>
            <w:b w:val="false"/>
            <w:bCs w:val="false"/>
            <w:color w:val="0000FF"/>
            <w:sz w:val="20"/>
            <w:szCs w:val="20"/>
            <w:u w:val="single"/>
            <w:lang w:val="pt-BR"/>
          </w:rPr>
          <w:t>https://bnccompras.com</w:t>
        </w:r>
      </w:hyperlink>
      <w:r>
        <w:rPr>
          <w:b w:val="false"/>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pPr>
        <w:pStyle w:val="Normal"/>
        <w:numPr>
          <w:ilvl w:val="0"/>
          <w:numId w:val="4"/>
        </w:numPr>
        <w:ind w:firstLine="284" w:left="0" w:right="-1"/>
        <w:jc w:val="both"/>
        <w:rPr>
          <w:rFonts w:ascii="Arial" w:hAnsi="Arial" w:cs="Arial"/>
        </w:rPr>
      </w:pPr>
      <w:r>
        <w:rPr>
          <w:rFonts w:cs="Arial" w:ascii="Arial" w:hAnsi="Arial"/>
        </w:rPr>
      </w:r>
    </w:p>
    <w:p>
      <w:pPr>
        <w:pStyle w:val="Normal"/>
        <w:numPr>
          <w:ilvl w:val="0"/>
          <w:numId w:val="4"/>
        </w:numPr>
        <w:ind w:firstLine="284" w:left="0" w:right="-1"/>
        <w:jc w:val="both"/>
        <w:rPr>
          <w:rFonts w:ascii="Arial" w:hAnsi="Arial" w:cs="Arial"/>
        </w:rPr>
      </w:pPr>
      <w:r>
        <w:rPr>
          <w:rFonts w:cs="Arial" w:ascii="Arial" w:hAnsi="Arial"/>
          <w:b/>
          <w:bCs/>
        </w:rPr>
        <w:t>3.2.</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Normal"/>
        <w:numPr>
          <w:ilvl w:val="0"/>
          <w:numId w:val="4"/>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4. ENVIO DAS PROPOSTAS ELETRÔNICAS DE PREÇOS</w:t>
      </w:r>
    </w:p>
    <w:p>
      <w:pPr>
        <w:pStyle w:val="Normal"/>
        <w:numPr>
          <w:ilvl w:val="0"/>
          <w:numId w:val="4"/>
        </w:numPr>
        <w:ind w:firstLine="284" w:left="0" w:right="-1"/>
        <w:jc w:val="both"/>
        <w:rPr>
          <w:rFonts w:ascii="Arial" w:hAnsi="Arial" w:cs="Arial"/>
        </w:rPr>
      </w:pPr>
      <w:r>
        <w:rPr>
          <w:rFonts w:cs="Arial" w:ascii="Arial" w:hAnsi="Arial"/>
        </w:rPr>
      </w:r>
    </w:p>
    <w:p>
      <w:pPr>
        <w:pStyle w:val="Normal"/>
        <w:numPr>
          <w:ilvl w:val="0"/>
          <w:numId w:val="4"/>
        </w:numPr>
        <w:ind w:firstLine="284" w:left="0" w:right="-1"/>
        <w:jc w:val="both"/>
        <w:rPr>
          <w:rFonts w:ascii="Arial" w:hAnsi="Arial" w:cs="Arial"/>
          <w:b/>
          <w:bCs/>
        </w:rPr>
      </w:pPr>
      <w:r>
        <w:rPr>
          <w:rFonts w:cs="Arial" w:ascii="Arial" w:hAnsi="Arial"/>
          <w:b/>
          <w:bCs/>
        </w:rPr>
        <w:t>4.1.</w:t>
      </w:r>
      <w:r>
        <w:rPr>
          <w:rFonts w:cs="Arial" w:ascii="Arial" w:hAnsi="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pPr>
        <w:pStyle w:val="Normal"/>
        <w:numPr>
          <w:ilvl w:val="0"/>
          <w:numId w:val="4"/>
        </w:numPr>
        <w:ind w:firstLine="284" w:left="0" w:right="-1"/>
        <w:jc w:val="both"/>
        <w:rPr>
          <w:rFonts w:ascii="Arial" w:hAnsi="Arial" w:cs="Arial"/>
          <w:b/>
          <w:bCs/>
        </w:rPr>
      </w:pPr>
      <w:r>
        <w:rPr>
          <w:rFonts w:cs="Arial" w:ascii="Arial" w:hAnsi="Arial"/>
          <w:b/>
          <w:bCs/>
        </w:rPr>
      </w:r>
    </w:p>
    <w:p>
      <w:pPr>
        <w:pStyle w:val="Normal"/>
        <w:numPr>
          <w:ilvl w:val="0"/>
          <w:numId w:val="4"/>
        </w:numPr>
        <w:ind w:firstLine="284" w:left="0" w:right="-1"/>
        <w:jc w:val="both"/>
        <w:rPr>
          <w:rFonts w:ascii="Arial" w:hAnsi="Arial" w:cs="Arial"/>
        </w:rPr>
      </w:pPr>
      <w:r>
        <w:rPr>
          <w:rFonts w:cs="Arial" w:ascii="Arial" w:hAnsi="Arial"/>
          <w:b/>
          <w:bCs/>
        </w:rPr>
        <w:t>4.2.</w:t>
      </w:r>
      <w:r>
        <w:rPr>
          <w:rFonts w:cs="Arial" w:ascii="Arial" w:hAnsi="Arial"/>
        </w:rPr>
        <w:t xml:space="preserve"> Ao apresentar sua proposta eletrônica, o interessado concorda que os produtos deverão atender a todas as especificações constantes no Termo de Referência, deste Edital.</w:t>
      </w:r>
    </w:p>
    <w:p>
      <w:pPr>
        <w:pStyle w:val="Normal"/>
        <w:numPr>
          <w:ilvl w:val="0"/>
          <w:numId w:val="4"/>
        </w:numPr>
        <w:ind w:firstLine="284" w:left="0" w:right="-1"/>
        <w:jc w:val="both"/>
        <w:rPr>
          <w:rFonts w:ascii="Arial" w:hAnsi="Arial" w:cs="Arial"/>
        </w:rPr>
      </w:pPr>
      <w:r>
        <w:rPr>
          <w:rFonts w:cs="Arial" w:ascii="Arial" w:hAnsi="Arial"/>
        </w:rPr>
      </w:r>
    </w:p>
    <w:p>
      <w:pPr>
        <w:pStyle w:val="Normal"/>
        <w:numPr>
          <w:ilvl w:val="0"/>
          <w:numId w:val="4"/>
        </w:numPr>
        <w:ind w:firstLine="284" w:left="0" w:right="-1"/>
        <w:jc w:val="both"/>
        <w:rPr>
          <w:rFonts w:ascii="Arial" w:hAnsi="Arial" w:cs="Arial"/>
        </w:rPr>
      </w:pPr>
      <w:r>
        <w:rPr>
          <w:rFonts w:cs="Arial" w:ascii="Arial" w:hAnsi="Arial"/>
          <w:b/>
          <w:bCs/>
        </w:rPr>
        <w:t>4.3.</w:t>
      </w:r>
      <w:r>
        <w:rPr>
          <w:rFonts w:cs="Arial" w:ascii="Arial" w:hAnsi="Arial"/>
        </w:rPr>
        <w:t xml:space="preserve"> Os interessados deverão declarar sua condição de Microempresa ou Empresa de Pequeno Porte, ao selecionar se são ou não beneficiárias da Lei Complementar n.º 123/2006 alterada pela Lei Complementar nº 147/2014.</w:t>
      </w:r>
    </w:p>
    <w:p>
      <w:pPr>
        <w:pStyle w:val="Normal"/>
        <w:numPr>
          <w:ilvl w:val="0"/>
          <w:numId w:val="4"/>
        </w:numPr>
        <w:ind w:firstLine="284" w:left="0" w:right="-1"/>
        <w:jc w:val="both"/>
        <w:rPr>
          <w:rFonts w:ascii="Arial" w:hAnsi="Arial" w:cs="Arial"/>
          <w:b/>
          <w:bCs/>
        </w:rPr>
      </w:pPr>
      <w:r>
        <w:rPr>
          <w:rFonts w:cs="Arial" w:ascii="Arial" w:hAnsi="Arial"/>
          <w:b/>
          <w:bCs/>
        </w:rPr>
      </w:r>
    </w:p>
    <w:p>
      <w:pPr>
        <w:pStyle w:val="Normal"/>
        <w:numPr>
          <w:ilvl w:val="0"/>
          <w:numId w:val="4"/>
        </w:numPr>
        <w:ind w:firstLine="284" w:left="0" w:right="-1"/>
        <w:jc w:val="both"/>
        <w:rPr>
          <w:rFonts w:ascii="Arial" w:hAnsi="Arial" w:cs="Arial"/>
        </w:rPr>
      </w:pPr>
      <w:r>
        <w:rPr>
          <w:rFonts w:cs="Arial" w:ascii="Arial" w:hAnsi="Arial"/>
          <w:b/>
          <w:bCs/>
        </w:rPr>
        <w:t xml:space="preserve">4.4.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numPr>
          <w:ilvl w:val="0"/>
          <w:numId w:val="4"/>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4.4.1.</w:t>
      </w:r>
      <w:r>
        <w:rPr>
          <w:rFonts w:cs="Arial" w:ascii="Arial" w:hAnsi="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pPr>
        <w:pStyle w:val="Normal"/>
        <w:numPr>
          <w:ilvl w:val="0"/>
          <w:numId w:val="4"/>
        </w:numPr>
        <w:ind w:firstLine="284" w:left="0" w:right="-1"/>
        <w:jc w:val="both"/>
        <w:rPr>
          <w:rFonts w:ascii="Arial" w:hAnsi="Arial" w:cs="Arial"/>
        </w:rPr>
      </w:pPr>
      <w:r>
        <w:rPr>
          <w:rFonts w:cs="Arial" w:ascii="Arial" w:hAnsi="Arial"/>
        </w:rPr>
      </w:r>
    </w:p>
    <w:p>
      <w:pPr>
        <w:pStyle w:val="Normal"/>
        <w:numPr>
          <w:ilvl w:val="0"/>
          <w:numId w:val="4"/>
        </w:numPr>
        <w:ind w:firstLine="284" w:left="0" w:right="-1"/>
        <w:jc w:val="both"/>
        <w:rPr>
          <w:rFonts w:ascii="Arial" w:hAnsi="Arial" w:cs="Arial"/>
        </w:rPr>
      </w:pPr>
      <w:r>
        <w:rPr>
          <w:rFonts w:cs="Arial" w:ascii="Arial" w:hAnsi="Arial"/>
          <w:b/>
          <w:bCs/>
        </w:rPr>
        <w:t xml:space="preserve">4.5. </w:t>
      </w:r>
      <w:r>
        <w:rPr>
          <w:rFonts w:cs="Arial" w:ascii="Arial" w:hAnsi="Arial"/>
        </w:rPr>
        <w:t>Conforme o objeto a ser contratado, o sistema apresentará automaticamente os respectivos campos que tratam o subitem 4.4., e que deverão ser obrigatoriamente preenchidos.</w:t>
      </w:r>
    </w:p>
    <w:p>
      <w:pPr>
        <w:pStyle w:val="Normal"/>
        <w:numPr>
          <w:ilvl w:val="0"/>
          <w:numId w:val="4"/>
        </w:numPr>
        <w:ind w:firstLine="284" w:left="0" w:right="-1"/>
        <w:jc w:val="both"/>
        <w:rPr>
          <w:rFonts w:ascii="Arial" w:hAnsi="Arial" w:cs="Arial"/>
        </w:rPr>
      </w:pPr>
      <w:r>
        <w:rPr>
          <w:rFonts w:cs="Arial" w:ascii="Arial" w:hAnsi="Arial"/>
        </w:rPr>
      </w:r>
    </w:p>
    <w:p>
      <w:pPr>
        <w:pStyle w:val="Normal"/>
        <w:numPr>
          <w:ilvl w:val="0"/>
          <w:numId w:val="4"/>
        </w:numPr>
        <w:ind w:firstLine="284" w:left="0" w:right="-1"/>
        <w:jc w:val="both"/>
        <w:rPr>
          <w:rFonts w:ascii="Arial" w:hAnsi="Arial" w:cs="Arial"/>
        </w:rPr>
      </w:pPr>
      <w:r>
        <w:rPr>
          <w:rFonts w:cs="Arial" w:ascii="Arial" w:hAnsi="Arial"/>
          <w:b/>
          <w:bCs/>
        </w:rPr>
        <w:t xml:space="preserve">4.6.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numPr>
          <w:ilvl w:val="0"/>
          <w:numId w:val="4"/>
        </w:numPr>
        <w:ind w:firstLine="284" w:left="0" w:right="-1"/>
        <w:jc w:val="both"/>
        <w:rPr>
          <w:rFonts w:ascii="Arial" w:hAnsi="Arial" w:cs="Arial"/>
        </w:rPr>
      </w:pPr>
      <w:r>
        <w:rPr>
          <w:rFonts w:cs="Arial" w:ascii="Arial" w:hAnsi="Arial"/>
        </w:rPr>
      </w:r>
    </w:p>
    <w:p>
      <w:pPr>
        <w:pStyle w:val="Normal"/>
        <w:numPr>
          <w:ilvl w:val="0"/>
          <w:numId w:val="4"/>
        </w:numPr>
        <w:ind w:firstLine="284" w:left="0" w:right="-1"/>
        <w:jc w:val="both"/>
        <w:rPr>
          <w:rFonts w:ascii="Arial" w:hAnsi="Arial" w:cs="Arial"/>
        </w:rPr>
      </w:pPr>
      <w:r>
        <w:rPr>
          <w:rFonts w:cs="Arial" w:ascii="Arial" w:hAnsi="Arial"/>
          <w:b/>
          <w:bCs/>
        </w:rPr>
        <w:t xml:space="preserve">4.7. </w:t>
      </w:r>
      <w:r>
        <w:rPr>
          <w:rFonts w:cs="Arial" w:ascii="Arial" w:hAnsi="Arial"/>
        </w:rPr>
        <w:t>Os catálogos, bulas e demais documentos referentes à proposta, solicitados no Termo de Referência deste Edital, deverão ser anexados no ícone “Documentação Complementar”, após a Fase de Lances.</w:t>
      </w:r>
    </w:p>
    <w:p>
      <w:pPr>
        <w:pStyle w:val="Normal"/>
        <w:numPr>
          <w:ilvl w:val="0"/>
          <w:numId w:val="4"/>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b/>
        </w:rPr>
      </w:pPr>
      <w:r>
        <w:rPr>
          <w:rFonts w:cs="Arial" w:ascii="Arial" w:hAnsi="Arial"/>
          <w:b/>
        </w:rPr>
        <w:t xml:space="preserve">5. HABILITAÇÃO: </w:t>
      </w:r>
    </w:p>
    <w:p>
      <w:pPr>
        <w:pStyle w:val="Normal"/>
        <w:numPr>
          <w:ilvl w:val="0"/>
          <w:numId w:val="4"/>
        </w:numPr>
        <w:ind w:firstLine="284" w:left="0" w:right="-1"/>
        <w:jc w:val="both"/>
        <w:rPr>
          <w:rFonts w:ascii="Arial" w:hAnsi="Arial" w:cs="Arial"/>
          <w:b/>
        </w:rPr>
      </w:pPr>
      <w:r>
        <w:rPr>
          <w:rFonts w:cs="Arial" w:ascii="Arial" w:hAnsi="Arial"/>
          <w:b/>
        </w:rPr>
      </w:r>
    </w:p>
    <w:p>
      <w:pPr>
        <w:pStyle w:val="Normal"/>
        <w:ind w:firstLine="284" w:right="-1"/>
        <w:jc w:val="both"/>
        <w:rPr>
          <w:rFonts w:ascii="Arial" w:hAnsi="Arial" w:cs="Arial"/>
        </w:rPr>
      </w:pPr>
      <w:r>
        <w:rPr>
          <w:rFonts w:cs="Arial" w:ascii="Arial" w:hAnsi="Arial"/>
          <w:b/>
        </w:rPr>
        <w:t>5.1.</w:t>
      </w:r>
      <w:r>
        <w:rPr>
          <w:rFonts w:cs="Arial" w:ascii="Arial" w:hAnsi="Arial"/>
        </w:rPr>
        <w:t xml:space="preserve"> Os documentos a serem exigidos para fins de habilitação constam no Termo de Referência do Edital de Dispensa Eletrônica e será solicitado do fornecedor declarado vencedor da fase de lances.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5.2.</w:t>
      </w:r>
      <w:r>
        <w:rPr>
          <w:rFonts w:cs="Arial" w:ascii="Arial" w:hAnsi="Arial"/>
        </w:rPr>
        <w:t xml:space="preserve"> As entregas dos documentos no sistema deverão ser no prazo máximo 06 horas. </w:t>
      </w:r>
    </w:p>
    <w:p>
      <w:pPr>
        <w:pStyle w:val="Normal"/>
        <w:numPr>
          <w:ilvl w:val="0"/>
          <w:numId w:val="4"/>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5.3.</w:t>
      </w:r>
      <w:r>
        <w:rPr>
          <w:rFonts w:cs="Arial" w:ascii="Arial" w:hAnsi="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pPr>
        <w:pStyle w:val="Normal"/>
        <w:numPr>
          <w:ilvl w:val="0"/>
          <w:numId w:val="4"/>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5.4.</w:t>
      </w:r>
      <w:r>
        <w:rPr>
          <w:rFonts w:cs="Arial" w:ascii="Arial" w:hAnsi="Arial"/>
        </w:rPr>
        <w:t xml:space="preserve"> Será inabilitado o fornecedor que não comprovar sua habilitação, seja por não apresentar quaisquer dos documentos exigidos, ou apresentá-los em desacordo com o estabelecido neste Edital de Dispensa Eletrônica.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5.5.</w:t>
      </w:r>
      <w:r>
        <w:rPr>
          <w:rFonts w:cs="Arial" w:ascii="Arial" w:hAnsi="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5.5.1.</w:t>
      </w:r>
      <w:r>
        <w:rPr>
          <w:rFonts w:cs="Arial" w:ascii="Arial" w:hAnsi="Arial"/>
        </w:rPr>
        <w:t xml:space="preserve"> Neste caso a empresa de proposta subsequente terá também  prazo de 6 horas para apresentação dos documentos de habilitação e catálogos/bulas.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eastAsia="Arial" w:cs="Arial"/>
        </w:rPr>
      </w:pPr>
      <w:r>
        <w:rPr>
          <w:rFonts w:cs="Arial" w:ascii="Arial" w:hAnsi="Arial"/>
          <w:b/>
          <w:bCs/>
        </w:rPr>
        <w:t>5.6.</w:t>
      </w:r>
      <w:r>
        <w:rPr>
          <w:rFonts w:cs="Arial" w:ascii="Arial" w:hAnsi="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pPr>
        <w:pStyle w:val="Normal"/>
        <w:numPr>
          <w:ilvl w:val="0"/>
          <w:numId w:val="4"/>
        </w:numPr>
        <w:ind w:firstLine="284" w:left="0" w:right="-1"/>
        <w:jc w:val="both"/>
        <w:rPr>
          <w:rFonts w:ascii="Arial" w:hAnsi="Arial" w:eastAsia="Arial" w:cs="Arial"/>
        </w:rPr>
      </w:pPr>
      <w:r>
        <w:rPr>
          <w:rFonts w:eastAsia="Arial" w:cs="Arial" w:ascii="Arial" w:hAnsi="Arial"/>
        </w:rPr>
        <w:t xml:space="preserve">  </w:t>
      </w:r>
    </w:p>
    <w:p>
      <w:pPr>
        <w:pStyle w:val="BodyTextIndent"/>
        <w:ind w:firstLine="284" w:right="-1"/>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pPr>
        <w:pStyle w:val="Normal"/>
        <w:keepLines/>
        <w:numPr>
          <w:ilvl w:val="0"/>
          <w:numId w:val="4"/>
        </w:numPr>
        <w:ind w:firstLine="284" w:left="0" w:right="-1"/>
        <w:jc w:val="both"/>
        <w:rPr>
          <w:rFonts w:ascii="Arial" w:hAnsi="Arial" w:cs="Arial"/>
          <w:strike/>
        </w:rPr>
      </w:pPr>
      <w:r>
        <w:rPr>
          <w:rFonts w:cs="Arial" w:ascii="Arial" w:hAnsi="Arial"/>
          <w:strike/>
        </w:rPr>
      </w:r>
    </w:p>
    <w:p>
      <w:pPr>
        <w:pStyle w:val="Normal"/>
        <w:ind w:firstLine="284" w:right="-1"/>
        <w:jc w:val="both"/>
        <w:rPr>
          <w:rFonts w:ascii="Arial" w:hAnsi="Arial" w:cs="Arial"/>
        </w:rPr>
      </w:pPr>
      <w:r>
        <w:rPr>
          <w:rFonts w:eastAsia="Arial" w:cs="Arial" w:ascii="Arial" w:hAnsi="Arial"/>
          <w:b/>
        </w:rPr>
        <w:t>5.8</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numPr>
          <w:ilvl w:val="0"/>
          <w:numId w:val="4"/>
        </w:numPr>
        <w:ind w:firstLine="284" w:left="0" w:right="-1"/>
        <w:jc w:val="both"/>
        <w:rPr>
          <w:rFonts w:ascii="Arial" w:hAnsi="Arial" w:cs="Arial"/>
        </w:rPr>
      </w:pPr>
      <w:r>
        <w:rPr>
          <w:rFonts w:cs="Arial" w:ascii="Arial" w:hAnsi="Arial"/>
        </w:rPr>
      </w:r>
    </w:p>
    <w:p>
      <w:pPr>
        <w:pStyle w:val="Normal"/>
        <w:numPr>
          <w:ilvl w:val="0"/>
          <w:numId w:val="4"/>
        </w:numPr>
        <w:ind w:firstLine="284" w:left="0" w:right="-1"/>
        <w:jc w:val="both"/>
        <w:rPr>
          <w:rFonts w:ascii="Arial" w:hAnsi="Arial" w:cs="Arial"/>
        </w:rPr>
      </w:pPr>
      <w:r>
        <w:rPr>
          <w:rFonts w:cs="Arial" w:ascii="Arial" w:hAnsi="Arial"/>
          <w:b/>
          <w:bCs/>
        </w:rPr>
        <w:t>5.9.</w:t>
      </w:r>
      <w:r>
        <w:rPr>
          <w:rFonts w:cs="Arial" w:ascii="Arial" w:hAnsi="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numPr>
          <w:ilvl w:val="0"/>
          <w:numId w:val="4"/>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 xml:space="preserve">5.10. </w:t>
      </w:r>
      <w:r>
        <w:rPr>
          <w:rFonts w:cs="Arial" w:ascii="Arial" w:hAnsi="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numPr>
          <w:ilvl w:val="0"/>
          <w:numId w:val="4"/>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 xml:space="preserve">5.11.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numPr>
          <w:ilvl w:val="0"/>
          <w:numId w:val="4"/>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5.11.1.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numPr>
          <w:ilvl w:val="0"/>
          <w:numId w:val="4"/>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5.11.2.</w:t>
      </w:r>
      <w:r>
        <w:rPr>
          <w:rFonts w:cs="Arial" w:ascii="Arial" w:hAnsi="Arial"/>
        </w:rPr>
        <w:t xml:space="preserve"> Atualização de documentos cuja validade tenha expirado após a data de recebimento das propostas.</w:t>
      </w:r>
    </w:p>
    <w:p>
      <w:pPr>
        <w:pStyle w:val="Normal"/>
        <w:numPr>
          <w:ilvl w:val="0"/>
          <w:numId w:val="4"/>
        </w:numPr>
        <w:ind w:firstLine="284" w:left="0" w:right="-1"/>
        <w:jc w:val="both"/>
        <w:rPr>
          <w:rFonts w:ascii="Arial" w:hAnsi="Arial" w:cs="Arial"/>
          <w:highlight w:val="yellow"/>
        </w:rPr>
      </w:pPr>
      <w:r>
        <w:rPr>
          <w:rFonts w:cs="Arial" w:ascii="Arial" w:hAnsi="Arial"/>
        </w:rPr>
        <w:t xml:space="preserve"> </w:t>
      </w:r>
    </w:p>
    <w:p>
      <w:pPr>
        <w:pStyle w:val="Normal"/>
        <w:ind w:firstLine="284" w:right="-1"/>
        <w:jc w:val="both"/>
        <w:rPr>
          <w:rFonts w:ascii="Arial" w:hAnsi="Arial" w:cs="Arial"/>
        </w:rPr>
      </w:pPr>
      <w:r>
        <w:rPr>
          <w:rFonts w:cs="Arial" w:ascii="Arial" w:hAnsi="Arial"/>
          <w:b/>
        </w:rPr>
        <w:t>6.</w:t>
      </w:r>
      <w:r>
        <w:rPr>
          <w:rFonts w:cs="Arial" w:ascii="Arial" w:hAnsi="Arial"/>
        </w:rPr>
        <w:t xml:space="preserve"> </w:t>
      </w:r>
      <w:r>
        <w:rPr>
          <w:rFonts w:cs="Arial" w:ascii="Arial" w:hAnsi="Arial"/>
          <w:b/>
        </w:rPr>
        <w:t>FASE DE LANCES</w:t>
      </w:r>
      <w:r>
        <w:rPr>
          <w:rFonts w:cs="Arial" w:ascii="Arial" w:hAnsi="Arial"/>
        </w:rPr>
        <w:t xml:space="preserve">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6.1.</w:t>
      </w:r>
      <w:r>
        <w:rPr>
          <w:rFonts w:cs="Arial" w:ascii="Arial" w:hAnsi="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6.2.</w:t>
      </w:r>
      <w:r>
        <w:rPr>
          <w:rFonts w:cs="Arial" w:ascii="Arial" w:hAnsi="Arial"/>
        </w:rPr>
        <w:t xml:space="preserve"> Iniciada a etapa competitiva, os fornecedores deverão encaminhar lances exclusivamente por meio do sistema eletrônico, sendo imediatamente informados do seu recebimento e do valor consignado no registro.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6.2.1.</w:t>
      </w:r>
      <w:r>
        <w:rPr>
          <w:rFonts w:cs="Arial" w:ascii="Arial" w:hAnsi="Arial"/>
        </w:rPr>
        <w:t xml:space="preserve"> O lance deverá ser ofertado pelo valor unitário quando o critério de julgamento for por item e valor total quando a dispensa for julgada por Lote. </w:t>
      </w:r>
    </w:p>
    <w:p>
      <w:pPr>
        <w:pStyle w:val="Normal"/>
        <w:ind w:firstLine="284" w:right="-1"/>
        <w:jc w:val="both"/>
        <w:rPr>
          <w:rFonts w:ascii="Arial" w:hAnsi="Arial" w:cs="Arial"/>
          <w:b/>
          <w:highlight w:val="yellow"/>
        </w:rPr>
      </w:pPr>
      <w:r>
        <w:rPr>
          <w:rFonts w:cs="Arial" w:ascii="Arial" w:hAnsi="Arial"/>
          <w:b/>
          <w:highlight w:val="yellow"/>
        </w:rPr>
      </w:r>
    </w:p>
    <w:p>
      <w:pPr>
        <w:pStyle w:val="Normal"/>
        <w:ind w:firstLine="284" w:right="-1"/>
        <w:jc w:val="both"/>
        <w:rPr>
          <w:rFonts w:ascii="Arial" w:hAnsi="Arial" w:cs="Arial"/>
        </w:rPr>
      </w:pPr>
      <w:r>
        <w:rPr>
          <w:rFonts w:cs="Arial" w:ascii="Arial" w:hAnsi="Arial"/>
          <w:b/>
        </w:rPr>
        <w:t>6.3.</w:t>
      </w:r>
      <w:r>
        <w:rPr>
          <w:rFonts w:cs="Arial" w:ascii="Arial" w:hAnsi="Arial"/>
        </w:rPr>
        <w:t xml:space="preserve"> O fornecedor somente poderá oferecer valor inferior em relação ao último lance por ele ofertado e registrado pelo sistema.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6.3.1.</w:t>
      </w:r>
      <w:r>
        <w:rPr>
          <w:rFonts w:cs="Arial" w:ascii="Arial" w:hAnsi="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6.4.</w:t>
      </w:r>
      <w:r>
        <w:rPr>
          <w:rFonts w:cs="Arial" w:ascii="Arial" w:hAnsi="Arial"/>
        </w:rPr>
        <w:t xml:space="preserve"> Havendo lances iguais ao menor já ofertado, prevalecerá aquele que for recebido e registrado primeiro no sistema.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6.5.</w:t>
      </w:r>
      <w:r>
        <w:rPr>
          <w:rFonts w:cs="Arial" w:ascii="Arial" w:hAnsi="Arial"/>
        </w:rPr>
        <w:t xml:space="preserve"> Caso o fornecedor não apresente lances, concorrerá com o valor de sua proposta.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6.6.</w:t>
      </w:r>
      <w:r>
        <w:rPr>
          <w:rFonts w:cs="Arial" w:ascii="Arial" w:hAnsi="Arial"/>
        </w:rPr>
        <w:t xml:space="preserve"> Durante o procedimento, os fornecedores serão informados, em tempo real, do valor do menor lance registrado, vedada a identificação do fornecedor.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6.7.</w:t>
      </w:r>
      <w:r>
        <w:rPr>
          <w:rFonts w:cs="Arial" w:ascii="Arial" w:hAnsi="Arial"/>
        </w:rPr>
        <w:t xml:space="preserve"> Imediatamente após o termino do prazo estabelecido para a fase de lances, haverá o seu encerramento, com o ordenamento e divulgação dos lances, pelo sistema, em ordem crescente de classificação.</w:t>
      </w:r>
    </w:p>
    <w:p>
      <w:pPr>
        <w:pStyle w:val="Normal"/>
        <w:numPr>
          <w:ilvl w:val="0"/>
          <w:numId w:val="4"/>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b/>
          <w:bCs/>
        </w:rPr>
      </w:pPr>
      <w:r>
        <w:rPr>
          <w:rFonts w:cs="Arial" w:ascii="Arial" w:hAnsi="Arial"/>
          <w:b/>
          <w:bCs/>
        </w:rPr>
        <w:t xml:space="preserve">7. FASE DE JULGAMENTO </w:t>
      </w:r>
    </w:p>
    <w:p>
      <w:pPr>
        <w:pStyle w:val="Normal"/>
        <w:ind w:firstLine="284" w:right="-1"/>
        <w:jc w:val="both"/>
        <w:rPr>
          <w:rFonts w:ascii="Arial" w:hAnsi="Arial" w:cs="Arial"/>
          <w:b/>
          <w:bCs/>
        </w:rPr>
      </w:pPr>
      <w:r>
        <w:rPr>
          <w:rFonts w:cs="Arial" w:ascii="Arial" w:hAnsi="Arial"/>
          <w:b/>
          <w:bCs/>
        </w:rPr>
      </w:r>
    </w:p>
    <w:p>
      <w:pPr>
        <w:pStyle w:val="Normal"/>
        <w:ind w:firstLine="284" w:right="-1"/>
        <w:jc w:val="both"/>
        <w:rPr>
          <w:rFonts w:ascii="Arial" w:hAnsi="Arial" w:cs="Arial"/>
        </w:rPr>
      </w:pPr>
      <w:r>
        <w:rPr>
          <w:rFonts w:cs="Arial" w:ascii="Arial" w:hAnsi="Arial"/>
          <w:b/>
        </w:rPr>
        <w:t>7.1.</w:t>
      </w:r>
      <w:r>
        <w:rPr>
          <w:rFonts w:cs="Arial" w:ascii="Arial" w:hAnsi="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cs="Arial" w:ascii="Arial" w:hAnsi="Arial"/>
          <w:u w:val="single"/>
        </w:rPr>
        <w:t>MENOR PREÇO</w:t>
      </w:r>
      <w:r>
        <w:rPr>
          <w:rFonts w:cs="Arial" w:ascii="Arial" w:hAnsi="Arial"/>
        </w:rPr>
        <w:t>, observando o atendimento aos prazos para o fornecimento, especificações técnicas e demais condições e exigências definidas neste Edital e a exequibilidade dos preços, em conformidade ao art. 59° da Lei n° 14.133, de 2021.</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7.2.</w:t>
      </w:r>
      <w:r>
        <w:rPr>
          <w:rFonts w:cs="Arial" w:ascii="Arial" w:hAnsi="Arial"/>
        </w:rPr>
        <w:t xml:space="preserve"> Será desclassificada a proposta vencedora que: </w:t>
      </w:r>
    </w:p>
    <w:p>
      <w:pPr>
        <w:pStyle w:val="Normal"/>
        <w:ind w:firstLine="284" w:right="-1"/>
        <w:jc w:val="both"/>
        <w:rPr>
          <w:rFonts w:ascii="Arial" w:hAnsi="Arial" w:cs="Arial"/>
        </w:rPr>
      </w:pPr>
      <w:r>
        <w:rPr>
          <w:rFonts w:cs="Arial" w:ascii="Arial" w:hAnsi="Arial"/>
          <w:b/>
        </w:rPr>
        <w:t>7.2.1.</w:t>
      </w:r>
      <w:r>
        <w:rPr>
          <w:rFonts w:cs="Arial" w:ascii="Arial" w:hAnsi="Arial"/>
        </w:rPr>
        <w:t xml:space="preserve"> Contiver vícios insanáveis;</w:t>
      </w:r>
    </w:p>
    <w:p>
      <w:pPr>
        <w:pStyle w:val="Normal"/>
        <w:ind w:firstLine="284" w:right="-1"/>
        <w:jc w:val="both"/>
        <w:rPr>
          <w:rFonts w:ascii="Arial" w:hAnsi="Arial" w:cs="Arial"/>
        </w:rPr>
      </w:pPr>
      <w:r>
        <w:rPr>
          <w:rFonts w:cs="Arial" w:ascii="Arial" w:hAnsi="Arial"/>
          <w:b/>
        </w:rPr>
        <w:t>7.2.2.</w:t>
      </w:r>
      <w:r>
        <w:rPr>
          <w:rFonts w:cs="Arial" w:ascii="Arial" w:hAnsi="Arial"/>
        </w:rPr>
        <w:t xml:space="preserve"> Não obedecer às especificações técnicas expressas neste aviso ou em seu(s) anexo(s);</w:t>
      </w:r>
    </w:p>
    <w:p>
      <w:pPr>
        <w:pStyle w:val="Normal"/>
        <w:ind w:firstLine="284" w:right="-1"/>
        <w:jc w:val="both"/>
        <w:rPr>
          <w:rFonts w:ascii="Arial" w:hAnsi="Arial" w:cs="Arial"/>
          <w:b/>
        </w:rPr>
      </w:pPr>
      <w:r>
        <w:rPr>
          <w:rFonts w:cs="Arial" w:ascii="Arial" w:hAnsi="Arial"/>
          <w:b/>
        </w:rPr>
      </w:r>
    </w:p>
    <w:p>
      <w:pPr>
        <w:pStyle w:val="Normal"/>
        <w:ind w:firstLine="284" w:right="-1"/>
        <w:jc w:val="both"/>
        <w:rPr>
          <w:rFonts w:ascii="Arial" w:hAnsi="Arial" w:cs="Arial"/>
        </w:rPr>
      </w:pPr>
      <w:r>
        <w:rPr>
          <w:rFonts w:cs="Arial" w:ascii="Arial" w:hAnsi="Arial"/>
          <w:b/>
        </w:rPr>
        <w:t>7.3.</w:t>
      </w:r>
      <w:r>
        <w:rPr>
          <w:rFonts w:cs="Arial" w:ascii="Arial" w:hAnsi="Arial"/>
        </w:rPr>
        <w:t xml:space="preserve"> Se a proposta ou lance vencedor for desclassificado, será examinada a proposta ou lance subsequente, e, assim sucessivamente, na ordem de classificação.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7.4.</w:t>
      </w:r>
      <w:r>
        <w:rPr>
          <w:rFonts w:cs="Arial" w:ascii="Arial" w:hAnsi="Arial"/>
        </w:rPr>
        <w:t xml:space="preserve"> Após análise dos documentos de habilitação, será aprovada a empresa que cumprir todos os requisitos deste Edital</w:t>
      </w:r>
    </w:p>
    <w:p>
      <w:pPr>
        <w:pStyle w:val="Normal"/>
        <w:ind w:firstLine="284" w:right="-1"/>
        <w:jc w:val="both"/>
        <w:rPr>
          <w:rFonts w:ascii="Arial" w:hAnsi="Arial" w:cs="Arial"/>
        </w:rPr>
      </w:pPr>
      <w:r>
        <w:rPr>
          <w:rFonts w:cs="Arial" w:ascii="Arial" w:hAnsi="Arial"/>
        </w:rPr>
      </w:r>
    </w:p>
    <w:p>
      <w:pPr>
        <w:pStyle w:val="Normal"/>
        <w:numPr>
          <w:ilvl w:val="0"/>
          <w:numId w:val="4"/>
        </w:numPr>
        <w:ind w:firstLine="284" w:left="0" w:right="-1"/>
        <w:jc w:val="both"/>
        <w:rPr>
          <w:rFonts w:ascii="Arial" w:hAnsi="Arial" w:cs="Arial"/>
        </w:rPr>
      </w:pPr>
      <w:r>
        <w:rPr>
          <w:rFonts w:cs="Arial" w:ascii="Arial" w:hAnsi="Arial"/>
          <w:b/>
          <w:bCs/>
        </w:rPr>
        <w:t>7.5.</w:t>
      </w:r>
      <w:r>
        <w:rPr>
          <w:rFonts w:cs="Arial" w:ascii="Arial" w:hAnsi="Arial"/>
        </w:rPr>
        <w:t xml:space="preserve"> A Prefeitura reserva-se o direito de aprovar total ou parcialmente as propostas, anular ou revogar a DISPENSA ELETRÔNICA, se for de interesse público, de acordo com o que dispõe a Lei Federal n° 14.133/2021 e suas alterações.</w:t>
      </w:r>
    </w:p>
    <w:p>
      <w:pPr>
        <w:pStyle w:val="Normal"/>
        <w:numPr>
          <w:ilvl w:val="0"/>
          <w:numId w:val="4"/>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8. DOS PAGAMENTOS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VENCEDORA.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8.1.2.</w:t>
      </w:r>
      <w:r>
        <w:rPr>
          <w:rFonts w:cs="Arial" w:ascii="Arial" w:hAnsi="Arial"/>
        </w:rPr>
        <w:t xml:space="preserve"> E-mail para envio da NF-e: </w:t>
      </w:r>
      <w:hyperlink r:id="rId6">
        <w:r>
          <w:rPr>
            <w:rStyle w:val="Hyperlink"/>
            <w:rFonts w:cs="Arial" w:ascii="Arial" w:hAnsi="Arial"/>
          </w:rPr>
          <w:t>notafiscal@piracicaba.sp.gov.br</w:t>
        </w:r>
      </w:hyperlink>
      <w:r>
        <w:rPr>
          <w:rStyle w:val="Hyperlink"/>
          <w:rFonts w:cs="Arial" w:ascii="Arial" w:hAnsi="Arial"/>
        </w:rPr>
        <w:t>.</w:t>
      </w:r>
    </w:p>
    <w:p>
      <w:pPr>
        <w:pStyle w:val="Normal"/>
        <w:ind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9. SANÇÕES ADMINISTRATIVAS</w:t>
      </w:r>
    </w:p>
    <w:p>
      <w:pPr>
        <w:pStyle w:val="Normal"/>
        <w:numPr>
          <w:ilvl w:val="0"/>
          <w:numId w:val="4"/>
        </w:numPr>
        <w:ind w:firstLine="284" w:left="0" w:right="-1"/>
        <w:jc w:val="both"/>
        <w:rPr>
          <w:rFonts w:ascii="Arial" w:hAnsi="Arial" w:cs="Arial"/>
          <w:highlight w:val="yellow"/>
        </w:rPr>
      </w:pPr>
      <w:r>
        <w:rPr>
          <w:rFonts w:cs="Arial" w:ascii="Arial" w:hAnsi="Arial"/>
          <w:highlight w:val="yellow"/>
        </w:rPr>
      </w:r>
    </w:p>
    <w:p>
      <w:pPr>
        <w:pStyle w:val="Normal"/>
        <w:numPr>
          <w:ilvl w:val="0"/>
          <w:numId w:val="4"/>
        </w:numPr>
        <w:ind w:firstLine="284" w:left="0" w:right="-1"/>
        <w:jc w:val="both"/>
        <w:rPr>
          <w:rFonts w:ascii="Arial" w:hAnsi="Arial" w:cs="Arial"/>
        </w:rPr>
      </w:pPr>
      <w:r>
        <w:rPr>
          <w:rFonts w:cs="Arial" w:ascii="Arial" w:hAnsi="Arial"/>
          <w:b/>
          <w:bCs/>
        </w:rPr>
        <w:t xml:space="preserve">9.1. </w:t>
      </w:r>
      <w:r>
        <w:rPr>
          <w:rFonts w:cs="Arial" w:ascii="Arial" w:hAnsi="Arial"/>
        </w:rPr>
        <w:t>Comete infração administrativa, nos termos da lei, o interessado que, com dolo ou culpa:</w:t>
      </w:r>
    </w:p>
    <w:p>
      <w:pPr>
        <w:pStyle w:val="Normal"/>
        <w:numPr>
          <w:ilvl w:val="0"/>
          <w:numId w:val="4"/>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9.1.1.</w:t>
      </w:r>
      <w:r>
        <w:rPr>
          <w:rFonts w:cs="Arial" w:ascii="Arial" w:hAnsi="Arial"/>
        </w:rPr>
        <w:t xml:space="preserve"> </w:t>
      </w:r>
      <w:bookmarkStart w:id="1" w:name="_Hlk114652595"/>
      <w:bookmarkStart w:id="2" w:name="_Ref114668085"/>
      <w:r>
        <w:rPr>
          <w:rFonts w:cs="Arial" w:ascii="Arial" w:hAnsi="Arial"/>
        </w:rPr>
        <w:t>Deixar de entregar a documentação exigida para o certame ou não entregar qualquer documento que tenha sido solicitado pelo/a pregoeiro/a durante o certame;</w:t>
      </w:r>
      <w:bookmarkEnd w:id="2"/>
    </w:p>
    <w:p>
      <w:pPr>
        <w:pStyle w:val="Normal"/>
        <w:numPr>
          <w:ilvl w:val="0"/>
          <w:numId w:val="4"/>
        </w:numPr>
        <w:ind w:firstLine="284" w:left="0" w:right="-1"/>
        <w:jc w:val="both"/>
        <w:rPr>
          <w:rFonts w:ascii="Arial" w:hAnsi="Arial" w:cs="Arial"/>
        </w:rPr>
      </w:pPr>
      <w:r>
        <w:rPr>
          <w:rFonts w:cs="Arial" w:ascii="Arial" w:hAnsi="Arial"/>
        </w:rPr>
      </w:r>
      <w:bookmarkStart w:id="3" w:name="_Ref114668108"/>
      <w:bookmarkStart w:id="4" w:name="_Ref114668108"/>
    </w:p>
    <w:p>
      <w:pPr>
        <w:pStyle w:val="Normal"/>
        <w:ind w:firstLine="284" w:right="-1"/>
        <w:jc w:val="both"/>
        <w:rPr>
          <w:rFonts w:ascii="Arial" w:hAnsi="Arial" w:cs="Arial"/>
        </w:rPr>
      </w:pPr>
      <w:r>
        <w:rPr>
          <w:rFonts w:cs="Arial" w:ascii="Arial" w:hAnsi="Arial"/>
          <w:b/>
          <w:bCs/>
        </w:rPr>
        <w:t>9.1.2.</w:t>
      </w:r>
      <w:r>
        <w:rPr>
          <w:rFonts w:cs="Arial" w:ascii="Arial" w:hAnsi="Arial"/>
        </w:rPr>
        <w:t xml:space="preserve"> Salvo em decorrência de fato superveniente devidamente justificado, não mantiver a proposta em especial quando:</w:t>
      </w:r>
      <w:bookmarkEnd w:id="4"/>
    </w:p>
    <w:p>
      <w:pPr>
        <w:pStyle w:val="Normal"/>
        <w:numPr>
          <w:ilvl w:val="0"/>
          <w:numId w:val="4"/>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9.1.2.1. </w:t>
      </w:r>
      <w:r>
        <w:rPr>
          <w:rFonts w:cs="Arial" w:ascii="Arial" w:hAnsi="Arial"/>
        </w:rPr>
        <w:t xml:space="preserve">não enviar a proposta adequada ao último lance ofertado ou após a negociação; </w:t>
      </w:r>
    </w:p>
    <w:p>
      <w:pPr>
        <w:pStyle w:val="Normal"/>
        <w:numPr>
          <w:ilvl w:val="0"/>
          <w:numId w:val="4"/>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9.1.2.2. </w:t>
      </w:r>
      <w:r>
        <w:rPr>
          <w:rFonts w:cs="Arial" w:ascii="Arial" w:hAnsi="Arial"/>
        </w:rPr>
        <w:t xml:space="preserve">recusar-se a enviar o detalhamento da proposta quando exigível; </w:t>
      </w:r>
    </w:p>
    <w:p>
      <w:pPr>
        <w:pStyle w:val="Normal"/>
        <w:numPr>
          <w:ilvl w:val="0"/>
          <w:numId w:val="4"/>
        </w:numPr>
        <w:ind w:firstLine="284" w:left="0" w:right="-1"/>
        <w:jc w:val="both"/>
        <w:rPr>
          <w:rFonts w:ascii="Arial" w:hAnsi="Arial" w:cs="Arial"/>
          <w:sz w:val="10"/>
        </w:rPr>
      </w:pPr>
      <w:r>
        <w:rPr>
          <w:rFonts w:cs="Arial" w:ascii="Arial" w:hAnsi="Arial"/>
          <w:sz w:val="10"/>
        </w:rPr>
      </w:r>
    </w:p>
    <w:p>
      <w:pPr>
        <w:pStyle w:val="Normal"/>
        <w:numPr>
          <w:ilvl w:val="0"/>
          <w:numId w:val="4"/>
        </w:numPr>
        <w:ind w:firstLine="284" w:left="0" w:right="-1"/>
        <w:jc w:val="both"/>
        <w:rPr>
          <w:rFonts w:ascii="Arial" w:hAnsi="Arial" w:cs="Arial"/>
        </w:rPr>
      </w:pPr>
      <w:r>
        <w:rPr>
          <w:rFonts w:cs="Arial" w:ascii="Arial" w:hAnsi="Arial"/>
          <w:b/>
          <w:bCs/>
        </w:rPr>
        <w:t xml:space="preserve">9.1.2.3. </w:t>
      </w:r>
      <w:r>
        <w:rPr>
          <w:rFonts w:cs="Arial" w:ascii="Arial" w:hAnsi="Arial"/>
        </w:rPr>
        <w:t xml:space="preserve">pedir para ser desclassificado quando encerrada a etapa competitiva; ou </w:t>
      </w:r>
    </w:p>
    <w:p>
      <w:pPr>
        <w:pStyle w:val="Normal"/>
        <w:numPr>
          <w:ilvl w:val="0"/>
          <w:numId w:val="4"/>
        </w:numPr>
        <w:ind w:firstLine="284" w:left="0" w:right="-1"/>
        <w:jc w:val="both"/>
        <w:rPr>
          <w:rFonts w:ascii="Arial" w:hAnsi="Arial" w:cs="Arial"/>
          <w:sz w:val="10"/>
        </w:rPr>
      </w:pPr>
      <w:r>
        <w:rPr>
          <w:rFonts w:cs="Arial" w:ascii="Arial" w:hAnsi="Arial"/>
          <w:sz w:val="10"/>
        </w:rPr>
      </w:r>
    </w:p>
    <w:p>
      <w:pPr>
        <w:pStyle w:val="Normal"/>
        <w:numPr>
          <w:ilvl w:val="0"/>
          <w:numId w:val="4"/>
        </w:numPr>
        <w:ind w:firstLine="284" w:left="0" w:right="-1"/>
        <w:jc w:val="both"/>
        <w:rPr>
          <w:rFonts w:ascii="Arial" w:hAnsi="Arial" w:cs="Arial"/>
        </w:rPr>
      </w:pPr>
      <w:r>
        <w:rPr>
          <w:rFonts w:cs="Arial" w:ascii="Arial" w:hAnsi="Arial"/>
          <w:b/>
          <w:bCs/>
        </w:rPr>
        <w:t xml:space="preserve">9.1.2.4. </w:t>
      </w:r>
      <w:r>
        <w:rPr>
          <w:rFonts w:cs="Arial" w:ascii="Arial" w:hAnsi="Arial"/>
        </w:rPr>
        <w:t>deixar de apresentar amostra;</w:t>
      </w:r>
    </w:p>
    <w:p>
      <w:pPr>
        <w:pStyle w:val="Normal"/>
        <w:numPr>
          <w:ilvl w:val="0"/>
          <w:numId w:val="4"/>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9.1.2.5. </w:t>
      </w:r>
      <w:r>
        <w:rPr>
          <w:rFonts w:cs="Arial" w:ascii="Arial" w:hAnsi="Arial"/>
        </w:rPr>
        <w:t xml:space="preserve">apresentar proposta ou amostra em desacordo com as especificações do edital; </w:t>
      </w:r>
    </w:p>
    <w:p>
      <w:pPr>
        <w:pStyle w:val="Normal"/>
        <w:numPr>
          <w:ilvl w:val="0"/>
          <w:numId w:val="4"/>
        </w:numPr>
        <w:ind w:firstLine="284" w:left="0" w:right="-1"/>
        <w:jc w:val="both"/>
        <w:rPr>
          <w:rFonts w:ascii="Arial" w:hAnsi="Arial" w:cs="Arial"/>
        </w:rPr>
      </w:pPr>
      <w:r>
        <w:rPr>
          <w:rFonts w:cs="Arial" w:ascii="Arial" w:hAnsi="Arial"/>
        </w:rPr>
      </w:r>
      <w:bookmarkStart w:id="5" w:name="_Ref114668139"/>
      <w:bookmarkStart w:id="6" w:name="_Ref114668139"/>
    </w:p>
    <w:p>
      <w:pPr>
        <w:pStyle w:val="Normal"/>
        <w:ind w:firstLine="284" w:right="-1"/>
        <w:jc w:val="both"/>
        <w:rPr>
          <w:rFonts w:ascii="Arial" w:hAnsi="Arial" w:cs="Arial"/>
        </w:rPr>
      </w:pPr>
      <w:r>
        <w:rPr>
          <w:rFonts w:cs="Arial" w:ascii="Arial" w:hAnsi="Arial"/>
          <w:b/>
          <w:bCs/>
        </w:rPr>
        <w:t>9.1.3.</w:t>
      </w:r>
      <w:r>
        <w:rPr>
          <w:rFonts w:cs="Arial" w:ascii="Arial" w:hAnsi="Arial"/>
        </w:rPr>
        <w:t xml:space="preserve"> Não celebrar o contrato ou não entregar a documentação exigida para a contratação, quando convocado dentro do prazo de validade de sua proposta;</w:t>
      </w:r>
      <w:bookmarkEnd w:id="6"/>
    </w:p>
    <w:p>
      <w:pPr>
        <w:pStyle w:val="Normal"/>
        <w:numPr>
          <w:ilvl w:val="0"/>
          <w:numId w:val="4"/>
        </w:numPr>
        <w:ind w:firstLine="284" w:left="0" w:right="-1"/>
        <w:jc w:val="both"/>
        <w:rPr>
          <w:rFonts w:ascii="Arial" w:hAnsi="Arial" w:cs="Arial"/>
          <w:sz w:val="10"/>
        </w:rPr>
      </w:pPr>
      <w:r>
        <w:rPr>
          <w:rFonts w:cs="Arial" w:ascii="Arial" w:hAnsi="Arial"/>
          <w:sz w:val="10"/>
        </w:rPr>
      </w:r>
    </w:p>
    <w:p>
      <w:pPr>
        <w:pStyle w:val="Normal"/>
        <w:numPr>
          <w:ilvl w:val="0"/>
          <w:numId w:val="4"/>
        </w:numPr>
        <w:ind w:firstLine="284" w:left="0" w:right="-1"/>
        <w:jc w:val="both"/>
        <w:rPr>
          <w:rFonts w:ascii="Arial" w:hAnsi="Arial" w:cs="Arial"/>
        </w:rPr>
      </w:pPr>
      <w:r>
        <w:rPr>
          <w:rFonts w:cs="Arial" w:ascii="Arial" w:hAnsi="Arial"/>
          <w:b/>
          <w:bCs/>
        </w:rPr>
        <w:t>9.1.3.1.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numPr>
          <w:ilvl w:val="0"/>
          <w:numId w:val="4"/>
        </w:numPr>
        <w:ind w:firstLine="284" w:left="0" w:right="-1"/>
        <w:jc w:val="both"/>
        <w:rPr>
          <w:rFonts w:ascii="Arial" w:hAnsi="Arial" w:cs="Arial"/>
        </w:rPr>
      </w:pPr>
      <w:r>
        <w:rPr>
          <w:rFonts w:cs="Arial" w:ascii="Arial" w:hAnsi="Arial"/>
        </w:rPr>
      </w:r>
      <w:bookmarkStart w:id="7" w:name="_Ref114668249"/>
      <w:bookmarkStart w:id="8" w:name="_Ref114668249"/>
    </w:p>
    <w:p>
      <w:pPr>
        <w:pStyle w:val="Normal"/>
        <w:numPr>
          <w:ilvl w:val="0"/>
          <w:numId w:val="4"/>
        </w:numPr>
        <w:ind w:firstLine="284" w:left="0" w:right="-1"/>
        <w:jc w:val="both"/>
        <w:rPr>
          <w:rFonts w:ascii="Arial" w:hAnsi="Arial" w:cs="Arial"/>
        </w:rPr>
      </w:pPr>
      <w:r>
        <w:rPr>
          <w:rFonts w:cs="Arial" w:ascii="Arial" w:hAnsi="Arial"/>
          <w:b/>
          <w:bCs/>
        </w:rPr>
        <w:t>9.1.4.</w:t>
      </w:r>
      <w:r>
        <w:rPr>
          <w:rFonts w:cs="Arial" w:ascii="Arial" w:hAnsi="Arial"/>
        </w:rPr>
        <w:t xml:space="preserve"> Apresentar declaração ou documentação falsa exigida para o certame ou prestar declaração falsa durante a licitação</w:t>
      </w:r>
      <w:bookmarkEnd w:id="8"/>
    </w:p>
    <w:p>
      <w:pPr>
        <w:pStyle w:val="Normal"/>
        <w:numPr>
          <w:ilvl w:val="0"/>
          <w:numId w:val="4"/>
        </w:numPr>
        <w:ind w:firstLine="284" w:left="0" w:right="-1"/>
        <w:jc w:val="both"/>
        <w:rPr>
          <w:rFonts w:ascii="Arial" w:hAnsi="Arial" w:cs="Arial"/>
        </w:rPr>
      </w:pPr>
      <w:r>
        <w:rPr>
          <w:rFonts w:cs="Arial" w:ascii="Arial" w:hAnsi="Arial"/>
        </w:rPr>
      </w:r>
      <w:bookmarkStart w:id="9" w:name="_Ref114668245"/>
      <w:bookmarkStart w:id="10" w:name="_Ref114668245"/>
    </w:p>
    <w:p>
      <w:pPr>
        <w:pStyle w:val="Normal"/>
        <w:numPr>
          <w:ilvl w:val="0"/>
          <w:numId w:val="4"/>
        </w:numPr>
        <w:ind w:firstLine="284" w:left="0" w:right="-1"/>
        <w:jc w:val="both"/>
        <w:rPr>
          <w:rFonts w:ascii="Arial" w:hAnsi="Arial" w:cs="Arial"/>
        </w:rPr>
      </w:pPr>
      <w:r>
        <w:rPr>
          <w:rFonts w:cs="Arial" w:ascii="Arial" w:hAnsi="Arial"/>
          <w:b/>
          <w:bCs/>
        </w:rPr>
        <w:t>9.1.5.</w:t>
      </w:r>
      <w:r>
        <w:rPr>
          <w:rFonts w:cs="Arial" w:ascii="Arial" w:hAnsi="Arial"/>
        </w:rPr>
        <w:t xml:space="preserve"> Fraudar a licitação</w:t>
      </w:r>
      <w:bookmarkEnd w:id="10"/>
      <w:r>
        <w:rPr>
          <w:rFonts w:cs="Arial" w:ascii="Arial" w:hAnsi="Arial"/>
        </w:rPr>
        <w:t>;</w:t>
      </w:r>
    </w:p>
    <w:p>
      <w:pPr>
        <w:pStyle w:val="Normal"/>
        <w:numPr>
          <w:ilvl w:val="0"/>
          <w:numId w:val="4"/>
        </w:numPr>
        <w:ind w:firstLine="284" w:left="0" w:right="-1"/>
        <w:jc w:val="both"/>
        <w:rPr>
          <w:rFonts w:ascii="Arial" w:hAnsi="Arial" w:cs="Arial"/>
        </w:rPr>
      </w:pPr>
      <w:r>
        <w:rPr>
          <w:rFonts w:cs="Arial" w:ascii="Arial" w:hAnsi="Arial"/>
        </w:rPr>
      </w:r>
      <w:bookmarkStart w:id="11" w:name="_Ref114668247"/>
      <w:bookmarkStart w:id="12" w:name="_Ref114668247"/>
    </w:p>
    <w:p>
      <w:pPr>
        <w:pStyle w:val="Normal"/>
        <w:numPr>
          <w:ilvl w:val="0"/>
          <w:numId w:val="4"/>
        </w:numPr>
        <w:ind w:firstLine="284" w:left="0" w:right="-1"/>
        <w:jc w:val="both"/>
        <w:rPr>
          <w:rFonts w:ascii="Arial" w:hAnsi="Arial" w:cs="Arial"/>
        </w:rPr>
      </w:pPr>
      <w:r>
        <w:rPr>
          <w:rFonts w:cs="Arial" w:ascii="Arial" w:hAnsi="Arial"/>
          <w:b/>
          <w:bCs/>
        </w:rPr>
        <w:t>9.1.6.</w:t>
      </w:r>
      <w:r>
        <w:rPr>
          <w:rFonts w:cs="Arial" w:ascii="Arial" w:hAnsi="Arial"/>
        </w:rPr>
        <w:t xml:space="preserve"> Comportar-se de modo inidôneo ou cometer fraude de qualquer natureza, em especial quando:</w:t>
      </w:r>
      <w:bookmarkEnd w:id="12"/>
    </w:p>
    <w:p>
      <w:pPr>
        <w:pStyle w:val="Normal"/>
        <w:numPr>
          <w:ilvl w:val="0"/>
          <w:numId w:val="4"/>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9.1.6.1.</w:t>
      </w:r>
      <w:r>
        <w:rPr>
          <w:rFonts w:cs="Arial" w:ascii="Arial" w:hAnsi="Arial"/>
        </w:rPr>
        <w:t xml:space="preserve"> agir em conluio ou em desconformidade com a lei; </w:t>
      </w:r>
    </w:p>
    <w:p>
      <w:pPr>
        <w:pStyle w:val="Normal"/>
        <w:numPr>
          <w:ilvl w:val="0"/>
          <w:numId w:val="4"/>
        </w:numPr>
        <w:ind w:firstLine="284" w:left="0" w:right="-1"/>
        <w:jc w:val="both"/>
        <w:rPr>
          <w:rFonts w:ascii="Arial" w:hAnsi="Arial" w:cs="Arial"/>
          <w:sz w:val="10"/>
        </w:rPr>
      </w:pPr>
      <w:r>
        <w:rPr>
          <w:rFonts w:cs="Arial" w:ascii="Arial" w:hAnsi="Arial"/>
          <w:sz w:val="10"/>
        </w:rPr>
      </w:r>
    </w:p>
    <w:p>
      <w:pPr>
        <w:pStyle w:val="Normal"/>
        <w:numPr>
          <w:ilvl w:val="0"/>
          <w:numId w:val="4"/>
        </w:numPr>
        <w:ind w:firstLine="284" w:left="0" w:right="-1"/>
        <w:jc w:val="both"/>
        <w:rPr>
          <w:rFonts w:ascii="Arial" w:hAnsi="Arial" w:cs="Arial"/>
        </w:rPr>
      </w:pPr>
      <w:r>
        <w:rPr>
          <w:rFonts w:cs="Arial" w:ascii="Arial" w:hAnsi="Arial"/>
          <w:b/>
          <w:bCs/>
        </w:rPr>
        <w:t>9.1.6.2.</w:t>
      </w:r>
      <w:r>
        <w:rPr>
          <w:rFonts w:cs="Arial" w:ascii="Arial" w:hAnsi="Arial"/>
        </w:rPr>
        <w:t xml:space="preserve"> induzir deliberadamente a erro no julgamento; </w:t>
      </w:r>
    </w:p>
    <w:p>
      <w:pPr>
        <w:pStyle w:val="Normal"/>
        <w:numPr>
          <w:ilvl w:val="0"/>
          <w:numId w:val="4"/>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9.1.6.3.</w:t>
      </w:r>
      <w:r>
        <w:rPr>
          <w:rFonts w:cs="Arial" w:ascii="Arial" w:hAnsi="Arial"/>
        </w:rPr>
        <w:t xml:space="preserve"> apresentar amostra falsificada ou deteriorada; </w:t>
      </w:r>
    </w:p>
    <w:p>
      <w:pPr>
        <w:pStyle w:val="Normal"/>
        <w:numPr>
          <w:ilvl w:val="0"/>
          <w:numId w:val="4"/>
        </w:numPr>
        <w:ind w:firstLine="284" w:left="0" w:right="-1"/>
        <w:jc w:val="both"/>
        <w:rPr>
          <w:rFonts w:ascii="Arial" w:hAnsi="Arial" w:cs="Arial"/>
        </w:rPr>
      </w:pPr>
      <w:r>
        <w:rPr>
          <w:rFonts w:cs="Arial" w:ascii="Arial" w:hAnsi="Arial"/>
        </w:rPr>
      </w:r>
      <w:bookmarkStart w:id="13" w:name="_Ref114668251"/>
      <w:bookmarkStart w:id="14" w:name="_Ref114668251"/>
    </w:p>
    <w:p>
      <w:pPr>
        <w:pStyle w:val="Normal"/>
        <w:numPr>
          <w:ilvl w:val="0"/>
          <w:numId w:val="4"/>
        </w:numPr>
        <w:ind w:firstLine="284" w:left="0" w:right="-1"/>
        <w:jc w:val="both"/>
        <w:rPr>
          <w:rFonts w:ascii="Arial" w:hAnsi="Arial" w:cs="Arial"/>
        </w:rPr>
      </w:pPr>
      <w:r>
        <w:rPr>
          <w:rFonts w:cs="Arial" w:ascii="Arial" w:hAnsi="Arial"/>
          <w:b/>
          <w:bCs/>
        </w:rPr>
        <w:t>9.1.7.</w:t>
      </w:r>
      <w:r>
        <w:rPr>
          <w:rFonts w:cs="Arial" w:ascii="Arial" w:hAnsi="Arial"/>
        </w:rPr>
        <w:t xml:space="preserve"> Praticar atos ilícitos com vistas a frustrar os objetivos da licitação</w:t>
      </w:r>
      <w:bookmarkEnd w:id="14"/>
      <w:r>
        <w:rPr>
          <w:rFonts w:cs="Arial" w:ascii="Arial" w:hAnsi="Arial"/>
        </w:rPr>
        <w:t>;</w:t>
      </w:r>
    </w:p>
    <w:p>
      <w:pPr>
        <w:pStyle w:val="Normal"/>
        <w:numPr>
          <w:ilvl w:val="0"/>
          <w:numId w:val="4"/>
        </w:numPr>
        <w:ind w:firstLine="284" w:left="0" w:right="-1"/>
        <w:jc w:val="both"/>
        <w:rPr>
          <w:rFonts w:ascii="Arial" w:hAnsi="Arial" w:cs="Arial"/>
        </w:rPr>
      </w:pPr>
      <w:r>
        <w:rPr>
          <w:rFonts w:cs="Arial" w:ascii="Arial" w:hAnsi="Arial"/>
        </w:rPr>
      </w:r>
      <w:bookmarkStart w:id="15" w:name="_Ref114668252"/>
      <w:bookmarkStart w:id="16" w:name="_Ref114668252"/>
    </w:p>
    <w:p>
      <w:pPr>
        <w:pStyle w:val="Normal"/>
        <w:numPr>
          <w:ilvl w:val="0"/>
          <w:numId w:val="4"/>
        </w:numPr>
        <w:ind w:firstLine="284" w:left="0" w:right="-1"/>
        <w:jc w:val="both"/>
        <w:rPr>
          <w:rFonts w:ascii="Arial" w:hAnsi="Arial" w:cs="Arial"/>
        </w:rPr>
      </w:pPr>
      <w:r>
        <w:rPr>
          <w:rFonts w:cs="Arial" w:ascii="Arial" w:hAnsi="Arial"/>
          <w:b/>
          <w:bCs/>
        </w:rPr>
        <w:t>9.1.8.</w:t>
      </w:r>
      <w:r>
        <w:rPr>
          <w:rFonts w:cs="Arial" w:ascii="Arial" w:hAnsi="Arial"/>
        </w:rPr>
        <w:t xml:space="preserve"> Praticar ato lesivo previsto no </w:t>
      </w:r>
      <w:r>
        <w:fldChar w:fldCharType="begin"/>
      </w:r>
      <w:r>
        <w:rPr>
          <w:rStyle w:val="Style"/>
          <w:rFonts w:cs="Arial" w:ascii="Arial" w:hAnsi="Arial"/>
        </w:rPr>
        <w:instrText xml:space="preserve"> HYPERLINK "https://www.planalto.gov.br/ccivil_03/_ato2011-2014/2013/lei/l12846.htm" \l "art5"</w:instrText>
      </w:r>
      <w:r>
        <w:rPr>
          <w:rStyle w:val="Style"/>
          <w:rFonts w:cs="Arial" w:ascii="Arial" w:hAnsi="Arial"/>
        </w:rPr>
        <w:fldChar w:fldCharType="separate"/>
      </w:r>
      <w:r>
        <w:rPr>
          <w:rStyle w:val="Style"/>
          <w:rFonts w:cs="Arial" w:ascii="Arial" w:hAnsi="Arial"/>
        </w:rPr>
        <w:t>art. 5º da Lei n.º 12.846, de 2013</w:t>
      </w:r>
      <w:r>
        <w:rPr>
          <w:rStyle w:val="Style"/>
          <w:rFonts w:cs="Arial" w:ascii="Arial" w:hAnsi="Arial"/>
        </w:rPr>
        <w:fldChar w:fldCharType="end"/>
      </w:r>
      <w:r>
        <w:rPr>
          <w:rFonts w:cs="Arial" w:ascii="Arial" w:hAnsi="Arial"/>
        </w:rPr>
        <w:t>.</w:t>
      </w:r>
      <w:bookmarkEnd w:id="1"/>
      <w:bookmarkEnd w:id="16"/>
    </w:p>
    <w:p>
      <w:pPr>
        <w:pStyle w:val="Normal"/>
        <w:numPr>
          <w:ilvl w:val="0"/>
          <w:numId w:val="4"/>
        </w:numPr>
        <w:ind w:firstLine="284" w:left="0" w:right="-1"/>
        <w:jc w:val="both"/>
        <w:rPr>
          <w:rFonts w:ascii="Arial" w:hAnsi="Arial" w:cs="Arial"/>
          <w:highlight w:val="yellow"/>
        </w:rPr>
      </w:pPr>
      <w:r>
        <w:rPr>
          <w:rFonts w:cs="Arial" w:ascii="Arial" w:hAnsi="Arial"/>
          <w:highlight w:val="yellow"/>
        </w:rPr>
      </w:r>
    </w:p>
    <w:p>
      <w:pPr>
        <w:pStyle w:val="Normal"/>
        <w:numPr>
          <w:ilvl w:val="0"/>
          <w:numId w:val="4"/>
        </w:numPr>
        <w:ind w:firstLine="284" w:left="0" w:right="-1"/>
        <w:jc w:val="both"/>
        <w:rPr>
          <w:rFonts w:ascii="Arial" w:hAnsi="Arial" w:cs="Arial"/>
        </w:rPr>
      </w:pPr>
      <w:r>
        <w:rPr>
          <w:rFonts w:cs="Arial" w:ascii="Arial" w:hAnsi="Arial"/>
          <w:b/>
          <w:bCs/>
        </w:rPr>
        <w:t xml:space="preserve">9.2. </w:t>
      </w:r>
      <w:r>
        <w:rPr>
          <w:rFonts w:cs="Arial" w:ascii="Arial" w:hAnsi="Arial"/>
        </w:rPr>
        <w:t>O não cumprimento, por parte dos interessados, dos preços e condições constantes de sua coleta, acarretará as seguintes sanções:</w:t>
      </w:r>
    </w:p>
    <w:p>
      <w:pPr>
        <w:pStyle w:val="Normal"/>
        <w:numPr>
          <w:ilvl w:val="0"/>
          <w:numId w:val="4"/>
        </w:numPr>
        <w:ind w:firstLine="284" w:left="0" w:right="-1"/>
        <w:jc w:val="both"/>
        <w:rPr>
          <w:rFonts w:ascii="Arial" w:hAnsi="Arial" w:cs="Arial"/>
        </w:rPr>
      </w:pPr>
      <w:r>
        <w:rPr>
          <w:rFonts w:cs="Arial" w:ascii="Arial" w:hAnsi="Arial"/>
        </w:rPr>
      </w:r>
    </w:p>
    <w:p>
      <w:pPr>
        <w:pStyle w:val="Normal"/>
        <w:numPr>
          <w:ilvl w:val="0"/>
          <w:numId w:val="4"/>
        </w:numPr>
        <w:ind w:firstLine="284" w:left="0" w:right="-1"/>
        <w:jc w:val="both"/>
        <w:rPr>
          <w:rFonts w:ascii="Arial" w:hAnsi="Arial" w:cs="Arial"/>
        </w:rPr>
      </w:pPr>
      <w:r>
        <w:rPr>
          <w:rFonts w:cs="Arial" w:ascii="Arial" w:hAnsi="Arial"/>
          <w:b/>
          <w:bCs/>
        </w:rPr>
        <w:t>9.2.1.</w:t>
      </w:r>
      <w:r>
        <w:rPr>
          <w:rFonts w:cs="Arial" w:ascii="Arial" w:hAnsi="Arial"/>
        </w:rPr>
        <w:t xml:space="preserve"> Atraso na execução ou entrega do objeto, multa de 0,5% (zero vírgula cinco por cento) ao dia, calculado sobre o valor do empenho, sendo que após o 11° dia, poderá a Prefeitura cancelar o mesmo, sem prejuízo das demais penalidades.</w:t>
      </w:r>
    </w:p>
    <w:p>
      <w:pPr>
        <w:pStyle w:val="Normal"/>
        <w:numPr>
          <w:ilvl w:val="0"/>
          <w:numId w:val="4"/>
        </w:numPr>
        <w:ind w:firstLine="284" w:left="0" w:right="-1"/>
        <w:jc w:val="both"/>
        <w:rPr>
          <w:rFonts w:ascii="Arial" w:hAnsi="Arial" w:cs="Arial"/>
          <w:b/>
        </w:rPr>
      </w:pPr>
      <w:r>
        <w:rPr>
          <w:rFonts w:cs="Arial" w:ascii="Arial" w:hAnsi="Arial"/>
          <w:b/>
        </w:rPr>
      </w:r>
    </w:p>
    <w:p>
      <w:pPr>
        <w:pStyle w:val="Normal"/>
        <w:numPr>
          <w:ilvl w:val="0"/>
          <w:numId w:val="4"/>
        </w:numPr>
        <w:ind w:firstLine="284" w:left="0" w:right="-1"/>
        <w:jc w:val="both"/>
        <w:rPr>
          <w:rFonts w:ascii="Arial" w:hAnsi="Arial" w:cs="Arial"/>
        </w:rPr>
      </w:pPr>
      <w:r>
        <w:rPr>
          <w:rFonts w:cs="Arial" w:ascii="Arial" w:hAnsi="Arial"/>
          <w:b/>
          <w:bCs/>
        </w:rPr>
        <w:t xml:space="preserve">9.2.2. </w:t>
      </w:r>
      <w:r>
        <w:rPr>
          <w:rFonts w:cs="Arial" w:ascii="Arial" w:hAnsi="Arial"/>
        </w:rPr>
        <w:t>Pela inexecução parcial, multa de 10% (dez por cento) sobre o valor do empenho;</w:t>
      </w:r>
    </w:p>
    <w:p>
      <w:pPr>
        <w:pStyle w:val="Normal"/>
        <w:numPr>
          <w:ilvl w:val="0"/>
          <w:numId w:val="4"/>
        </w:numPr>
        <w:ind w:firstLine="284" w:left="0" w:right="-1"/>
        <w:jc w:val="both"/>
        <w:rPr>
          <w:rFonts w:ascii="Arial" w:hAnsi="Arial" w:cs="Arial"/>
        </w:rPr>
      </w:pPr>
      <w:r>
        <w:rPr>
          <w:rFonts w:cs="Arial" w:ascii="Arial" w:hAnsi="Arial"/>
        </w:rPr>
      </w:r>
    </w:p>
    <w:p>
      <w:pPr>
        <w:pStyle w:val="Normal"/>
        <w:numPr>
          <w:ilvl w:val="0"/>
          <w:numId w:val="4"/>
        </w:numPr>
        <w:ind w:firstLine="284" w:left="0" w:right="-1"/>
        <w:jc w:val="both"/>
        <w:rPr>
          <w:rFonts w:ascii="Arial" w:hAnsi="Arial" w:cs="Arial"/>
        </w:rPr>
      </w:pPr>
      <w:r>
        <w:rPr>
          <w:rFonts w:cs="Arial" w:ascii="Arial" w:hAnsi="Arial"/>
          <w:b/>
          <w:bCs/>
        </w:rPr>
        <w:t xml:space="preserve">9.2.3. </w:t>
      </w:r>
      <w:r>
        <w:rPr>
          <w:rFonts w:cs="Arial" w:ascii="Arial" w:hAnsi="Arial"/>
        </w:rPr>
        <w:t>Pela inexecução total, multa de 20% (vinte por cento) sobre o valor do empenho;</w:t>
      </w:r>
    </w:p>
    <w:p>
      <w:pPr>
        <w:pStyle w:val="Normal"/>
        <w:numPr>
          <w:ilvl w:val="0"/>
          <w:numId w:val="4"/>
        </w:numPr>
        <w:ind w:firstLine="284" w:left="0" w:right="-1"/>
        <w:jc w:val="both"/>
        <w:rPr>
          <w:rFonts w:ascii="Arial" w:hAnsi="Arial" w:cs="Arial"/>
        </w:rPr>
      </w:pPr>
      <w:r>
        <w:rPr>
          <w:rFonts w:cs="Arial" w:ascii="Arial" w:hAnsi="Arial"/>
        </w:rPr>
      </w:r>
    </w:p>
    <w:p>
      <w:pPr>
        <w:pStyle w:val="Heading1"/>
        <w:numPr>
          <w:ilvl w:val="0"/>
          <w:numId w:val="0"/>
        </w:numPr>
        <w:ind w:firstLine="284" w:left="0" w:right="-1"/>
        <w:jc w:val="both"/>
        <w:rPr>
          <w:b w:val="false"/>
          <w:sz w:val="20"/>
          <w:szCs w:val="20"/>
          <w:lang w:val="pt-BR"/>
        </w:rPr>
      </w:pPr>
      <w:r>
        <w:rPr>
          <w:sz w:val="20"/>
          <w:szCs w:val="20"/>
        </w:rPr>
        <w:t>9.2.4.</w:t>
      </w:r>
      <w:r>
        <w:rPr>
          <w:b w:val="false"/>
          <w:sz w:val="20"/>
          <w:szCs w:val="20"/>
        </w:rPr>
        <w:t xml:space="preserve"> Suspensão temporária da participação nas COLETAS ELETRÔNICAS DE PREÇOS, com o descredenciamento no Cadastro </w:t>
      </w:r>
      <w:r>
        <w:rPr>
          <w:b w:val="false"/>
          <w:sz w:val="20"/>
          <w:szCs w:val="20"/>
          <w:lang w:val="pt-BR"/>
        </w:rPr>
        <w:t xml:space="preserve">do  </w:t>
      </w:r>
      <w:hyperlink r:id="rId7">
        <w:r>
          <w:rPr>
            <w:rStyle w:val="Style"/>
            <w:b w:val="false"/>
            <w:bCs w:val="false"/>
            <w:color w:val="0000FF"/>
            <w:sz w:val="20"/>
            <w:szCs w:val="20"/>
            <w:u w:val="single"/>
            <w:lang w:val="pt-BR"/>
          </w:rPr>
          <w:t>https://bnccompras.com</w:t>
        </w:r>
      </w:hyperlink>
      <w:r>
        <w:rPr>
          <w:b w:val="false"/>
          <w:sz w:val="20"/>
          <w:szCs w:val="20"/>
          <w:lang w:val="pt-BR"/>
        </w:rPr>
        <w:t>.</w:t>
      </w:r>
    </w:p>
    <w:p>
      <w:pPr>
        <w:pStyle w:val="Normal"/>
        <w:numPr>
          <w:ilvl w:val="0"/>
          <w:numId w:val="4"/>
        </w:numPr>
        <w:ind w:firstLine="284" w:left="0" w:right="-1"/>
        <w:jc w:val="both"/>
        <w:rPr>
          <w:rFonts w:ascii="Arial" w:hAnsi="Arial" w:cs="Arial"/>
          <w:b/>
          <w:bCs/>
        </w:rPr>
      </w:pPr>
      <w:r>
        <w:rPr>
          <w:rFonts w:cs="Arial" w:ascii="Arial" w:hAnsi="Arial"/>
          <w:b/>
          <w:bCs/>
        </w:rPr>
      </w:r>
    </w:p>
    <w:p>
      <w:pPr>
        <w:pStyle w:val="Normal"/>
        <w:numPr>
          <w:ilvl w:val="0"/>
          <w:numId w:val="4"/>
        </w:numPr>
        <w:ind w:firstLine="284" w:left="0" w:right="-1"/>
        <w:jc w:val="both"/>
        <w:rPr>
          <w:rFonts w:ascii="Arial" w:hAnsi="Arial" w:cs="Arial"/>
          <w:b/>
          <w:bCs/>
        </w:rPr>
      </w:pPr>
      <w:r>
        <w:rPr>
          <w:rFonts w:cs="Arial" w:ascii="Arial" w:hAnsi="Arial"/>
          <w:b/>
          <w:bCs/>
        </w:rPr>
        <w:t>9.3. A aplicação das sanções previstas neste edital não exclui, em hipótese alguma, a obrigação de reparação integral dos danos causados.</w:t>
      </w:r>
    </w:p>
    <w:p>
      <w:pPr>
        <w:pStyle w:val="Normal"/>
        <w:numPr>
          <w:ilvl w:val="0"/>
          <w:numId w:val="4"/>
        </w:numPr>
        <w:ind w:firstLine="284" w:left="0"/>
        <w:jc w:val="both"/>
        <w:rPr>
          <w:rFonts w:ascii="Arial" w:hAnsi="Arial" w:cs="Arial"/>
        </w:rPr>
      </w:pPr>
      <w:r>
        <w:rPr>
          <w:rFonts w:cs="Arial" w:ascii="Arial" w:hAnsi="Arial"/>
        </w:rPr>
      </w:r>
      <w:r>
        <w:br w:type="page"/>
      </w:r>
    </w:p>
    <w:p>
      <w:pPr>
        <w:pStyle w:val="BodyTextIndent"/>
        <w:widowControl w:val="false"/>
        <w:spacing w:lineRule="auto" w:line="240" w:before="0" w:after="0"/>
        <w:jc w:val="center"/>
        <w:textAlignment w:val="auto"/>
        <w:rPr>
          <w:b/>
          <w:bCs/>
          <w:color w:val="auto"/>
          <w:sz w:val="20"/>
          <w:szCs w:val="20"/>
          <w:lang w:val="pt-BR"/>
        </w:rPr>
      </w:pPr>
      <w:r>
        <w:rPr>
          <w:b/>
          <w:bCs/>
          <w:color w:val="auto"/>
          <w:sz w:val="20"/>
          <w:szCs w:val="20"/>
        </w:rPr>
        <w:t>ANEXO I</w:t>
      </w:r>
    </w:p>
    <w:p>
      <w:pPr>
        <w:pStyle w:val="Normal"/>
        <w:jc w:val="center"/>
        <w:rPr>
          <w:rFonts w:ascii="Arial" w:hAnsi="Arial" w:cs="Arial"/>
          <w:b/>
          <w:bCs/>
        </w:rPr>
      </w:pPr>
      <w:r>
        <w:rPr>
          <w:rFonts w:cs="Arial" w:ascii="Arial" w:hAnsi="Arial"/>
          <w:b/>
          <w:bCs/>
        </w:rPr>
      </w:r>
    </w:p>
    <w:p>
      <w:pPr>
        <w:pStyle w:val="Normal"/>
        <w:jc w:val="center"/>
        <w:rPr>
          <w:rFonts w:ascii="Arial" w:hAnsi="Arial" w:cs="Arial"/>
        </w:rPr>
      </w:pPr>
      <w:r>
        <w:rPr>
          <w:rFonts w:cs="Arial" w:ascii="Arial" w:hAnsi="Arial"/>
        </w:rPr>
      </w:r>
    </w:p>
    <w:p>
      <w:pPr>
        <w:pStyle w:val="Normal"/>
        <w:jc w:val="center"/>
        <w:rPr>
          <w:rFonts w:ascii="Arial" w:hAnsi="Arial" w:cs="Arial"/>
          <w:b/>
        </w:rPr>
      </w:pPr>
      <w:r>
        <w:rPr>
          <w:rFonts w:cs="Arial" w:ascii="Arial" w:hAnsi="Arial"/>
          <w:b/>
        </w:rPr>
        <w:t>MODELO DE DECLARAÇÕES DIVERSAS**</w:t>
      </w:r>
    </w:p>
    <w:p>
      <w:pPr>
        <w:pStyle w:val="Normal"/>
        <w:jc w:val="center"/>
        <w:rPr>
          <w:rFonts w:ascii="Arial" w:hAnsi="Arial" w:cs="Arial"/>
        </w:rPr>
      </w:pPr>
      <w:r>
        <w:rPr>
          <w:rFonts w:cs="Arial" w:ascii="Arial" w:hAnsi="Arial"/>
        </w:rPr>
        <w:t>(em papel timbrado da licitante)</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da Dispensa Eletrônica nº _____/_____, Processo n° ____/___:</w:t>
      </w:r>
    </w:p>
    <w:p>
      <w:pPr>
        <w:pStyle w:val="Normal"/>
        <w:ind w:firstLine="561"/>
        <w:jc w:val="both"/>
        <w:rPr>
          <w:rFonts w:ascii="Arial" w:hAnsi="Arial" w:cs="Arial"/>
        </w:rPr>
      </w:pPr>
      <w:r>
        <w:rPr>
          <w:rFonts w:cs="Arial" w:ascii="Arial" w:hAnsi="Arial"/>
        </w:rPr>
      </w:r>
    </w:p>
    <w:p>
      <w:pPr>
        <w:pStyle w:val="Normal"/>
        <w:numPr>
          <w:ilvl w:val="0"/>
          <w:numId w:val="5"/>
        </w:numPr>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5"/>
        </w:numPr>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5"/>
        </w:numPr>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5"/>
        </w:numPr>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5"/>
        </w:numPr>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5"/>
        </w:numPr>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5"/>
        </w:numPr>
        <w:tabs>
          <w:tab w:val="clear" w:pos="709"/>
          <w:tab w:val="left" w:pos="284" w:leader="none"/>
        </w:tabs>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ind w:left="720"/>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r>
        <w:br w:type="page"/>
      </w:r>
    </w:p>
    <w:p>
      <w:pPr>
        <w:pStyle w:val="BodyTextIndent"/>
        <w:widowControl w:val="false"/>
        <w:spacing w:lineRule="auto" w:line="240" w:before="0" w:after="0"/>
        <w:jc w:val="center"/>
        <w:textAlignment w:val="auto"/>
        <w:rPr>
          <w:b/>
          <w:bCs/>
          <w:color w:val="auto"/>
          <w:sz w:val="20"/>
          <w:szCs w:val="20"/>
          <w:lang w:val="pt-BR"/>
        </w:rPr>
      </w:pPr>
      <w:r>
        <w:rPr>
          <w:b/>
          <w:bCs/>
          <w:color w:val="auto"/>
          <w:sz w:val="20"/>
          <w:szCs w:val="20"/>
        </w:rPr>
        <w:t>ANEXO II</w:t>
      </w:r>
    </w:p>
    <w:p>
      <w:pPr>
        <w:pStyle w:val="Normal"/>
        <w:ind w:firstLine="561"/>
        <w:jc w:val="center"/>
        <w:rPr>
          <w:rFonts w:ascii="Arial" w:hAnsi="Arial" w:cs="Arial"/>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jc w:val="both"/>
        <w:rPr>
          <w:rFonts w:ascii="Arial" w:hAnsi="Arial" w:cs="Arial"/>
          <w:b/>
          <w:bCs/>
          <w:lang w:eastAsia="pt-BR"/>
        </w:rPr>
      </w:pPr>
      <w:r>
        <w:rPr>
          <w:rFonts w:cs="Arial" w:ascii="Arial" w:hAnsi="Arial"/>
          <w:lang w:eastAsia="pt-BR"/>
        </w:rPr>
        <w:t xml:space="preserve">Eu, ___________________________________, portador do RG nº </w:t>
      </w:r>
      <w:r>
        <w:rPr>
          <w:rFonts w:cs="Arial" w:ascii="Arial" w:hAnsi="Arial"/>
          <w:bCs/>
          <w:lang w:eastAsia="pt-BR"/>
        </w:rPr>
        <w:t>___________________</w:t>
      </w:r>
      <w:r>
        <w:rPr>
          <w:rFonts w:cs="Arial" w:ascii="Arial" w:hAnsi="Arial"/>
          <w:b/>
          <w:bCs/>
          <w:lang w:eastAsia="pt-BR"/>
        </w:rPr>
        <w:t xml:space="preserve"> </w:t>
      </w:r>
    </w:p>
    <w:p>
      <w:pPr>
        <w:pStyle w:val="Normal"/>
        <w:suppressAutoHyphens w:val="false"/>
        <w:jc w:val="both"/>
        <w:rPr>
          <w:rFonts w:ascii="Arial" w:hAnsi="Arial" w:cs="Arial"/>
          <w:lang w:eastAsia="pt-BR"/>
        </w:rPr>
      </w:pPr>
      <w:r>
        <w:rPr>
          <w:rFonts w:cs="Arial" w:ascii="Arial" w:hAnsi="Arial"/>
          <w:lang w:eastAsia="pt-BR"/>
        </w:rPr>
        <w:t xml:space="preserve">e do CPF nº </w:t>
      </w:r>
      <w:r>
        <w:rPr>
          <w:rFonts w:cs="Arial" w:ascii="Arial" w:hAnsi="Arial"/>
          <w:bCs/>
          <w:lang w:eastAsia="pt-BR"/>
        </w:rPr>
        <w:t>_____________</w:t>
      </w:r>
      <w:r>
        <w:rPr>
          <w:rFonts w:cs="Arial" w:ascii="Arial" w:hAnsi="Arial"/>
          <w:lang w:eastAsia="pt-BR"/>
        </w:rPr>
        <w:t>, representante legal do licitante _______________________ (</w:t>
      </w:r>
      <w:r>
        <w:rPr>
          <w:rFonts w:cs="Arial" w:ascii="Arial" w:hAnsi="Arial"/>
          <w:i/>
          <w:iCs/>
          <w:lang w:eastAsia="pt-BR"/>
        </w:rPr>
        <w:t>nome empresarial</w:t>
      </w:r>
      <w:r>
        <w:rPr>
          <w:rFonts w:cs="Arial" w:ascii="Arial" w:hAnsi="Arial"/>
          <w:lang w:eastAsia="pt-BR"/>
        </w:rPr>
        <w:t xml:space="preserve">), participante da Dispensa Eletrônica nº ___/___, Processo n° 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b) a intenção de apresentar a proposta não foi informada ou discutida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c) o licitante não tentou, por qualquer meio ou por qualquer pessoa, influir na decisão de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jc w:val="both"/>
        <w:rPr>
          <w:rFonts w:ascii="Arial" w:hAnsi="Arial" w:cs="Arial"/>
        </w:rPr>
      </w:pPr>
      <w:r>
        <w:rPr>
          <w:rFonts w:cs="Arial" w:ascii="Arial" w:hAnsi="Arial"/>
          <w:lang w:eastAsia="pt-BR"/>
        </w:rPr>
        <w:t xml:space="preserve">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suppressAutoHyphens w:val="false"/>
        <w:jc w:val="both"/>
        <w:rPr>
          <w:rFonts w:ascii="Arial" w:hAnsi="Arial" w:cs="Arial"/>
          <w:lang w:eastAsia="pt-BR"/>
        </w:rPr>
      </w:pPr>
      <w:r>
        <w:rPr>
          <w:rFonts w:cs="Arial" w:ascii="Arial" w:hAnsi="Arial"/>
          <w:lang w:eastAsia="pt-BR"/>
        </w:rPr>
        <w:t xml:space="preserve">f) o representante legal do licitante está plenamente ciente do teor e da extensão desta declaração e que detém plenos poderes e informações para firmá-la.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I – prometer, oferecer ou dar, direta ou indiretamente, vantagem indevida a agente público, ou a terceira pessoa a ele relacionada; </w:t>
      </w:r>
    </w:p>
    <w:p>
      <w:pPr>
        <w:pStyle w:val="Normal"/>
        <w:suppressAutoHyphens w:val="false"/>
        <w:jc w:val="both"/>
        <w:rPr>
          <w:rFonts w:ascii="Arial" w:hAnsi="Arial" w:cs="Arial"/>
          <w:lang w:eastAsia="pt-BR"/>
        </w:rPr>
      </w:pPr>
      <w:r>
        <w:rPr>
          <w:rFonts w:cs="Arial" w:ascii="Arial" w:hAnsi="Arial"/>
          <w:lang w:eastAsia="pt-BR"/>
        </w:rPr>
        <w:t xml:space="preserve">II – comprovadamente, financiar, custear, patrocinar ou de qualquer modo subvencionar a prática dos atos ilícitos previstos em Lei; </w:t>
      </w:r>
    </w:p>
    <w:p>
      <w:pPr>
        <w:pStyle w:val="Normal"/>
        <w:suppressAutoHyphens w:val="false"/>
        <w:jc w:val="both"/>
        <w:rPr>
          <w:rFonts w:ascii="Arial" w:hAnsi="Arial" w:cs="Arial"/>
          <w:lang w:eastAsia="pt-BR"/>
        </w:rPr>
      </w:pPr>
      <w:r>
        <w:rPr>
          <w:rFonts w:cs="Arial" w:ascii="Arial" w:hAnsi="Arial"/>
          <w:lang w:eastAsia="pt-BR"/>
        </w:rPr>
        <w:t xml:space="preserve">III – comprovadamente, utilizar-se de interposta pessoa física ou jurídica para ocultar ou dissimular seus reais interesses ou a identidade dos beneficiários dos atos praticados; </w:t>
      </w:r>
    </w:p>
    <w:p>
      <w:pPr>
        <w:pStyle w:val="Normal"/>
        <w:suppressAutoHyphens w:val="false"/>
        <w:jc w:val="both"/>
        <w:rPr>
          <w:rFonts w:ascii="Arial" w:hAnsi="Arial" w:cs="Arial"/>
          <w:lang w:eastAsia="pt-BR"/>
        </w:rPr>
      </w:pPr>
      <w:r>
        <w:rPr>
          <w:rFonts w:cs="Arial" w:ascii="Arial" w:hAnsi="Arial"/>
          <w:lang w:eastAsia="pt-BR"/>
        </w:rPr>
        <w:t xml:space="preserve">IV – no tocante a licitações e contratos: </w:t>
      </w:r>
    </w:p>
    <w:p>
      <w:pPr>
        <w:pStyle w:val="Normal"/>
        <w:suppressAutoHyphens w:val="false"/>
        <w:jc w:val="both"/>
        <w:rPr>
          <w:rFonts w:ascii="Arial" w:hAnsi="Arial" w:cs="Arial"/>
          <w:lang w:eastAsia="pt-BR"/>
        </w:rPr>
      </w:pPr>
      <w:r>
        <w:rPr>
          <w:rFonts w:cs="Arial" w:ascii="Arial" w:hAnsi="Arial"/>
          <w:lang w:eastAsia="pt-BR"/>
        </w:rPr>
        <w:t xml:space="preserve">a) frustrar ou fraudar, mediante ajuste, combinação ou qualquer outro expediente, o caráter competitivo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b) impedir, perturbar ou fraudar a realização de qualquer ato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c) afastar ou procurar afastar licitante, por meio de fraude ou oferecimento de vantagem de qualquer tipo; </w:t>
      </w:r>
    </w:p>
    <w:p>
      <w:pPr>
        <w:pStyle w:val="Normal"/>
        <w:suppressAutoHyphens w:val="false"/>
        <w:jc w:val="both"/>
        <w:rPr>
          <w:rFonts w:ascii="Arial" w:hAnsi="Arial" w:cs="Arial"/>
          <w:lang w:eastAsia="pt-BR"/>
        </w:rPr>
      </w:pPr>
      <w:r>
        <w:rPr>
          <w:rFonts w:cs="Arial" w:ascii="Arial" w:hAnsi="Arial"/>
          <w:lang w:eastAsia="pt-BR"/>
        </w:rPr>
        <w:t xml:space="preserve">d) fraudar licitação pública ou contrato dela decorrente; </w:t>
      </w:r>
    </w:p>
    <w:p>
      <w:pPr>
        <w:pStyle w:val="Normal"/>
        <w:suppressAutoHyphens w:val="false"/>
        <w:jc w:val="both"/>
        <w:rPr>
          <w:rFonts w:ascii="Arial" w:hAnsi="Arial" w:cs="Arial"/>
          <w:lang w:eastAsia="pt-BR"/>
        </w:rPr>
      </w:pPr>
      <w:r>
        <w:rPr>
          <w:rFonts w:cs="Arial" w:ascii="Arial" w:hAnsi="Arial"/>
          <w:lang w:eastAsia="pt-BR"/>
        </w:rPr>
        <w:t xml:space="preserve">e) criar, de modo fraudulento ou irregular, pessoa jurídica para participar de licitação pública ou celebrar contrato administrativo; </w:t>
      </w:r>
    </w:p>
    <w:p>
      <w:pPr>
        <w:pStyle w:val="Normal"/>
        <w:suppressAutoHyphens w:val="false"/>
        <w:jc w:val="both"/>
        <w:rPr>
          <w:rFonts w:ascii="Arial" w:hAnsi="Arial" w:cs="Arial"/>
          <w:lang w:eastAsia="pt-BR"/>
        </w:rPr>
      </w:pPr>
      <w:r>
        <w:rPr>
          <w:rFonts w:cs="Arial" w:ascii="Arial" w:hAnsi="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jc w:val="both"/>
        <w:rPr>
          <w:rFonts w:ascii="Arial" w:hAnsi="Arial" w:cs="Arial"/>
          <w:lang w:eastAsia="pt-BR"/>
        </w:rPr>
      </w:pPr>
      <w:r>
        <w:rPr>
          <w:rFonts w:cs="Arial" w:ascii="Arial" w:hAnsi="Arial"/>
          <w:lang w:eastAsia="pt-BR"/>
        </w:rPr>
        <w:t xml:space="preserve">g) manipular ou fraudar o equilíbrio econômico-financeiro dos contratos celebrados com a administração pública; </w:t>
      </w:r>
    </w:p>
    <w:p>
      <w:pPr>
        <w:pStyle w:val="Normal"/>
        <w:suppressAutoHyphens w:val="false"/>
        <w:jc w:val="both"/>
        <w:rPr>
          <w:rFonts w:ascii="Arial" w:hAnsi="Arial" w:cs="Arial"/>
          <w:lang w:eastAsia="pt-BR"/>
        </w:rPr>
      </w:pPr>
      <w:r>
        <w:rPr>
          <w:rFonts w:cs="Arial" w:ascii="Arial" w:hAnsi="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r>
        <w:br w:type="page"/>
      </w:r>
    </w:p>
    <w:p>
      <w:pPr>
        <w:pStyle w:val="BodyTextIndent"/>
        <w:widowControl w:val="false"/>
        <w:spacing w:lineRule="auto" w:line="240" w:before="0" w:after="0"/>
        <w:jc w:val="center"/>
        <w:rPr>
          <w:b/>
          <w:bCs/>
          <w:color w:val="auto"/>
          <w:sz w:val="20"/>
          <w:szCs w:val="20"/>
          <w:lang w:val="pt-BR"/>
        </w:rPr>
      </w:pPr>
      <w:r>
        <w:rPr>
          <w:b/>
          <w:color w:val="auto"/>
          <w:sz w:val="20"/>
          <w:szCs w:val="20"/>
        </w:rPr>
        <w:t>ANEXO I</w:t>
      </w:r>
      <w:r>
        <w:rPr>
          <w:b/>
          <w:color w:val="auto"/>
          <w:sz w:val="20"/>
          <w:szCs w:val="20"/>
          <w:lang w:val="pt-BR"/>
        </w:rPr>
        <w:t>II</w:t>
      </w:r>
    </w:p>
    <w:p>
      <w:pPr>
        <w:pStyle w:val="Normal"/>
        <w:jc w:val="center"/>
        <w:rPr>
          <w:rFonts w:ascii="Arial" w:hAnsi="Arial" w:cs="Arial"/>
          <w:b/>
          <w:bCs/>
        </w:rPr>
      </w:pPr>
      <w:r>
        <w:rPr>
          <w:rFonts w:cs="Arial" w:ascii="Arial" w:hAnsi="Arial"/>
        </w:rPr>
        <w:t>====================================================================================</w:t>
      </w:r>
    </w:p>
    <w:p>
      <w:pPr>
        <w:pStyle w:val="Normal"/>
        <w:jc w:val="center"/>
        <w:rPr>
          <w:rFonts w:ascii="Arial" w:hAnsi="Arial" w:cs="Arial"/>
          <w:b/>
          <w:bCs/>
        </w:rPr>
      </w:pPr>
      <w:r>
        <w:rPr>
          <w:rFonts w:cs="Arial" w:ascii="Arial" w:hAnsi="Arial"/>
          <w:b/>
          <w:bCs/>
        </w:rPr>
        <w:t xml:space="preserve">DECLARAÇÃO DE ENQUADRAMENTO COMO MICROEMPRESA (ME) </w:t>
      </w:r>
    </w:p>
    <w:p>
      <w:pPr>
        <w:pStyle w:val="Normal"/>
        <w:jc w:val="center"/>
        <w:rPr>
          <w:rFonts w:ascii="Arial" w:hAnsi="Arial" w:cs="Arial"/>
        </w:rPr>
      </w:pPr>
      <w:r>
        <w:rPr>
          <w:rFonts w:cs="Arial" w:ascii="Arial" w:hAnsi="Arial"/>
          <w:b/>
          <w:bCs/>
        </w:rPr>
        <w:t>OU EMPRESA DE PEQUENO PORTE (EPP)</w:t>
      </w:r>
    </w:p>
    <w:p>
      <w:pPr>
        <w:pStyle w:val="Normal"/>
        <w:jc w:val="center"/>
        <w:rPr>
          <w:rFonts w:ascii="Arial" w:hAnsi="Arial" w:cs="Arial"/>
          <w:b/>
          <w:bCs/>
        </w:rPr>
      </w:pPr>
      <w:r>
        <w:rPr>
          <w:rFonts w:cs="Arial" w:ascii="Arial" w:hAnsi="Arial"/>
        </w:rPr>
        <w:t>====================================================================================</w:t>
      </w:r>
    </w:p>
    <w:p>
      <w:pPr>
        <w:pStyle w:val="BodyTextIndent"/>
        <w:widowControl w:val="false"/>
        <w:spacing w:lineRule="auto" w:line="240"/>
        <w:rPr>
          <w:color w:val="auto"/>
          <w:sz w:val="20"/>
          <w:szCs w:val="20"/>
        </w:rPr>
      </w:pPr>
      <w:r>
        <w:rPr>
          <w:color w:val="auto"/>
          <w:sz w:val="20"/>
          <w:szCs w:val="20"/>
        </w:rPr>
      </w:r>
    </w:p>
    <w:p>
      <w:pPr>
        <w:pStyle w:val="BodyTextIndent"/>
        <w:widowControl w:val="false"/>
        <w:spacing w:lineRule="auto" w:line="240"/>
        <w:rPr>
          <w:color w:val="auto"/>
          <w:sz w:val="20"/>
          <w:szCs w:val="20"/>
        </w:rPr>
      </w:pPr>
      <w:r>
        <w:rPr>
          <w:color w:val="auto"/>
          <w:sz w:val="20"/>
          <w:szCs w:val="20"/>
        </w:rPr>
      </w:r>
    </w:p>
    <w:p>
      <w:pPr>
        <w:pStyle w:val="BodyTextIndent"/>
        <w:widowControl w:val="false"/>
        <w:spacing w:lineRule="auto" w:line="240"/>
        <w:rPr>
          <w:color w:val="auto"/>
          <w:sz w:val="20"/>
          <w:szCs w:val="20"/>
        </w:rPr>
      </w:pPr>
      <w:r>
        <w:rPr>
          <w:color w:val="auto"/>
          <w:sz w:val="20"/>
          <w:szCs w:val="20"/>
        </w:rPr>
      </w:r>
    </w:p>
    <w:p>
      <w:pPr>
        <w:pStyle w:val="BodyTextIndent"/>
        <w:widowControl w:val="false"/>
        <w:spacing w:lineRule="auto" w:line="240"/>
        <w:rPr>
          <w:color w:val="auto"/>
          <w:sz w:val="20"/>
          <w:szCs w:val="20"/>
        </w:rPr>
      </w:pPr>
      <w:r>
        <w:rPr>
          <w:color w:val="auto"/>
          <w:sz w:val="20"/>
          <w:szCs w:val="20"/>
        </w:rPr>
      </w:r>
    </w:p>
    <w:p>
      <w:pPr>
        <w:pStyle w:val="BodyTextIndent"/>
        <w:widowControl w:val="false"/>
        <w:spacing w:lineRule="auto" w:line="240"/>
        <w:rPr>
          <w:color w:val="auto"/>
          <w:sz w:val="20"/>
          <w:szCs w:val="20"/>
        </w:rPr>
      </w:pPr>
      <w:r>
        <w:rPr>
          <w:color w:val="auto"/>
          <w:sz w:val="20"/>
          <w:szCs w:val="20"/>
        </w:rPr>
      </w:r>
    </w:p>
    <w:p>
      <w:pPr>
        <w:pStyle w:val="BodyTextIndent"/>
        <w:widowControl w:val="false"/>
        <w:spacing w:lineRule="auto" w:line="240"/>
        <w:textAlignment w:val="auto"/>
        <w:rPr>
          <w:color w:val="auto"/>
          <w:sz w:val="20"/>
          <w:szCs w:val="20"/>
        </w:rPr>
      </w:pPr>
      <w:r>
        <w:rPr>
          <w:color w:val="auto"/>
          <w:sz w:val="20"/>
          <w:szCs w:val="20"/>
        </w:rPr>
      </w:r>
    </w:p>
    <w:p>
      <w:pPr>
        <w:pStyle w:val="BodyTextIndent"/>
        <w:rPr>
          <w:color w:val="auto"/>
          <w:sz w:val="20"/>
          <w:szCs w:val="20"/>
        </w:rPr>
      </w:pPr>
      <w:r>
        <w:rPr>
          <w:color w:val="auto"/>
          <w:sz w:val="20"/>
          <w:szCs w:val="20"/>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w:t>
      </w:r>
      <w:r>
        <w:rPr>
          <w:rFonts w:cs="Arial" w:ascii="Arial" w:hAnsi="Arial"/>
          <w:b/>
        </w:rPr>
        <w:t xml:space="preserve"> </w:t>
      </w:r>
      <w:r>
        <w:rPr>
          <w:rFonts w:cs="Arial" w:ascii="Arial" w:hAnsi="Arial"/>
        </w:rPr>
        <w:t>estando ciente da penalidades previstas no subitem 12.2.1. “c” do edital no caso de declaração falsa, independente do processo judicial cabível.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jc w:val="center"/>
        <w:rPr>
          <w:rFonts w:ascii="Arial" w:hAnsi="Arial" w:cs="Arial"/>
        </w:rPr>
      </w:pPr>
      <w:r>
        <w:rPr>
          <w:rFonts w:cs="Arial" w:ascii="Arial" w:hAnsi="Arial"/>
        </w:rPr>
      </w:r>
    </w:p>
    <w:p>
      <w:pPr>
        <w:pStyle w:val="Normal"/>
        <w:rPr>
          <w:rFonts w:ascii="Arial" w:hAnsi="Arial" w:cs="Arial"/>
        </w:rPr>
      </w:pPr>
      <w:r>
        <w:rPr>
          <w:rFonts w:cs="Arial" w:ascii="Arial" w:hAnsi="Arial"/>
        </w:rPr>
      </w:r>
      <w:r>
        <w:br w:type="page"/>
      </w:r>
    </w:p>
    <w:p>
      <w:pPr>
        <w:pStyle w:val="BodyTextIndent"/>
        <w:widowControl w:val="false"/>
        <w:tabs>
          <w:tab w:val="clear" w:pos="709"/>
          <w:tab w:val="left" w:pos="284" w:leader="none"/>
        </w:tabs>
        <w:spacing w:lineRule="auto" w:line="240" w:before="0" w:after="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sz w:val="20"/>
        </w:rPr>
      </w:pPr>
      <w:r>
        <w:rPr>
          <w:b w:val="false"/>
          <w:sz w:val="20"/>
        </w:rPr>
        <w:t>Telefone:</w:t>
      </w:r>
    </w:p>
    <w:p>
      <w:pPr>
        <w:pStyle w:val="Corpodetexto21"/>
        <w:tabs>
          <w:tab w:val="clear" w:pos="709"/>
          <w:tab w:val="left" w:pos="284" w:leader="none"/>
        </w:tabs>
        <w:rPr>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15"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8"/>
        <w:gridCol w:w="847"/>
        <w:gridCol w:w="850"/>
        <w:gridCol w:w="4533"/>
        <w:gridCol w:w="1416"/>
        <w:gridCol w:w="1700"/>
      </w:tblGrid>
      <w:tr>
        <w:trPr>
          <w:trHeight w:val="283" w:hRule="atLeast"/>
        </w:trPr>
        <w:tc>
          <w:tcPr>
            <w:tcW w:w="568"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rPr>
                <w:rFonts w:cs="Arial"/>
                <w:b/>
              </w:rPr>
            </w:pPr>
            <w:r>
              <w:rPr>
                <w:rFonts w:cs="Arial"/>
                <w:b/>
              </w:rPr>
              <w:t>Item</w:t>
            </w:r>
          </w:p>
        </w:tc>
        <w:tc>
          <w:tcPr>
            <w:tcW w:w="847"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rPr>
                <w:rFonts w:cs="Arial"/>
                <w:b/>
              </w:rPr>
            </w:pPr>
            <w:r>
              <w:rPr>
                <w:rFonts w:cs="Arial"/>
                <w:b/>
              </w:rPr>
              <w:t>Quant.</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rPr>
                <w:rFonts w:cs="Arial"/>
                <w:b/>
              </w:rPr>
            </w:pPr>
            <w:r>
              <w:rPr>
                <w:rFonts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rPr>
                <w:rFonts w:cs="Arial"/>
              </w:rPr>
            </w:pPr>
            <w:r>
              <w:rPr>
                <w:rFonts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rPr>
                <w:rFonts w:cs="Arial"/>
                <w:b/>
              </w:rPr>
            </w:pPr>
            <w:r>
              <w:rPr>
                <w:rFonts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rPr>
                <w:rFonts w:cs="Arial"/>
                <w:b/>
              </w:rPr>
            </w:pPr>
            <w:r>
              <w:rPr>
                <w:rFonts w:cs="Arial"/>
                <w:b/>
              </w:rPr>
              <w:t>Valor Total</w:t>
            </w:r>
          </w:p>
        </w:tc>
      </w:tr>
      <w:tr>
        <w:trPr>
          <w:trHeight w:val="283" w:hRule="atLeast"/>
        </w:trPr>
        <w:tc>
          <w:tcPr>
            <w:tcW w:w="568"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47"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50"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8"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47"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50"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color w:val="auto"/>
        </w:rPr>
      </w:pPr>
      <w:r>
        <w:rPr>
          <w:color w:val="auto"/>
        </w:rPr>
        <w:t>Nº Conta Corrente</w:t>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rFonts w:ascii="Arial" w:hAnsi="Arial" w:cs="Arial"/>
        </w:rPr>
      </w:pPr>
      <w:r>
        <w:rPr>
          <w:rFonts w:cs="Arial" w:ascii="Arial" w:hAnsi="Arial"/>
        </w:rPr>
      </w:r>
    </w:p>
    <w:p>
      <w:pPr>
        <w:pStyle w:val="Normal"/>
        <w:rPr/>
      </w:pPr>
      <w:r>
        <w:rPr/>
      </w:r>
    </w:p>
    <w:p>
      <w:pPr>
        <w:pStyle w:val="Normal"/>
        <w:rPr/>
      </w:pPr>
      <w:r>
        <w:rPr/>
      </w:r>
    </w:p>
    <w:sectPr>
      <w:headerReference w:type="even" r:id="rId8"/>
      <w:headerReference w:type="default" r:id="rId9"/>
      <w:headerReference w:type="first" r:id="rId10"/>
      <w:footerReference w:type="even" r:id="rId11"/>
      <w:footerReference w:type="default" r:id="rId12"/>
      <w:footerReference w:type="first" r:id="rId13"/>
      <w:type w:val="nextPage"/>
      <w:pgSz w:w="11906" w:h="16838"/>
      <w:pgMar w:left="1134" w:right="851" w:gutter="0" w:header="283" w:top="1418" w:footer="284" w:bottom="567"/>
      <w:pgNumType w:fmt="decimal"/>
      <w:formProt w:val="false"/>
      <w:textDirection w:val="lrTb"/>
      <w:docGrid w:type="default" w:linePitch="600" w:charSpace="5734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swiss"/>
    <w:pitch w:val="variable"/>
  </w:font>
  <w:font w:name="Liberation Sans">
    <w:altName w:val="Arial"/>
    <w:charset w:val="00"/>
    <w:family w:val="swiss"/>
    <w:pitch w:val="variable"/>
  </w:font>
  <w:font w:name="Tahoma">
    <w:charset w:val="00"/>
    <w:family w:val="swiss"/>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rPr>
        <w:rFonts w:ascii="Arial" w:hAnsi="Arial" w:cs="Arial"/>
        <w:sz w:val="6"/>
        <w:szCs w:val="6"/>
      </w:rPr>
    </w:pPr>
    <w:r>
      <w:rPr>
        <w:rFonts w:cs="Arial" w:ascii="Arial" w:hAnsi="Arial"/>
        <w:sz w:val="6"/>
        <w:szCs w:val="6"/>
      </w:rPr>
    </w:r>
  </w:p>
  <w:p>
    <w:pPr>
      <w:pStyle w:val="Contedodoquadro"/>
      <w:jc w:val="center"/>
      <w:rPr>
        <w:rFonts w:ascii="Arial" w:hAnsi="Arial" w:cs="Arial"/>
        <w:b/>
        <w:sz w:val="16"/>
      </w:rPr>
    </w:pPr>
    <w:r>
      <w:rPr>
        <w:color w:val="000000"/>
        <w:sz w:val="16"/>
      </w:rPr>
      <w:t xml:space="preserve">Dispensa Eletrônica nº 27/2025 </w:t>
    </w:r>
    <w:r>
      <w:rPr>
        <w:color w:val="000000"/>
        <w:sz w:val="16"/>
      </w:rPr>
      <w:t>PR</w:t>
    </w:r>
    <w:r>
      <w:rPr>
        <w:color w:val="000000"/>
        <w:sz w:val="16"/>
      </w:rPr>
      <w:t xml:space="preserve"> - Página </w:t>
    </w:r>
    <w:r>
      <w:rPr>
        <w:b/>
        <w:color w:val="000000"/>
        <w:sz w:val="16"/>
      </w:rPr>
      <w:fldChar w:fldCharType="begin"/>
    </w:r>
    <w:r>
      <w:rPr>
        <w:sz w:val="16"/>
        <w:b/>
        <w:color w:val="000000"/>
      </w:rPr>
      <w:instrText xml:space="preserve"> PAGE </w:instrText>
    </w:r>
    <w:r>
      <w:rPr>
        <w:sz w:val="16"/>
        <w:b/>
        <w:color w:val="000000"/>
      </w:rPr>
      <w:fldChar w:fldCharType="separate"/>
    </w:r>
    <w:r>
      <w:rPr>
        <w:sz w:val="16"/>
        <w:b/>
        <w:color w:val="000000"/>
      </w:rPr>
      <w:t>11</w:t>
    </w:r>
    <w:r>
      <w:rPr>
        <w:sz w:val="16"/>
        <w:b/>
        <w:color w:val="000000"/>
      </w:rPr>
      <w:fldChar w:fldCharType="end"/>
    </w:r>
    <w:r>
      <w:rPr>
        <w:color w:val="000000"/>
        <w:sz w:val="16"/>
      </w:rPr>
      <w:t xml:space="preserve"> de </w:t>
    </w:r>
    <w:r>
      <w:rPr>
        <w:b/>
        <w:color w:val="000000"/>
        <w:sz w:val="16"/>
      </w:rPr>
      <w:fldChar w:fldCharType="begin"/>
    </w:r>
    <w:r>
      <w:rPr>
        <w:sz w:val="16"/>
        <w:b/>
        <w:color w:val="000000"/>
      </w:rPr>
      <w:instrText xml:space="preserve"> NUMPAGES </w:instrText>
    </w:r>
    <w:r>
      <w:rPr>
        <w:sz w:val="16"/>
        <w:b/>
        <w:color w:val="000000"/>
      </w:rPr>
      <w:fldChar w:fldCharType="separate"/>
    </w:r>
    <w:r>
      <w:rPr>
        <w:sz w:val="16"/>
        <w:b/>
        <w:color w:val="000000"/>
      </w:rPr>
      <w:t>11</w:t>
    </w:r>
    <w:r>
      <w:rPr>
        <w:sz w:val="16"/>
        <w:b/>
        <w:color w:val="000000"/>
      </w:rPr>
      <w:fldChar w:fldCharType="end"/>
    </w:r>
  </w:p>
  <w:p>
    <w:pPr>
      <w:pStyle w:val="Normal"/>
      <w:jc w:val="center"/>
      <w:rPr/>
    </w:pPr>
    <w:r>
      <w:rPr/>
      <w:drawing>
        <wp:inline distT="0" distB="0" distL="0" distR="0">
          <wp:extent cx="6299835" cy="618490"/>
          <wp:effectExtent l="0" t="0" r="0" b="0"/>
          <wp:docPr id="5" name="Imagem 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9" descr=""/>
                  <pic:cNvPicPr>
                    <a:picLocks noChangeAspect="1" noChangeArrowheads="1"/>
                  </pic:cNvPicPr>
                </pic:nvPicPr>
                <pic:blipFill>
                  <a:blip r:embed="rId1"/>
                  <a:stretch>
                    <a:fillRect/>
                  </a:stretch>
                </pic:blipFill>
                <pic:spPr bwMode="auto">
                  <a:xfrm>
                    <a:off x="0" y="0"/>
                    <a:ext cx="6299835" cy="618490"/>
                  </a:xfrm>
                  <a:prstGeom prst="rect">
                    <a:avLst/>
                  </a:prstGeom>
                  <a:noFill/>
                </pic:spPr>
              </pic:pic>
            </a:graphicData>
          </a:graphic>
        </wp:inline>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rPr>
        <w:rFonts w:ascii="Arial" w:hAnsi="Arial" w:cs="Arial"/>
        <w:sz w:val="6"/>
        <w:szCs w:val="6"/>
      </w:rPr>
    </w:pPr>
    <w:r>
      <w:rPr>
        <w:rFonts w:cs="Arial" w:ascii="Arial" w:hAnsi="Arial"/>
        <w:sz w:val="6"/>
        <w:szCs w:val="6"/>
      </w:rPr>
    </w:r>
  </w:p>
  <w:p>
    <w:pPr>
      <w:pStyle w:val="Contedodoquadro"/>
      <w:jc w:val="center"/>
      <w:rPr>
        <w:rFonts w:ascii="Arial" w:hAnsi="Arial" w:cs="Arial"/>
        <w:b/>
        <w:sz w:val="16"/>
      </w:rPr>
    </w:pPr>
    <w:r>
      <w:rPr>
        <w:color w:val="000000"/>
        <w:sz w:val="16"/>
      </w:rPr>
      <w:t xml:space="preserve">Dispensa Eletrônica nº 27/2025 </w:t>
    </w:r>
    <w:r>
      <w:rPr>
        <w:color w:val="000000"/>
        <w:sz w:val="16"/>
      </w:rPr>
      <w:t>PR</w:t>
    </w:r>
    <w:r>
      <w:rPr>
        <w:color w:val="000000"/>
        <w:sz w:val="16"/>
      </w:rPr>
      <w:t xml:space="preserve"> - Página </w:t>
    </w:r>
    <w:r>
      <w:rPr>
        <w:b/>
        <w:color w:val="000000"/>
        <w:sz w:val="16"/>
      </w:rPr>
      <w:fldChar w:fldCharType="begin"/>
    </w:r>
    <w:r>
      <w:rPr>
        <w:sz w:val="16"/>
        <w:b/>
        <w:color w:val="000000"/>
      </w:rPr>
      <w:instrText xml:space="preserve"> PAGE </w:instrText>
    </w:r>
    <w:r>
      <w:rPr>
        <w:sz w:val="16"/>
        <w:b/>
        <w:color w:val="000000"/>
      </w:rPr>
      <w:fldChar w:fldCharType="separate"/>
    </w:r>
    <w:r>
      <w:rPr>
        <w:sz w:val="16"/>
        <w:b/>
        <w:color w:val="000000"/>
      </w:rPr>
      <w:t>11</w:t>
    </w:r>
    <w:r>
      <w:rPr>
        <w:sz w:val="16"/>
        <w:b/>
        <w:color w:val="000000"/>
      </w:rPr>
      <w:fldChar w:fldCharType="end"/>
    </w:r>
    <w:r>
      <w:rPr>
        <w:color w:val="000000"/>
        <w:sz w:val="16"/>
      </w:rPr>
      <w:t xml:space="preserve"> de </w:t>
    </w:r>
    <w:r>
      <w:rPr>
        <w:b/>
        <w:color w:val="000000"/>
        <w:sz w:val="16"/>
      </w:rPr>
      <w:fldChar w:fldCharType="begin"/>
    </w:r>
    <w:r>
      <w:rPr>
        <w:sz w:val="16"/>
        <w:b/>
        <w:color w:val="000000"/>
      </w:rPr>
      <w:instrText xml:space="preserve"> NUMPAGES </w:instrText>
    </w:r>
    <w:r>
      <w:rPr>
        <w:sz w:val="16"/>
        <w:b/>
        <w:color w:val="000000"/>
      </w:rPr>
      <w:fldChar w:fldCharType="separate"/>
    </w:r>
    <w:r>
      <w:rPr>
        <w:sz w:val="16"/>
        <w:b/>
        <w:color w:val="000000"/>
      </w:rPr>
      <w:t>11</w:t>
    </w:r>
    <w:r>
      <w:rPr>
        <w:sz w:val="16"/>
        <w:b/>
        <w:color w:val="000000"/>
      </w:rPr>
      <w:fldChar w:fldCharType="end"/>
    </w:r>
  </w:p>
  <w:p>
    <w:pPr>
      <w:pStyle w:val="Normal"/>
      <w:jc w:val="center"/>
      <w:rPr/>
    </w:pPr>
    <w:r>
      <w:rPr/>
      <w:drawing>
        <wp:inline distT="0" distB="0" distL="0" distR="0">
          <wp:extent cx="6299835" cy="618490"/>
          <wp:effectExtent l="0" t="0" r="0" b="0"/>
          <wp:docPr id="6" name="Imagem 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9" descr=""/>
                  <pic:cNvPicPr>
                    <a:picLocks noChangeAspect="1" noChangeArrowheads="1"/>
                  </pic:cNvPicPr>
                </pic:nvPicPr>
                <pic:blipFill>
                  <a:blip r:embed="rId1"/>
                  <a:stretch>
                    <a:fillRect/>
                  </a:stretch>
                </pic:blipFill>
                <pic:spPr bwMode="auto">
                  <a:xfrm>
                    <a:off x="0" y="0"/>
                    <a:ext cx="6299835" cy="618490"/>
                  </a:xfrm>
                  <a:prstGeom prst="rect">
                    <a:avLst/>
                  </a:prstGeom>
                  <a:noFill/>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sz w:val="12"/>
      </w:rPr>
    </w:pPr>
    <w:r>
      <w:rPr>
        <w:sz w:val="12"/>
      </w:rPr>
      <w:drawing>
        <wp:anchor behindDoc="1" distT="0" distB="0" distL="114300" distR="114300" simplePos="0" locked="0" layoutInCell="0" allowOverlap="1" relativeHeight="23">
          <wp:simplePos x="0" y="0"/>
          <wp:positionH relativeFrom="column">
            <wp:posOffset>-41910</wp:posOffset>
          </wp:positionH>
          <wp:positionV relativeFrom="paragraph">
            <wp:posOffset>-172720</wp:posOffset>
          </wp:positionV>
          <wp:extent cx="1770380" cy="989965"/>
          <wp:effectExtent l="0" t="0" r="0" b="0"/>
          <wp:wrapTopAndBottom/>
          <wp:docPr id="1" name="Imagem 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8" descr=""/>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mc:AlternateContent>
        <mc:Choice Requires="wps">
          <w:drawing>
            <wp:anchor behindDoc="1" distT="0" distB="0" distL="114935" distR="112395" simplePos="0" locked="0" layoutInCell="0" allowOverlap="1" relativeHeight="44" wp14:anchorId="28004848">
              <wp:simplePos x="0" y="0"/>
              <wp:positionH relativeFrom="margin">
                <wp:posOffset>1471295</wp:posOffset>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2" name="Caixa de Texto 3"/>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fillRef idx="0"/>
                      <a:effectRef idx="0"/>
                      <a:fontRef idx="minor"/>
                    </wps:style>
                    <wps:txbx>
                      <w:txbxContent>
                        <w:p>
                          <w:pPr>
                            <w:pStyle w:val="Contedodoquadrouser"/>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jc w:val="center"/>
                            <w:rPr>
                              <w:sz w:val="26"/>
                              <w:szCs w:val="26"/>
                            </w:rPr>
                          </w:pPr>
                          <w:r>
                            <w:rPr>
                              <w:color w:val="000000"/>
                              <w:sz w:val="26"/>
                              <w:szCs w:val="26"/>
                            </w:rPr>
                            <w:t>Divisão de Compras</w:t>
                          </w:r>
                        </w:p>
                      </w:txbxContent>
                    </wps:txbx>
                    <wps:bodyPr lIns="720" rIns="720" tIns="720" bIns="720" anchor="t" upright="1">
                      <a:noAutofit/>
                    </wps:bodyPr>
                  </wps:wsp>
                </a:graphicData>
              </a:graphic>
            </wp:anchor>
          </w:drawing>
        </mc:Choice>
        <mc:Fallback>
          <w:pict>
            <v:rect id="shape_0" ID="Caixa de Texto 3" path="m0,0l-2147483645,0l-2147483645,-2147483646l0,-2147483646xe" stroked="f" o:allowincell="f" style="position:absolute;margin-left:115.85pt;margin-top:6.75pt;width:367.7pt;height:70.45pt;mso-wrap-style:square;v-text-anchor:top;mso-position-horizontal-relative:margin;mso-position-vertical-relative:page" wp14:anchorId="28004848">
              <v:fill o:detectmouseclick="t" on="false"/>
              <v:stroke color="#3465a4" joinstyle="round" endcap="flat"/>
              <v:textbox>
                <w:txbxContent>
                  <w:p>
                    <w:pPr>
                      <w:pStyle w:val="Contedodoquadrouser"/>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jc w:val="center"/>
                      <w:rPr>
                        <w:sz w:val="26"/>
                        <w:szCs w:val="26"/>
                      </w:rPr>
                    </w:pPr>
                    <w:r>
                      <w:rPr>
                        <w:color w:val="000000"/>
                        <w:sz w:val="26"/>
                        <w:szCs w:val="26"/>
                      </w:rPr>
                      <w:t>Divisão de Compras</w:t>
                    </w:r>
                  </w:p>
                </w:txbxContent>
              </v:textbox>
              <w10:wrap type="squar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sz w:val="12"/>
      </w:rPr>
    </w:pPr>
    <w:r>
      <w:rPr>
        <w:sz w:val="12"/>
      </w:rPr>
      <w:drawing>
        <wp:anchor behindDoc="1" distT="0" distB="0" distL="114300" distR="114300" simplePos="0" locked="0" layoutInCell="0" allowOverlap="1" relativeHeight="23">
          <wp:simplePos x="0" y="0"/>
          <wp:positionH relativeFrom="column">
            <wp:posOffset>-41910</wp:posOffset>
          </wp:positionH>
          <wp:positionV relativeFrom="paragraph">
            <wp:posOffset>-172720</wp:posOffset>
          </wp:positionV>
          <wp:extent cx="1770380" cy="989965"/>
          <wp:effectExtent l="0" t="0" r="0" b="0"/>
          <wp:wrapTopAndBottom/>
          <wp:docPr id="3" name="Imagem 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8" descr=""/>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mc:AlternateContent>
        <mc:Choice Requires="wps">
          <w:drawing>
            <wp:anchor behindDoc="1" distT="0" distB="0" distL="114935" distR="112395" simplePos="0" locked="0" layoutInCell="0" allowOverlap="1" relativeHeight="44" wp14:anchorId="28004848">
              <wp:simplePos x="0" y="0"/>
              <wp:positionH relativeFrom="margin">
                <wp:posOffset>1471295</wp:posOffset>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4" name="Caixa de Texto 3"/>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fillRef idx="0"/>
                      <a:effectRef idx="0"/>
                      <a:fontRef idx="minor"/>
                    </wps:style>
                    <wps:txbx>
                      <w:txbxContent>
                        <w:p>
                          <w:pPr>
                            <w:pStyle w:val="Contedodoquadrouser"/>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jc w:val="center"/>
                            <w:rPr>
                              <w:sz w:val="26"/>
                              <w:szCs w:val="26"/>
                            </w:rPr>
                          </w:pPr>
                          <w:r>
                            <w:rPr>
                              <w:color w:val="000000"/>
                              <w:sz w:val="26"/>
                              <w:szCs w:val="26"/>
                            </w:rPr>
                            <w:t>Divisão de Compras</w:t>
                          </w:r>
                        </w:p>
                      </w:txbxContent>
                    </wps:txbx>
                    <wps:bodyPr lIns="720" rIns="720" tIns="720" bIns="720" anchor="t" upright="1">
                      <a:noAutofit/>
                    </wps:bodyPr>
                  </wps:wsp>
                </a:graphicData>
              </a:graphic>
            </wp:anchor>
          </w:drawing>
        </mc:Choice>
        <mc:Fallback>
          <w:pict>
            <v:rect id="shape_0" ID="Caixa de Texto 3" path="m0,0l-2147483645,0l-2147483645,-2147483646l0,-2147483646xe" stroked="f" o:allowincell="f" style="position:absolute;margin-left:115.85pt;margin-top:6.75pt;width:367.7pt;height:70.45pt;mso-wrap-style:square;v-text-anchor:top;mso-position-horizontal-relative:margin;mso-position-vertical-relative:page" wp14:anchorId="28004848">
              <v:fill o:detectmouseclick="t" on="false"/>
              <v:stroke color="#3465a4" joinstyle="round" endcap="flat"/>
              <v:textbox>
                <w:txbxContent>
                  <w:p>
                    <w:pPr>
                      <w:pStyle w:val="Contedodoquadrouser"/>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jc w:val="center"/>
                      <w:rPr>
                        <w:sz w:val="26"/>
                        <w:szCs w:val="26"/>
                      </w:rPr>
                    </w:pPr>
                    <w:r>
                      <w:rPr>
                        <w:color w:val="000000"/>
                        <w:sz w:val="26"/>
                        <w:szCs w:val="26"/>
                      </w:rPr>
                      <w:t>Divisão de Compras</w:t>
                    </w:r>
                  </w:p>
                </w:txbxContent>
              </v:textbox>
              <w10:wrap type="squar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851"/>
        </w:tabs>
        <w:ind w:left="851" w:hanging="851"/>
      </w:pPr>
      <w:rPr>
        <w:sz w:val="20"/>
        <w:i/>
        <w:szCs w:val="20"/>
        <w:rFonts w:ascii="Arial" w:hAnsi="Arial" w:cs="Arial"/>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b/>
        <w:rFonts w:cs="Arial"/>
      </w:rPr>
    </w:lvl>
    <w:lvl w:ilvl="3">
      <w:start w:val="1"/>
      <w:numFmt w:val="decimal"/>
      <w:lvlText w:val="%1.%2.%3.%4."/>
      <w:lvlJc w:val="left"/>
      <w:pPr>
        <w:tabs>
          <w:tab w:val="num" w:pos="180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2880"/>
        </w:tabs>
        <w:ind w:left="2736" w:hanging="936"/>
      </w:pPr>
      <w:rPr/>
    </w:lvl>
    <w:lvl w:ilvl="6">
      <w:start w:val="1"/>
      <w:numFmt w:val="decimal"/>
      <w:lvlText w:val="%1.%2.%3.%4.%5.%6.%7."/>
      <w:lvlJc w:val="left"/>
      <w:pPr>
        <w:tabs>
          <w:tab w:val="num" w:pos="3600"/>
        </w:tabs>
        <w:ind w:left="3240" w:hanging="1080"/>
      </w:pPr>
      <w:rPr/>
    </w:lvl>
    <w:lvl w:ilvl="7">
      <w:start w:val="1"/>
      <w:numFmt w:val="decimal"/>
      <w:lvlText w:val="%1.%2.%3.%4.%5.%6.%7.%8."/>
      <w:lvlJc w:val="left"/>
      <w:pPr>
        <w:tabs>
          <w:tab w:val="num" w:pos="3960"/>
        </w:tabs>
        <w:ind w:left="3744" w:hanging="1224"/>
      </w:pPr>
      <w:rPr/>
    </w:lvl>
    <w:lvl w:ilvl="8">
      <w:start w:val="1"/>
      <w:numFmt w:val="decimal"/>
      <w:lvlText w:val="%1.%2.%3.%4.%5.%6.%7.%8.%9."/>
      <w:lvlJc w:val="left"/>
      <w:pPr>
        <w:tabs>
          <w:tab w:val="num" w:pos="4680"/>
        </w:tabs>
        <w:ind w:left="4320" w:hanging="1440"/>
      </w:pPr>
      <w:rPr/>
    </w:lvl>
  </w:abstractNum>
  <w:abstractNum w:abstractNumId="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5">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1">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6"/>
    <w:lvlOverride w:ilvl="0">
      <w:startOverride w:val="1"/>
    </w:lvlOverride>
  </w:num>
  <w:num w:numId="14">
    <w:abstractNumId w:val="11"/>
    <w:lvlOverride w:ilvl="0">
      <w:startOverride w:val="1"/>
    </w:lvlOverride>
  </w:num>
</w:numbering>
</file>

<file path=word/settings.xml><?xml version="1.0" encoding="utf-8"?>
<w:settings xmlns:w="http://schemas.openxmlformats.org/wordprocessingml/2006/main">
  <w:zoom w:percent="120"/>
  <w:displayBackgroundShape/>
  <w:defaultTabStop w:val="709"/>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qFormat="1"/>
    <w:lsdException w:name="header" w:uiPriority="0" w:semiHidden="1" w:unhideWhenUsed="1"/>
    <w:lsdException w:name="footer" w:uiPriority="0"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2"/>
      <w:sz w:val="20"/>
      <w:szCs w:val="20"/>
      <w:lang w:eastAsia="zh-CN" w:val="pt-BR" w:bidi="ar-SA"/>
    </w:rPr>
  </w:style>
  <w:style w:type="paragraph" w:styleId="Heading1">
    <w:name w:val="heading 1"/>
    <w:basedOn w:val="Normal"/>
    <w:next w:val="Normal"/>
    <w:qFormat/>
    <w:pPr>
      <w:keepNext w:val="true"/>
      <w:numPr>
        <w:ilvl w:val="0"/>
        <w:numId w:val="1"/>
      </w:numPr>
      <w:jc w:val="center"/>
      <w:outlineLvl w:val="0"/>
    </w:pPr>
    <w:rPr>
      <w:rFonts w:ascii="Arial" w:hAnsi="Arial" w:cs="Arial"/>
      <w:b/>
      <w:bCs/>
      <w:sz w:val="32"/>
      <w:szCs w:val="32"/>
      <w:lang w:val="x-none"/>
    </w:rPr>
  </w:style>
  <w:style w:type="paragraph" w:styleId="Heading2">
    <w:name w:val="heading 2"/>
    <w:basedOn w:val="Normal"/>
    <w:next w:val="Normal"/>
    <w:qFormat/>
    <w:pPr>
      <w:keepNext w:val="true"/>
      <w:numPr>
        <w:ilvl w:val="1"/>
        <w:numId w:val="1"/>
      </w:numPr>
      <w:jc w:val="center"/>
      <w:outlineLvl w:val="1"/>
    </w:pPr>
    <w:rPr>
      <w:rFonts w:ascii="Arial" w:hAnsi="Arial" w:cs="Arial"/>
      <w:b/>
      <w:bCs/>
      <w:sz w:val="24"/>
      <w:szCs w:val="24"/>
      <w:lang w:val="x-none"/>
    </w:rPr>
  </w:style>
  <w:style w:type="paragraph" w:styleId="Heading3">
    <w:name w:val="heading 3"/>
    <w:basedOn w:val="Normal"/>
    <w:next w:val="Normal"/>
    <w:qFormat/>
    <w:pPr>
      <w:keepNext w:val="true"/>
      <w:numPr>
        <w:ilvl w:val="2"/>
        <w:numId w:val="1"/>
      </w:numPr>
      <w:jc w:val="center"/>
      <w:outlineLvl w:val="2"/>
    </w:pPr>
    <w:rPr>
      <w:rFonts w:ascii="Arial" w:hAnsi="Arial" w:cs="Arial"/>
      <w:b/>
      <w:bCs/>
      <w:caps/>
      <w:sz w:val="22"/>
      <w:szCs w:val="22"/>
      <w:lang w:val="x-none"/>
    </w:rPr>
  </w:style>
  <w:style w:type="paragraph" w:styleId="Heading4">
    <w:name w:val="heading 4"/>
    <w:basedOn w:val="Normal"/>
    <w:next w:val="Normal"/>
    <w:qFormat/>
    <w:pPr>
      <w:keepNext w:val="true"/>
      <w:numPr>
        <w:ilvl w:val="3"/>
        <w:numId w:val="1"/>
      </w:numPr>
      <w:jc w:val="center"/>
      <w:outlineLvl w:val="3"/>
    </w:pPr>
    <w:rPr>
      <w:rFonts w:ascii="Arial" w:hAnsi="Arial" w:cs="Arial"/>
      <w:b/>
      <w:bCs/>
      <w:color w:val="000000"/>
      <w:sz w:val="72"/>
      <w:szCs w:val="72"/>
      <w:lang w:val="x-none"/>
    </w:rPr>
  </w:style>
  <w:style w:type="paragraph" w:styleId="Heading5">
    <w:name w:val="heading 5"/>
    <w:basedOn w:val="Normal"/>
    <w:next w:val="Normal"/>
    <w:qFormat/>
    <w:pPr>
      <w:keepNext w:val="true"/>
      <w:keepLines/>
      <w:numPr>
        <w:ilvl w:val="4"/>
        <w:numId w:val="1"/>
      </w:numPr>
      <w:jc w:val="center"/>
      <w:outlineLvl w:val="4"/>
    </w:pPr>
    <w:rPr>
      <w:b/>
      <w:sz w:val="28"/>
      <w:lang w:val="x-none"/>
    </w:rPr>
  </w:style>
  <w:style w:type="paragraph" w:styleId="Heading6">
    <w:name w:val="heading 6"/>
    <w:basedOn w:val="Normal"/>
    <w:next w:val="Normal"/>
    <w:qFormat/>
    <w:pPr>
      <w:keepNext w:val="true"/>
      <w:numPr>
        <w:ilvl w:val="5"/>
        <w:numId w:val="1"/>
      </w:numPr>
      <w:jc w:val="center"/>
      <w:outlineLvl w:val="5"/>
    </w:pPr>
    <w:rPr>
      <w:rFonts w:ascii="Arial" w:hAnsi="Arial" w:cs="Arial"/>
      <w:b/>
      <w:bCs/>
      <w:color w:val="0000FF"/>
      <w:lang w:val="x-none"/>
    </w:rPr>
  </w:style>
  <w:style w:type="paragraph" w:styleId="Heading7">
    <w:name w:val="heading 7"/>
    <w:basedOn w:val="Normal"/>
    <w:next w:val="Normal"/>
    <w:qFormat/>
    <w:pPr>
      <w:keepNext w:val="true"/>
      <w:numPr>
        <w:ilvl w:val="6"/>
        <w:numId w:val="1"/>
      </w:numPr>
      <w:ind w:hanging="0" w:left="561"/>
      <w:jc w:val="both"/>
      <w:outlineLvl w:val="6"/>
    </w:pPr>
    <w:rPr>
      <w:rFonts w:ascii="Arial" w:hAnsi="Arial" w:cs="Arial"/>
      <w:b/>
      <w:bCs/>
      <w:sz w:val="22"/>
      <w:szCs w:val="22"/>
    </w:rPr>
  </w:style>
  <w:style w:type="paragraph" w:styleId="Heading8">
    <w:name w:val="heading 8"/>
    <w:basedOn w:val="Normal"/>
    <w:next w:val="Normal"/>
    <w:link w:val="Ttulo8Char"/>
    <w:qFormat/>
    <w:pPr>
      <w:keepNext w:val="true"/>
      <w:numPr>
        <w:ilvl w:val="7"/>
        <w:numId w:val="1"/>
      </w:numPr>
      <w:ind w:firstLine="561" w:left="0"/>
      <w:jc w:val="both"/>
      <w:outlineLvl w:val="7"/>
    </w:pPr>
    <w:rPr>
      <w:rFonts w:ascii="Arial" w:hAnsi="Arial"/>
      <w:b/>
      <w:bCs/>
      <w:sz w:val="22"/>
      <w:szCs w:val="22"/>
      <w:lang w:val="x-none"/>
    </w:rPr>
  </w:style>
  <w:style w:type="paragraph" w:styleId="Heading9">
    <w:name w:val="heading 9"/>
    <w:basedOn w:val="Normal"/>
    <w:next w:val="Normal"/>
    <w:qFormat/>
    <w:pPr>
      <w:keepNext w:val="true"/>
      <w:numPr>
        <w:ilvl w:val="8"/>
        <w:numId w:val="1"/>
      </w:numPr>
      <w:ind w:firstLine="561" w:left="0"/>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
    <w:name w:val="Hyperlink"/>
    <w:rPr>
      <w:color w:val="0000FF"/>
      <w:u w:val="single"/>
    </w:rPr>
  </w:style>
  <w:style w:type="character" w:styleId="PageNumber">
    <w:name w:val="page number"/>
    <w:basedOn w:val="Fontepargpadro1"/>
    <w:rPr/>
  </w:style>
  <w:style w:type="character" w:styleId="Strong">
    <w:name w:val="Strong"/>
    <w:qFormat/>
    <w:rPr>
      <w:b/>
      <w:bCs/>
    </w:rPr>
  </w:style>
  <w:style w:type="character" w:styleId="FollowedHyperlink">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CommentReference">
    <w:name w:val="annotation reference"/>
    <w:unhideWhenUsed/>
    <w:qFormat/>
    <w:rsid w:val="00b01366"/>
    <w:rPr>
      <w:sz w:val="16"/>
      <w:szCs w:val="16"/>
    </w:rPr>
  </w:style>
  <w:style w:type="character" w:styleId="TextodecomentrioChar" w:customStyle="1">
    <w:name w:val="Texto de comentário Char"/>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paragraph" w:styleId="Ttulo">
    <w:name w:val="Título"/>
    <w:basedOn w:val="Normal"/>
    <w:next w:val="BodyText"/>
    <w:qFormat/>
    <w:pPr>
      <w:keepNext w:val="true"/>
      <w:spacing w:before="240" w:after="120"/>
    </w:pPr>
    <w:rPr>
      <w:rFonts w:ascii="Liberation Sans" w:hAnsi="Liberation Sans" w:eastAsia="Microsoft YaHei" w:cs="Arial Unicode MS"/>
      <w:sz w:val="28"/>
      <w:szCs w:val="28"/>
    </w:rPr>
  </w:style>
  <w:style w:type="paragraph" w:styleId="BodyText">
    <w:name w:val="Body Text"/>
    <w:basedOn w:val="Normal"/>
    <w:pPr>
      <w:jc w:val="both"/>
    </w:pPr>
    <w:rPr>
      <w:rFonts w:ascii="Arial" w:hAnsi="Arial" w:cs="Arial"/>
      <w:sz w:val="22"/>
      <w:szCs w:val="22"/>
      <w:lang w:val="x-none"/>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rFonts w:cs="Mangal"/>
    </w:rPr>
  </w:style>
  <w:style w:type="paragraph" w:styleId="Title">
    <w:name w:val="Title"/>
    <w:basedOn w:val="Ttulo21"/>
    <w:next w:val="BodyText"/>
    <w:qFormat/>
    <w:pPr/>
    <w:rPr/>
  </w:style>
  <w:style w:type="paragraph" w:styleId="ndiceuser" w:customStyle="1">
    <w:name w:val="Índice (user)"/>
    <w:basedOn w:val="Normal"/>
    <w:qFormat/>
    <w:pPr>
      <w:suppressLineNumbers/>
    </w:pPr>
    <w:rPr>
      <w:rFonts w:cs="Arial Unicode MS"/>
    </w:rPr>
  </w:style>
  <w:style w:type="paragraph" w:styleId="Ttulo21" w:customStyle="1">
    <w:name w:val="Título21"/>
    <w:basedOn w:val="Ttulo20"/>
    <w:next w:val="BodyText"/>
    <w:qFormat/>
    <w:pPr/>
    <w:rPr>
      <w:sz w:val="56"/>
      <w:szCs w:val="56"/>
    </w:rPr>
  </w:style>
  <w:style w:type="paragraph" w:styleId="Ttulo20" w:customStyle="1">
    <w:name w:val="Título20"/>
    <w:basedOn w:val="Normal"/>
    <w:next w:val="Subtitle"/>
    <w:qFormat/>
    <w:pPr>
      <w:jc w:val="center"/>
      <w:textAlignment w:val="baseline"/>
    </w:pPr>
    <w:rPr>
      <w:b/>
      <w:bCs/>
      <w:sz w:val="28"/>
      <w:szCs w:val="28"/>
      <w:lang w:val="x-none"/>
    </w:rPr>
  </w:style>
  <w:style w:type="paragraph" w:styleId="Ttulo19" w:customStyle="1">
    <w:name w:val="Título19"/>
    <w:basedOn w:val="Normal"/>
    <w:next w:val="BodyText"/>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BodyText"/>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BodyText"/>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BodyText"/>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BodyText"/>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BodyText"/>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BodyText"/>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BodyText"/>
    <w:qFormat/>
    <w:pPr>
      <w:keepNext w:val="true"/>
      <w:spacing w:before="240" w:after="120"/>
    </w:pPr>
    <w:rPr>
      <w:rFonts w:ascii="Arial" w:hAnsi="Arial" w:eastAsia="Microsoft YaHei" w:cs="Mangal"/>
      <w:sz w:val="28"/>
      <w:szCs w:val="28"/>
    </w:rPr>
  </w:style>
  <w:style w:type="paragraph" w:styleId="Ttulo11" w:customStyle="1">
    <w:name w:val="Título11"/>
    <w:basedOn w:val="Normal"/>
    <w:next w:val="BodyText"/>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BodyText"/>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 w:customStyle="1">
    <w:name w:val="Título9"/>
    <w:basedOn w:val="Normal"/>
    <w:next w:val="BodyText"/>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 w:customStyle="1">
    <w:name w:val="Título8"/>
    <w:basedOn w:val="Normal"/>
    <w:next w:val="BodyText"/>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 w:customStyle="1">
    <w:name w:val="Título7"/>
    <w:basedOn w:val="Normal"/>
    <w:next w:val="BodyText"/>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 w:customStyle="1">
    <w:name w:val="Título6"/>
    <w:basedOn w:val="Normal"/>
    <w:next w:val="BodyText"/>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 w:customStyle="1">
    <w:name w:val="Título5"/>
    <w:basedOn w:val="Normal"/>
    <w:next w:val="BodyText"/>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 w:customStyle="1">
    <w:name w:val="Título4"/>
    <w:basedOn w:val="Normal"/>
    <w:next w:val="BodyText"/>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 w:customStyle="1">
    <w:name w:val="Título3"/>
    <w:basedOn w:val="Normal"/>
    <w:next w:val="BodyText"/>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user" w:customStyle="1">
    <w:name w:val="Cabeçalho e rodapé (user)"/>
    <w:basedOn w:val="Normal"/>
    <w:qFormat/>
    <w:pPr/>
    <w:rPr/>
  </w:style>
  <w:style w:type="paragraph" w:styleId="Cabealhoerodap">
    <w:name w:val="Cabeçalho e rodapé"/>
    <w:basedOn w:val="Normal"/>
    <w:qFormat/>
    <w:pPr/>
    <w:rPr/>
  </w:style>
  <w:style w:type="paragraph" w:styleId="Header">
    <w:name w:val="header"/>
    <w:basedOn w:val="Normal"/>
    <w:pPr>
      <w:tabs>
        <w:tab w:val="clear" w:pos="709"/>
        <w:tab w:val="center" w:pos="4419" w:leader="none"/>
        <w:tab w:val="right" w:pos="8838" w:leader="none"/>
      </w:tabs>
    </w:pPr>
    <w:rPr/>
  </w:style>
  <w:style w:type="paragraph" w:styleId="Footer">
    <w:name w:val="footer"/>
    <w:basedOn w:val="Normal"/>
    <w:pPr>
      <w:tabs>
        <w:tab w:val="clear" w:pos="709"/>
        <w:tab w:val="center" w:pos="4419" w:leader="none"/>
        <w:tab w:val="right" w:pos="8838" w:leader="none"/>
      </w:tabs>
    </w:pPr>
    <w:rPr/>
  </w:style>
  <w:style w:type="paragraph" w:styleId="BodyTextIndent">
    <w:name w:val="Body Text Indent"/>
    <w:basedOn w:val="Normal"/>
    <w:pPr>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hanging="284" w:left="993"/>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hanging="284" w:left="284"/>
      <w:jc w:val="both"/>
    </w:pPr>
    <w:rPr>
      <w:rFonts w:ascii="Arial" w:hAnsi="Arial" w:cs="Arial"/>
      <w:color w:val="000000"/>
    </w:rPr>
  </w:style>
  <w:style w:type="paragraph" w:styleId="Subtitle">
    <w:name w:val="Subtitle"/>
    <w:basedOn w:val="Normal"/>
    <w:next w:val="BodyText"/>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hanging="284" w:left="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hanging="284" w:left="993"/>
      <w:jc w:val="both"/>
    </w:pPr>
    <w:rPr>
      <w:rFonts w:ascii="Arial" w:hAnsi="Arial" w:cs="Arial"/>
      <w:color w:val="000000"/>
    </w:rPr>
  </w:style>
  <w:style w:type="paragraph" w:styleId="Ttulo1" w:customStyle="1">
    <w:name w:val="Título1"/>
    <w:basedOn w:val="Normal"/>
    <w:next w:val="BodyText"/>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left="72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numPr>
        <w:ilvl w:val="0"/>
        <w:numId w:val="2"/>
      </w:numPr>
      <w:spacing w:lineRule="auto" w:line="264" w:before="0" w:after="180"/>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hanging="851" w:left="851"/>
      <w:jc w:val="both"/>
    </w:pPr>
    <w:rPr>
      <w:b/>
      <w:bCs/>
      <w:sz w:val="24"/>
      <w:szCs w:val="24"/>
    </w:rPr>
  </w:style>
  <w:style w:type="paragraph" w:styleId="Recuodecorpodetexto23" w:customStyle="1">
    <w:name w:val="Recuo de corpo de texto 23"/>
    <w:basedOn w:val="Normal"/>
    <w:qFormat/>
    <w:pPr>
      <w:spacing w:before="120" w:after="0"/>
      <w:ind w:hanging="284" w:left="993"/>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eastAsia="Calibri" w:ascii="Times New Roman" w:hAnsi="Times New Roman" w:cs="Times New Roman"/>
      <w:color w:val="000000"/>
      <w:kern w:val="2"/>
      <w:sz w:val="24"/>
      <w:szCs w:val="24"/>
      <w:lang w:eastAsia="zh-CN" w:val="pt-BR" w:bidi="ar-SA"/>
    </w:rPr>
  </w:style>
  <w:style w:type="paragraph" w:styleId="Ttulo2" w:customStyle="1">
    <w:name w:val="Título2"/>
    <w:basedOn w:val="Normal"/>
    <w:next w:val="BodyText"/>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Normal"/>
    <w:qFormat/>
    <w:pPr>
      <w:suppressLineNumbers/>
    </w:pPr>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BodyText"/>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left="283"/>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eastAsia="zh-CN" w:val="pt-BR" w:bidi="ar-SA"/>
    </w:rPr>
  </w:style>
  <w:style w:type="paragraph" w:styleId="Citaes" w:customStyle="1">
    <w:name w:val="Citações"/>
    <w:basedOn w:val="Normal"/>
    <w:qFormat/>
    <w:pPr>
      <w:spacing w:before="0" w:after="283"/>
      <w:ind w:left="567" w:right="567"/>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eastAsia="ar-SA" w:val="pt-BR" w:bidi="ar-SA"/>
    </w:rPr>
  </w:style>
  <w:style w:type="paragraph" w:styleId="CommentText">
    <w:name w:val="annotation text"/>
    <w:basedOn w:val="Normal"/>
    <w:link w:val="TextodecomentrioChar"/>
    <w:unhideWhenUsed/>
    <w:qFormat/>
    <w:rsid w:val="00b01366"/>
    <w:pPr/>
    <w:rPr/>
  </w:style>
  <w:style w:type="paragraph" w:styleId="annotationsubject">
    <w:name w:val="annotation subject"/>
    <w:basedOn w:val="CommentText"/>
    <w:next w:val="CommentText"/>
    <w:link w:val="AssuntodocomentrioChar"/>
    <w:uiPriority w:val="99"/>
    <w:semiHidden/>
    <w:unhideWhenUsed/>
    <w:qFormat/>
    <w:rsid w:val="00b01366"/>
    <w:pPr/>
    <w:rPr>
      <w:b/>
      <w:bCs/>
    </w:rPr>
  </w:style>
  <w:style w:type="paragraph" w:styleId="Nivel01" w:customStyle="1">
    <w:name w:val="Nivel 01"/>
    <w:basedOn w:val="Heading1"/>
    <w:next w:val="Normal"/>
    <w:link w:val="Nivel01Char"/>
    <w:qFormat/>
    <w:rsid w:val="00ed126a"/>
    <w:pPr>
      <w:keepLines/>
      <w:numPr>
        <w:ilvl w:val="0"/>
        <w:numId w:val="3"/>
      </w:numPr>
      <w:tabs>
        <w:tab w:val="clear" w:pos="709"/>
        <w:tab w:val="left" w:pos="567" w:leader="none"/>
      </w:tabs>
      <w:suppressAutoHyphens w:val="false"/>
      <w:spacing w:before="240" w:after="0"/>
      <w:jc w:val="both"/>
    </w:pPr>
    <w:rPr>
      <w:rFonts w:eastAsia="MS Gothic"/>
      <w:kern w:val="0"/>
      <w:sz w:val="20"/>
      <w:szCs w:val="20"/>
      <w:lang w:val="pt-BR" w:eastAsia="pt-BR"/>
    </w:rPr>
  </w:style>
  <w:style w:type="paragraph" w:styleId="Nivel2" w:customStyle="1">
    <w:name w:val="Nivel 2"/>
    <w:basedOn w:val="Normal"/>
    <w:link w:val="Nivel2Char"/>
    <w:qFormat/>
    <w:rsid w:val="00ed126a"/>
    <w:pPr>
      <w:numPr>
        <w:ilvl w:val="1"/>
        <w:numId w:val="3"/>
      </w:numPr>
      <w:suppressAutoHyphens w:val="false"/>
      <w:spacing w:lineRule="auto" w:line="276" w:before="120" w:after="120"/>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numPr>
        <w:ilvl w:val="2"/>
        <w:numId w:val="3"/>
      </w:numPr>
      <w:suppressAutoHyphens w:val="false"/>
      <w:spacing w:lineRule="auto" w:line="276" w:before="120" w:after="120"/>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tabs>
        <w:tab w:val="clear" w:pos="709"/>
        <w:tab w:val="left" w:pos="0" w:leader="none"/>
      </w:tabs>
      <w:ind w:hanging="0" w:left="851"/>
    </w:pPr>
    <w:rPr>
      <w:color w:val="auto"/>
    </w:rPr>
  </w:style>
  <w:style w:type="paragraph" w:styleId="Nivel5" w:customStyle="1">
    <w:name w:val="Nivel 5"/>
    <w:basedOn w:val="Nivel4"/>
    <w:qFormat/>
    <w:rsid w:val="00ed126a"/>
    <w:pPr>
      <w:ind w:left="1276"/>
    </w:pPr>
    <w:rPr/>
  </w:style>
  <w:style w:type="paragraph" w:styleId="Contedodoquadrouser" w:customStyle="1">
    <w:name w:val="Conteúdo do quadro (user)"/>
    <w:basedOn w:val="Normal"/>
    <w:qFormat/>
    <w:pPr/>
    <w:rPr/>
  </w:style>
  <w:style w:type="paragraph" w:styleId="Contedodatabelauser" w:customStyle="1">
    <w:name w:val="Conteúdo da tabela (user)"/>
    <w:basedOn w:val="Normal"/>
    <w:qFormat/>
    <w:pPr>
      <w:widowControl w:val="false"/>
      <w:suppressLineNumbers/>
    </w:pPr>
    <w:rPr/>
  </w:style>
  <w:style w:type="numbering" w:styleId="Semlista" w:default="1">
    <w:name w:val="Sem lista"/>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https://bnccompras.com/"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mailto:notafiscal@piracicaba.sp.gov.br" TargetMode="External"/><Relationship Id="rId7" Type="http://schemas.openxmlformats.org/officeDocument/2006/relationships/hyperlink" Target="https://bnccompras.com/"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Relationship Id="rId18" Type="http://schemas.openxmlformats.org/officeDocument/2006/relationships/customXml" Target="../customXml/item1.xml"/><Relationship Id="rId19" Type="http://schemas.openxmlformats.org/officeDocument/2006/relationships/customXml" Target="../customXml/item2.xml"/><Relationship Id="rId20" Type="http://schemas.openxmlformats.org/officeDocument/2006/relationships/customXml" Target="../customXml/item3.xml"/><Relationship Id="rId21" Type="http://schemas.openxmlformats.org/officeDocument/2006/relationships/customXml" Target="../customXml/item4.xml"/>
</Relationships>
</file>

<file path=word/_rels/footer2.xml.rels><?xml version="1.0" encoding="UTF-8"?>
<Relationships xmlns="http://schemas.openxmlformats.org/package/2006/relationships"><Relationship Id="rId1" Type="http://schemas.openxmlformats.org/officeDocument/2006/relationships/image" Target="media/image2.png"/>
</Relationships>
</file>

<file path=word/_rels/footer3.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schemas.microsoft.com/office/infopath/2007/PartnerControls"/>
    <ds:schemaRef ds:uri="http://purl.org/dc/term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71763c0a-43a9-4215-9c1e-ac13867d38db"/>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D02D1E7D-835B-49FA-8212-C045EB837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Application>LibreOffice/24.8.6.2$Windows_X86_64 LibreOffice_project/6d98ba145e9a8a39fc57bcc76981d1fb1316c60c</Application>
  <AppVersion>15.0000</AppVersion>
  <Pages>11</Pages>
  <Words>4560</Words>
  <Characters>26534</Characters>
  <CharactersWithSpaces>30852</CharactersWithSpaces>
  <Paragraphs>276</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2025-04-09T18:42:00Z</dcterms:created>
  <dc:creator>Thiago Luiz Araujo Santos</dc:creator>
  <dc:description/>
  <dc:language>pt-BR</dc:language>
  <cp:lastModifiedBy/>
  <cp:lastPrinted>2022-08-03T17:48:00Z</cp:lastPrinted>
  <dcterms:modified xsi:type="dcterms:W3CDTF">2025-05-07T15:53:47Z</dcterms:modified>
  <cp:revision>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