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media/image2.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Indent"/>
        <w:widowControl w:val="false"/>
        <w:shd w:val="clear" w:color="auto" w:fill="CCCCCC"/>
        <w:overflowPunct w:val="false"/>
        <w:spacing w:lineRule="auto" w:line="240"/>
        <w:jc w:val="center"/>
        <w:rPr>
          <w:b/>
          <w:color w:val="auto"/>
          <w:sz w:val="20"/>
          <w:szCs w:val="20"/>
          <w:lang w:val="pt-BR"/>
        </w:rPr>
      </w:pPr>
      <w:r>
        <w:rPr>
          <w:b/>
          <w:color w:val="auto"/>
          <w:sz w:val="20"/>
          <w:szCs w:val="20"/>
        </w:rPr>
        <w:t xml:space="preserve">EDITAL DE </w:t>
      </w:r>
      <w:r>
        <w:rPr>
          <w:b/>
          <w:color w:val="auto"/>
          <w:sz w:val="20"/>
          <w:szCs w:val="20"/>
          <w:lang w:val="pt-BR"/>
        </w:rPr>
        <w:t xml:space="preserve">DISPENSA ELETRÔNICA nº </w:t>
      </w:r>
      <w:r>
        <w:rPr>
          <w:b/>
          <w:color w:val="auto"/>
          <w:sz w:val="20"/>
          <w:szCs w:val="20"/>
          <w:lang w:val="pt-BR"/>
        </w:rPr>
        <w:t>34</w:t>
      </w:r>
      <w:r>
        <w:rPr>
          <w:b/>
          <w:color w:val="auto"/>
          <w:sz w:val="20"/>
          <w:szCs w:val="20"/>
          <w:lang w:val="pt-BR"/>
        </w:rPr>
        <w:t>/2025</w:t>
      </w:r>
      <w:r>
        <w:rPr>
          <w:b/>
          <w:color w:val="auto"/>
          <w:sz w:val="20"/>
          <w:szCs w:val="20"/>
        </w:rPr>
        <w:t xml:space="preserve"> </w:t>
      </w:r>
    </w:p>
    <w:p>
      <w:pPr>
        <w:pStyle w:val="BodyTextIndent"/>
        <w:widowControl w:val="false"/>
        <w:overflowPunct w:val="false"/>
        <w:spacing w:lineRule="auto" w:line="240"/>
        <w:jc w:val="center"/>
        <w:rPr>
          <w:color w:val="auto"/>
          <w:sz w:val="20"/>
          <w:szCs w:val="20"/>
        </w:rPr>
      </w:pPr>
      <w:r>
        <w:rPr>
          <w:color w:val="auto"/>
          <w:sz w:val="20"/>
          <w:szCs w:val="20"/>
        </w:rPr>
      </w:r>
    </w:p>
    <w:p>
      <w:pPr>
        <w:pStyle w:val="BodyTextIndent"/>
        <w:widowControl w:val="false"/>
        <w:overflowPunct w:val="false"/>
        <w:spacing w:lineRule="auto" w:line="240"/>
        <w:jc w:val="center"/>
        <w:rPr>
          <w:b/>
          <w:bCs/>
          <w:color w:val="auto"/>
          <w:sz w:val="20"/>
          <w:szCs w:val="20"/>
          <w:lang w:val="pt-BR"/>
        </w:rPr>
      </w:pPr>
      <w:r>
        <w:rPr>
          <w:b/>
          <w:bCs/>
          <w:color w:val="auto"/>
          <w:sz w:val="20"/>
          <w:szCs w:val="20"/>
          <w:lang w:val="pt-BR"/>
        </w:rPr>
        <w:t>TERMO DE REFERÊNCIA</w:t>
      </w:r>
    </w:p>
    <w:p>
      <w:pPr>
        <w:pStyle w:val="BodyTextIndent"/>
        <w:widowControl w:val="false"/>
        <w:overflowPunct w:val="false"/>
        <w:spacing w:lineRule="auto" w:line="240"/>
        <w:jc w:val="center"/>
        <w:rPr>
          <w:color w:val="auto"/>
          <w:sz w:val="20"/>
          <w:szCs w:val="20"/>
        </w:rPr>
      </w:pPr>
      <w:r>
        <w:rPr>
          <w:color w:val="auto"/>
          <w:sz w:val="20"/>
          <w:szCs w:val="20"/>
        </w:rPr>
      </w:r>
    </w:p>
    <w:p>
      <w:pPr>
        <w:pStyle w:val="BodyTextIndent"/>
        <w:widowControl w:val="false"/>
        <w:shd w:val="clear" w:color="auto" w:fill="DDDDDD"/>
        <w:overflowPunct w:val="true"/>
        <w:spacing w:lineRule="auto" w:line="240"/>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pPr>
        <w:pStyle w:val="BodyTextIndent"/>
        <w:widowControl w:val="false"/>
        <w:numPr>
          <w:ilvl w:val="0"/>
          <w:numId w:val="3"/>
        </w:numPr>
        <w:tabs>
          <w:tab w:val="clear" w:pos="709"/>
          <w:tab w:val="left" w:pos="284" w:leader="none"/>
        </w:tabs>
        <w:overflowPunct w:val="true"/>
        <w:spacing w:lineRule="auto" w:line="240"/>
        <w:rPr>
          <w:color w:val="auto"/>
          <w:sz w:val="20"/>
          <w:szCs w:val="20"/>
          <w:lang w:val="pt-BR"/>
        </w:rPr>
      </w:pPr>
      <w:r>
        <w:rPr>
          <w:color w:val="auto"/>
          <w:sz w:val="20"/>
          <w:szCs w:val="20"/>
        </w:rPr>
        <w:t>Número do proces</w:t>
      </w:r>
      <w:r>
        <w:rPr>
          <w:color w:val="auto"/>
          <w:sz w:val="20"/>
          <w:szCs w:val="20"/>
          <w:lang w:val="pt-BR"/>
        </w:rPr>
        <w:t xml:space="preserve">so: </w:t>
      </w:r>
      <w:r>
        <w:rPr>
          <w:b/>
          <w:bCs/>
          <w:color w:val="auto"/>
          <w:sz w:val="20"/>
          <w:szCs w:val="20"/>
          <w:lang w:val="pt-BR"/>
        </w:rPr>
        <w:t>60447</w:t>
      </w:r>
      <w:r>
        <w:rPr>
          <w:b/>
          <w:bCs/>
          <w:color w:val="auto"/>
          <w:sz w:val="20"/>
          <w:szCs w:val="20"/>
          <w:lang w:val="pt-BR"/>
        </w:rPr>
        <w:t>/2025</w:t>
      </w:r>
      <w:r>
        <w:rPr>
          <w:b/>
          <w:color w:val="auto"/>
          <w:sz w:val="20"/>
          <w:szCs w:val="20"/>
          <w:lang w:val="pt-BR"/>
        </w:rPr>
        <w:t xml:space="preserve"> </w:t>
      </w:r>
    </w:p>
    <w:p>
      <w:pPr>
        <w:pStyle w:val="BodyTextIndent"/>
        <w:widowControl w:val="false"/>
        <w:numPr>
          <w:ilvl w:val="0"/>
          <w:numId w:val="3"/>
        </w:numPr>
        <w:tabs>
          <w:tab w:val="clear" w:pos="709"/>
          <w:tab w:val="left" w:pos="284" w:leader="none"/>
        </w:tabs>
        <w:spacing w:lineRule="auto" w:line="240"/>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w:t>
      </w:r>
      <w:r>
        <w:rPr>
          <w:b/>
          <w:bCs/>
          <w:color w:val="auto"/>
          <w:sz w:val="20"/>
          <w:szCs w:val="20"/>
          <w:lang w:val="pt-BR"/>
        </w:rPr>
        <w:t>14/05</w:t>
      </w:r>
      <w:r>
        <w:rPr>
          <w:b/>
          <w:bCs/>
          <w:color w:val="auto"/>
          <w:sz w:val="20"/>
          <w:szCs w:val="20"/>
          <w:lang w:val="pt-BR"/>
        </w:rPr>
        <w:t>/2025 - 08h</w:t>
      </w:r>
    </w:p>
    <w:p>
      <w:pPr>
        <w:pStyle w:val="BodyTextIndent"/>
        <w:widowControl w:val="false"/>
        <w:numPr>
          <w:ilvl w:val="0"/>
          <w:numId w:val="3"/>
        </w:numPr>
        <w:tabs>
          <w:tab w:val="clear" w:pos="709"/>
          <w:tab w:val="left" w:pos="284" w:leader="none"/>
        </w:tabs>
        <w:spacing w:lineRule="auto" w:line="240"/>
        <w:rPr>
          <w:color w:val="auto"/>
          <w:sz w:val="20"/>
          <w:szCs w:val="20"/>
        </w:rPr>
      </w:pPr>
      <w:r>
        <w:rPr>
          <w:color w:val="auto"/>
          <w:sz w:val="20"/>
          <w:szCs w:val="20"/>
        </w:rPr>
        <w:t>Data de início de lances:</w:t>
      </w:r>
      <w:r>
        <w:rPr>
          <w:color w:val="auto"/>
          <w:sz w:val="20"/>
          <w:szCs w:val="20"/>
          <w:lang w:val="pt-BR"/>
        </w:rPr>
        <w:t xml:space="preserve"> </w:t>
      </w:r>
      <w:r>
        <w:rPr>
          <w:b/>
          <w:bCs/>
          <w:color w:val="auto"/>
          <w:sz w:val="20"/>
          <w:szCs w:val="20"/>
          <w:lang w:val="pt-BR"/>
        </w:rPr>
        <w:t>14/05</w:t>
      </w:r>
      <w:r>
        <w:rPr>
          <w:b/>
          <w:bCs/>
          <w:color w:val="auto"/>
          <w:sz w:val="20"/>
          <w:szCs w:val="20"/>
          <w:lang w:val="pt-BR"/>
        </w:rPr>
        <w:t>/2025 - 09h</w:t>
      </w:r>
    </w:p>
    <w:p>
      <w:pPr>
        <w:pStyle w:val="BodyTextIndent"/>
        <w:widowControl w:val="false"/>
        <w:numPr>
          <w:ilvl w:val="0"/>
          <w:numId w:val="3"/>
        </w:numPr>
        <w:tabs>
          <w:tab w:val="clear" w:pos="709"/>
          <w:tab w:val="left" w:pos="284" w:leader="none"/>
        </w:tabs>
        <w:spacing w:lineRule="auto" w:line="240"/>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pPr>
        <w:pStyle w:val="BodyTextIndent"/>
        <w:widowControl w:val="false"/>
        <w:numPr>
          <w:ilvl w:val="0"/>
          <w:numId w:val="3"/>
        </w:numPr>
        <w:tabs>
          <w:tab w:val="clear" w:pos="709"/>
          <w:tab w:val="left" w:pos="284" w:leader="none"/>
        </w:tabs>
        <w:overflowPunct w:val="true"/>
        <w:spacing w:lineRule="auto" w:line="240"/>
        <w:rPr>
          <w:b/>
          <w:bCs/>
          <w:color w:val="auto"/>
          <w:sz w:val="20"/>
          <w:szCs w:val="20"/>
        </w:rPr>
      </w:pPr>
      <w:r>
        <w:rPr>
          <w:color w:val="auto"/>
          <w:sz w:val="20"/>
          <w:szCs w:val="20"/>
        </w:rPr>
        <w:t xml:space="preserve">Endereço </w:t>
      </w:r>
      <w:r>
        <w:rPr>
          <w:sz w:val="20"/>
          <w:szCs w:val="20"/>
        </w:rPr>
        <w:t>eletrônico</w:t>
      </w:r>
      <w:r>
        <w:rPr>
          <w:sz w:val="20"/>
          <w:szCs w:val="20"/>
          <w:lang w:val="pt-BR"/>
        </w:rPr>
        <w:t xml:space="preserve">: </w:t>
      </w:r>
      <w:hyperlink r:id="rId2">
        <w:r>
          <w:rPr>
            <w:rStyle w:val="Style"/>
            <w:color w:val="0000FF"/>
            <w:sz w:val="20"/>
            <w:szCs w:val="20"/>
            <w:u w:val="single"/>
            <w:lang w:val="pt-BR"/>
          </w:rPr>
          <w:t>https://bnccompras.com</w:t>
        </w:r>
      </w:hyperlink>
      <w:r>
        <w:rPr>
          <w:sz w:val="20"/>
          <w:szCs w:val="20"/>
          <w:lang w:val="pt-BR"/>
        </w:rPr>
        <w:t>.</w:t>
      </w:r>
    </w:p>
    <w:p>
      <w:pPr>
        <w:pStyle w:val="BodyTextIndent"/>
        <w:widowControl w:val="false"/>
        <w:tabs>
          <w:tab w:val="clear" w:pos="709"/>
          <w:tab w:val="left" w:pos="284" w:leader="none"/>
        </w:tabs>
        <w:overflowPunct w:val="true"/>
        <w:spacing w:lineRule="auto" w:line="240"/>
        <w:rPr>
          <w:b/>
          <w:bCs/>
          <w:color w:val="auto"/>
          <w:sz w:val="20"/>
          <w:szCs w:val="20"/>
          <w:highlight w:val="yellow"/>
        </w:rPr>
      </w:pPr>
      <w:r>
        <w:rPr>
          <w:b/>
          <w:bCs/>
          <w:color w:val="auto"/>
          <w:sz w:val="20"/>
          <w:szCs w:val="20"/>
          <w:highlight w:val="yellow"/>
        </w:rPr>
      </w:r>
    </w:p>
    <w:p>
      <w:pPr>
        <w:pStyle w:val="Normal"/>
        <w:shd w:val="clear" w:color="auto" w:fill="DDDDDD"/>
        <w:ind w:firstLine="567"/>
        <w:jc w:val="both"/>
        <w:rPr>
          <w:rFonts w:ascii="Arial" w:hAnsi="Arial" w:cs="Arial"/>
        </w:rPr>
      </w:pPr>
      <w:r>
        <w:rPr>
          <w:rFonts w:cs="Arial" w:ascii="Arial" w:hAnsi="Arial"/>
          <w:b/>
          <w:bCs/>
        </w:rPr>
        <w:t>2. DO OBJETO:</w:t>
      </w:r>
    </w:p>
    <w:p>
      <w:pPr>
        <w:pStyle w:val="Normal"/>
        <w:numPr>
          <w:ilvl w:val="0"/>
          <w:numId w:val="4"/>
        </w:numPr>
        <w:tabs>
          <w:tab w:val="clear" w:pos="709"/>
          <w:tab w:val="left" w:pos="284" w:leader="none"/>
        </w:tabs>
        <w:jc w:val="both"/>
        <w:rPr>
          <w:rFonts w:ascii="Arial" w:hAnsi="Arial" w:cs="Arial"/>
        </w:rPr>
      </w:pPr>
      <w:r>
        <w:rPr>
          <w:rFonts w:cs="Arial" w:ascii="Arial" w:hAnsi="Arial"/>
        </w:rPr>
        <w:t xml:space="preserve">Objeto: </w:t>
      </w:r>
      <w:r>
        <w:rPr>
          <w:rFonts w:cs="Arial" w:ascii="Arial" w:hAnsi="Arial"/>
          <w:b/>
        </w:rPr>
        <w:t>Aquisição de suplemento alimentar, fraldas e insumo para atender Mandado Judicial.</w:t>
      </w:r>
    </w:p>
    <w:p>
      <w:pPr>
        <w:pStyle w:val="Normal"/>
        <w:numPr>
          <w:ilvl w:val="0"/>
          <w:numId w:val="4"/>
        </w:numPr>
        <w:tabs>
          <w:tab w:val="clear" w:pos="709"/>
          <w:tab w:val="left" w:pos="284" w:leader="none"/>
        </w:tabs>
        <w:jc w:val="both"/>
        <w:rPr>
          <w:rFonts w:ascii="Arial" w:hAnsi="Arial" w:cs="Arial"/>
        </w:rPr>
      </w:pPr>
      <w:r>
        <w:rPr>
          <w:rFonts w:cs="Arial" w:ascii="Arial" w:hAnsi="Arial"/>
        </w:rPr>
        <w:t>Unidade Requisitante: Secretaria Municipal de Saúde</w:t>
      </w:r>
    </w:p>
    <w:p>
      <w:pPr>
        <w:pStyle w:val="Normal"/>
        <w:numPr>
          <w:ilvl w:val="0"/>
          <w:numId w:val="4"/>
        </w:numPr>
        <w:tabs>
          <w:tab w:val="clear" w:pos="709"/>
          <w:tab w:val="left" w:pos="284" w:leader="none"/>
        </w:tabs>
        <w:jc w:val="both"/>
        <w:rPr>
          <w:rFonts w:ascii="Arial" w:hAnsi="Arial" w:cs="Arial"/>
        </w:rPr>
      </w:pPr>
      <w:r>
        <w:rPr>
          <w:rFonts w:cs="Arial" w:ascii="Arial" w:hAnsi="Arial"/>
        </w:rPr>
        <w:t>Fonte de recursos: 2609 – 0101031000 – Lei nº 10.207 de 12/12/2024</w:t>
      </w:r>
    </w:p>
    <w:p>
      <w:pPr>
        <w:pStyle w:val="Normal"/>
        <w:numPr>
          <w:ilvl w:val="0"/>
          <w:numId w:val="4"/>
        </w:numPr>
        <w:tabs>
          <w:tab w:val="clear" w:pos="709"/>
          <w:tab w:val="left" w:pos="284" w:leader="none"/>
        </w:tabs>
        <w:jc w:val="both"/>
        <w:rPr>
          <w:rFonts w:ascii="Arial" w:hAnsi="Arial" w:cs="Arial"/>
        </w:rPr>
      </w:pPr>
      <w:r>
        <w:rPr>
          <w:rFonts w:cs="Arial" w:ascii="Arial" w:hAnsi="Arial"/>
        </w:rPr>
        <w:t xml:space="preserve">Valor estimado da contratação: </w:t>
      </w:r>
      <w:r>
        <w:rPr>
          <w:rFonts w:cs="Arial" w:ascii="Arial" w:hAnsi="Arial"/>
          <w:b/>
          <w:bCs/>
        </w:rPr>
        <w:t>R$ 7.457,29 (Sete mil quatrocentos e cinquenta e sete reais e vinte e nove centavos).</w:t>
      </w:r>
    </w:p>
    <w:p>
      <w:pPr>
        <w:pStyle w:val="Normal"/>
        <w:numPr>
          <w:ilvl w:val="0"/>
          <w:numId w:val="4"/>
        </w:numPr>
        <w:tabs>
          <w:tab w:val="clear" w:pos="709"/>
          <w:tab w:val="left" w:pos="284" w:leader="none"/>
        </w:tabs>
        <w:jc w:val="both"/>
        <w:rPr>
          <w:rFonts w:ascii="Arial" w:hAnsi="Arial" w:cs="Arial"/>
        </w:rPr>
      </w:pPr>
      <w:r>
        <w:rPr>
          <w:rFonts w:cs="Arial" w:ascii="Arial" w:hAnsi="Arial"/>
        </w:rPr>
        <w:t>Prazo de contratação: até a entrega definitiva.</w:t>
      </w:r>
    </w:p>
    <w:p>
      <w:pPr>
        <w:pStyle w:val="Normal"/>
        <w:numPr>
          <w:ilvl w:val="0"/>
          <w:numId w:val="4"/>
        </w:numPr>
        <w:tabs>
          <w:tab w:val="clear" w:pos="709"/>
          <w:tab w:val="left" w:pos="284" w:leader="none"/>
        </w:tabs>
        <w:jc w:val="both"/>
        <w:rPr>
          <w:rFonts w:ascii="Arial" w:hAnsi="Arial" w:cs="Arial"/>
        </w:rPr>
      </w:pPr>
      <w:r>
        <w:rPr>
          <w:rFonts w:cs="Arial" w:ascii="Arial" w:hAnsi="Arial"/>
        </w:rPr>
        <w:t>Amparo Legal: Art. 75, Inciso II (será aplicado o benefício da LC 123/06, conforme item 2.3.1. do Regulamento Geral).</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DDDDDD"/>
        <w:ind w:firstLine="567"/>
        <w:jc w:val="both"/>
        <w:rPr>
          <w:rFonts w:ascii="Arial" w:hAnsi="Arial" w:cs="Arial"/>
        </w:rPr>
      </w:pPr>
      <w:r>
        <w:rPr>
          <w:rFonts w:cs="Arial" w:ascii="Arial" w:hAnsi="Arial"/>
          <w:b/>
          <w:bCs/>
        </w:rPr>
        <w:t>3. DA PROPOSTA:</w:t>
      </w:r>
    </w:p>
    <w:p>
      <w:pPr>
        <w:pStyle w:val="Normal"/>
        <w:numPr>
          <w:ilvl w:val="0"/>
          <w:numId w:val="24"/>
        </w:numPr>
        <w:tabs>
          <w:tab w:val="clear" w:pos="709"/>
          <w:tab w:val="left" w:pos="284" w:leader="none"/>
        </w:tabs>
        <w:jc w:val="both"/>
        <w:rPr>
          <w:rFonts w:ascii="Arial" w:hAnsi="Arial" w:cs="Arial"/>
        </w:rPr>
      </w:pPr>
      <w:r>
        <w:rPr>
          <w:rFonts w:cs="Arial" w:ascii="Arial" w:hAnsi="Arial"/>
        </w:rPr>
        <w:t>Prazo de validade: 30 (trinta) dias.</w:t>
      </w:r>
    </w:p>
    <w:p>
      <w:pPr>
        <w:pStyle w:val="Normal"/>
        <w:numPr>
          <w:ilvl w:val="0"/>
          <w:numId w:val="0"/>
        </w:numPr>
        <w:tabs>
          <w:tab w:val="clear" w:pos="709"/>
          <w:tab w:val="left" w:pos="284" w:leader="none"/>
        </w:tabs>
        <w:ind w:hanging="0" w:left="0"/>
        <w:jc w:val="both"/>
        <w:rPr>
          <w:rFonts w:ascii="Arial" w:hAnsi="Arial" w:cs="Arial"/>
          <w:b/>
          <w:u w:val="single"/>
        </w:rPr>
      </w:pPr>
      <w:r>
        <w:rPr>
          <w:rFonts w:cs="Arial" w:ascii="Arial" w:hAnsi="Arial"/>
          <w:b/>
          <w:bCs/>
        </w:rPr>
        <w:t>b)</w:t>
      </w:r>
      <w:r>
        <w:rPr>
          <w:rFonts w:cs="Arial" w:ascii="Arial" w:hAnsi="Arial"/>
        </w:rPr>
        <w:t xml:space="preserve"> </w:t>
      </w:r>
      <w:r>
        <w:rPr>
          <w:rFonts w:cs="Arial" w:ascii="Arial" w:hAnsi="Arial"/>
        </w:rPr>
        <w:t>Prazo de Pagamento: 15 (quinze) dias úteis, contados da data do recebimento da nota fiscal, em atendimento ao Decreto Municipal Nº 17.640/18.</w:t>
      </w:r>
    </w:p>
    <w:p>
      <w:pPr>
        <w:pStyle w:val="ListParagraph"/>
        <w:numPr>
          <w:ilvl w:val="0"/>
          <w:numId w:val="0"/>
        </w:numPr>
        <w:tabs>
          <w:tab w:val="clear" w:pos="709"/>
          <w:tab w:val="left" w:pos="284" w:leader="none"/>
        </w:tabs>
        <w:spacing w:before="0" w:after="0"/>
        <w:ind w:hanging="0" w:left="0"/>
        <w:jc w:val="both"/>
        <w:rPr>
          <w:rFonts w:ascii="Arial" w:hAnsi="Arial" w:cs="Arial"/>
          <w:sz w:val="20"/>
          <w:szCs w:val="20"/>
        </w:rPr>
      </w:pPr>
      <w:r>
        <w:rPr>
          <w:rFonts w:cs="Arial" w:ascii="Arial" w:hAnsi="Arial"/>
          <w:b/>
          <w:bCs/>
          <w:sz w:val="20"/>
          <w:szCs w:val="20"/>
        </w:rPr>
        <w:t>c)</w:t>
      </w:r>
      <w:r>
        <w:rPr>
          <w:rFonts w:cs="Arial" w:ascii="Arial" w:hAnsi="Arial"/>
          <w:sz w:val="20"/>
          <w:szCs w:val="20"/>
        </w:rPr>
        <w:t xml:space="preserve"> </w:t>
      </w:r>
      <w:r>
        <w:rPr>
          <w:rFonts w:cs="Arial" w:ascii="Arial" w:hAnsi="Arial"/>
          <w:sz w:val="20"/>
          <w:szCs w:val="20"/>
        </w:rPr>
        <w:t xml:space="preserve">Deverá ser especificado na proposta o </w:t>
      </w:r>
      <w:r>
        <w:rPr>
          <w:rFonts w:cs="Arial" w:ascii="Arial" w:hAnsi="Arial"/>
          <w:b/>
          <w:sz w:val="20"/>
          <w:szCs w:val="20"/>
        </w:rPr>
        <w:t>preço unitário e total</w:t>
      </w:r>
      <w:r>
        <w:rPr>
          <w:rFonts w:cs="Arial" w:ascii="Arial" w:hAnsi="Arial"/>
          <w:sz w:val="20"/>
          <w:szCs w:val="20"/>
        </w:rPr>
        <w:t xml:space="preserve">, </w:t>
      </w:r>
      <w:r>
        <w:rPr>
          <w:rFonts w:cs="Arial" w:ascii="Arial" w:hAnsi="Arial"/>
          <w:b/>
          <w:sz w:val="20"/>
          <w:szCs w:val="20"/>
        </w:rPr>
        <w:t>a marca do fabricante, nome comercial e modelo</w:t>
      </w:r>
      <w:r>
        <w:rPr>
          <w:rFonts w:cs="Arial" w:ascii="Arial" w:hAnsi="Arial"/>
          <w:sz w:val="20"/>
          <w:szCs w:val="20"/>
        </w:rPr>
        <w:t xml:space="preserve"> do produto cotado, sendo admitida apenas uma marca por item.</w:t>
      </w:r>
    </w:p>
    <w:p>
      <w:pPr>
        <w:pStyle w:val="ListParagraph"/>
        <w:numPr>
          <w:ilvl w:val="0"/>
          <w:numId w:val="0"/>
        </w:numPr>
        <w:tabs>
          <w:tab w:val="clear" w:pos="709"/>
          <w:tab w:val="left" w:pos="284" w:leader="none"/>
        </w:tabs>
        <w:spacing w:lineRule="auto" w:line="240" w:before="0" w:after="0"/>
        <w:ind w:hanging="0" w:left="0"/>
        <w:jc w:val="both"/>
        <w:rPr>
          <w:rFonts w:ascii="Arial" w:hAnsi="Arial" w:cs="Arial"/>
          <w:sz w:val="20"/>
          <w:szCs w:val="20"/>
        </w:rPr>
      </w:pPr>
      <w:r>
        <w:rPr>
          <w:rFonts w:cs="Arial" w:ascii="Arial" w:hAnsi="Arial"/>
          <w:b/>
          <w:bCs/>
          <w:sz w:val="20"/>
          <w:szCs w:val="20"/>
        </w:rPr>
        <w:t>d</w:t>
      </w:r>
      <w:r>
        <w:rPr>
          <w:rFonts w:cs="Arial" w:ascii="Arial" w:hAnsi="Arial"/>
          <w:b/>
          <w:bCs/>
          <w:sz w:val="20"/>
          <w:szCs w:val="20"/>
        </w:rPr>
        <w:t>)</w:t>
      </w:r>
      <w:r>
        <w:rPr>
          <w:rFonts w:cs="Arial" w:ascii="Arial" w:hAnsi="Arial"/>
          <w:sz w:val="20"/>
          <w:szCs w:val="20"/>
        </w:rPr>
        <w:t xml:space="preserve"> </w:t>
      </w:r>
      <w:r>
        <w:rPr>
          <w:rFonts w:cs="Arial" w:ascii="Arial" w:hAnsi="Arial"/>
          <w:sz w:val="20"/>
          <w:szCs w:val="20"/>
        </w:rPr>
        <w:t>Critério de Julgamento: Menor valor por item.</w:t>
      </w:r>
    </w:p>
    <w:p>
      <w:pPr>
        <w:pStyle w:val="Normal"/>
        <w:numPr>
          <w:ilvl w:val="0"/>
          <w:numId w:val="25"/>
        </w:numPr>
        <w:tabs>
          <w:tab w:val="clear" w:pos="709"/>
          <w:tab w:val="left" w:pos="284" w:leader="none"/>
        </w:tabs>
        <w:jc w:val="both"/>
        <w:rPr>
          <w:rFonts w:ascii="Arial" w:hAnsi="Arial" w:eastAsia="Arial" w:cs="Arial"/>
        </w:rPr>
      </w:pPr>
      <w:r>
        <w:rPr>
          <w:rFonts w:cs="Arial" w:ascii="Arial" w:hAnsi="Arial"/>
        </w:rPr>
        <w:t>Especificações e quantidades:</w:t>
      </w:r>
    </w:p>
    <w:tbl>
      <w:tblPr>
        <w:tblW w:w="987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850"/>
        <w:gridCol w:w="7320"/>
      </w:tblGrid>
      <w:tr>
        <w:trPr>
          <w:tblHeader w:val="true"/>
          <w:trHeight w:val="283" w:hRule="atLeast"/>
        </w:trPr>
        <w:tc>
          <w:tcPr>
            <w:tcW w:w="850" w:type="dxa"/>
            <w:tcBorders>
              <w:top w:val="single" w:sz="4" w:space="0" w:color="000000"/>
              <w:left w:val="single" w:sz="4" w:space="0" w:color="000000"/>
              <w:bottom w:val="single" w:sz="4" w:space="0" w:color="000000"/>
            </w:tcBorders>
            <w:vAlign w:val="center"/>
          </w:tcPr>
          <w:p>
            <w:pPr>
              <w:pStyle w:val="Contedodatabelauser"/>
              <w:widowControl w:val="false"/>
              <w:jc w:val="center"/>
              <w:rPr>
                <w:rFonts w:ascii="Arial" w:hAnsi="Arial" w:cs="Arial"/>
                <w:b/>
              </w:rPr>
            </w:pPr>
            <w:r>
              <w:rPr>
                <w:rFonts w:cs="Arial" w:ascii="Arial" w:hAnsi="Arial"/>
                <w:b/>
              </w:rPr>
              <w:t>Item</w:t>
            </w:r>
          </w:p>
        </w:tc>
        <w:tc>
          <w:tcPr>
            <w:tcW w:w="850" w:type="dxa"/>
            <w:tcBorders>
              <w:top w:val="single" w:sz="4" w:space="0" w:color="000000"/>
              <w:left w:val="single" w:sz="4" w:space="0" w:color="000000"/>
              <w:bottom w:val="single" w:sz="4" w:space="0" w:color="000000"/>
            </w:tcBorders>
            <w:vAlign w:val="center"/>
          </w:tcPr>
          <w:p>
            <w:pPr>
              <w:pStyle w:val="Contedodatabelauser"/>
              <w:widowControl w:val="false"/>
              <w:jc w:val="center"/>
              <w:rPr>
                <w:rFonts w:ascii="Arial" w:hAnsi="Arial" w:cs="Arial"/>
                <w:b/>
              </w:rPr>
            </w:pPr>
            <w:r>
              <w:rPr>
                <w:rFonts w:cs="Arial" w:ascii="Arial" w:hAnsi="Arial"/>
                <w:b/>
              </w:rPr>
              <w:t>Quant.</w:t>
            </w:r>
          </w:p>
        </w:tc>
        <w:tc>
          <w:tcPr>
            <w:tcW w:w="850" w:type="dxa"/>
            <w:tcBorders>
              <w:top w:val="single" w:sz="4" w:space="0" w:color="000000"/>
              <w:left w:val="single" w:sz="4" w:space="0" w:color="000000"/>
              <w:bottom w:val="single" w:sz="4" w:space="0" w:color="000000"/>
            </w:tcBorders>
            <w:vAlign w:val="center"/>
          </w:tcPr>
          <w:p>
            <w:pPr>
              <w:pStyle w:val="Contedodatabelauser"/>
              <w:widowControl w:val="false"/>
              <w:jc w:val="center"/>
              <w:rPr>
                <w:rFonts w:ascii="Arial" w:hAnsi="Arial" w:cs="Arial"/>
                <w:b/>
              </w:rPr>
            </w:pPr>
            <w:r>
              <w:rPr>
                <w:rFonts w:cs="Arial" w:ascii="Arial" w:hAnsi="Arial"/>
                <w:b/>
              </w:rPr>
              <w:t>Unid.</w:t>
            </w:r>
          </w:p>
        </w:tc>
        <w:tc>
          <w:tcPr>
            <w:tcW w:w="7320" w:type="dxa"/>
            <w:tcBorders>
              <w:top w:val="single" w:sz="4" w:space="0" w:color="000000"/>
              <w:left w:val="single" w:sz="4" w:space="0" w:color="000000"/>
              <w:bottom w:val="single" w:sz="4" w:space="0" w:color="000000"/>
              <w:right w:val="single" w:sz="4" w:space="0" w:color="000000"/>
            </w:tcBorders>
            <w:vAlign w:val="center"/>
          </w:tcPr>
          <w:p>
            <w:pPr>
              <w:pStyle w:val="Contedodatabelauser"/>
              <w:widowControl w:val="false"/>
              <w:jc w:val="center"/>
              <w:rPr>
                <w:rFonts w:ascii="Arial" w:hAnsi="Arial" w:cs="Arial"/>
              </w:rPr>
            </w:pPr>
            <w:r>
              <w:rPr>
                <w:rFonts w:cs="Arial" w:ascii="Arial" w:hAnsi="Arial"/>
                <w:b/>
              </w:rPr>
              <w:t>Descritivo</w:t>
            </w:r>
          </w:p>
        </w:tc>
      </w:tr>
      <w:tr>
        <w:trPr>
          <w:trHeight w:val="505"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rPr>
            </w:pPr>
            <w:r>
              <w:rPr>
                <w:rFonts w:cs="Arial" w:ascii="Arial" w:hAnsi="Arial"/>
                <w:b/>
              </w:rPr>
              <w:t>01</w:t>
            </w:r>
          </w:p>
        </w:tc>
        <w:tc>
          <w:tcPr>
            <w:tcW w:w="850" w:type="dxa"/>
            <w:tcBorders>
              <w:top w:val="single" w:sz="4" w:space="0" w:color="000000"/>
              <w:left w:val="single" w:sz="4" w:space="0" w:color="000000"/>
              <w:bottom w:val="single" w:sz="4" w:space="0" w:color="000000"/>
            </w:tcBorders>
            <w:vAlign w:val="center"/>
          </w:tcPr>
          <w:p>
            <w:pPr>
              <w:pStyle w:val="Contedodatabelauser"/>
              <w:widowControl w:val="false"/>
              <w:jc w:val="center"/>
              <w:rPr>
                <w:rFonts w:ascii="Arial" w:hAnsi="Arial" w:cs="Arial"/>
              </w:rPr>
            </w:pPr>
            <w:r>
              <w:rPr>
                <w:rFonts w:cs="Arial" w:ascii="Arial" w:hAnsi="Arial"/>
              </w:rPr>
              <w:t>10</w:t>
            </w:r>
          </w:p>
        </w:tc>
        <w:tc>
          <w:tcPr>
            <w:tcW w:w="850" w:type="dxa"/>
            <w:tcBorders>
              <w:top w:val="single" w:sz="4" w:space="0" w:color="000000"/>
              <w:left w:val="single" w:sz="4" w:space="0" w:color="000000"/>
              <w:bottom w:val="single" w:sz="4" w:space="0" w:color="000000"/>
            </w:tcBorders>
            <w:vAlign w:val="center"/>
          </w:tcPr>
          <w:p>
            <w:pPr>
              <w:pStyle w:val="Contedodatabelauser"/>
              <w:widowControl w:val="false"/>
              <w:jc w:val="center"/>
              <w:rPr>
                <w:rFonts w:ascii="Arial" w:hAnsi="Arial" w:cs="Arial"/>
              </w:rPr>
            </w:pPr>
            <w:r>
              <w:rPr>
                <w:rFonts w:cs="Arial" w:ascii="Arial" w:hAnsi="Arial"/>
              </w:rPr>
              <w:t>LAT</w:t>
            </w:r>
          </w:p>
        </w:tc>
        <w:tc>
          <w:tcPr>
            <w:tcW w:w="7320" w:type="dxa"/>
            <w:tcBorders>
              <w:top w:val="single" w:sz="4" w:space="0" w:color="000000"/>
              <w:left w:val="single" w:sz="4" w:space="0" w:color="000000"/>
              <w:bottom w:val="single" w:sz="4" w:space="0" w:color="000000"/>
              <w:right w:val="single" w:sz="4" w:space="0" w:color="000000"/>
            </w:tcBorders>
            <w:vAlign w:val="center"/>
          </w:tcPr>
          <w:p>
            <w:pPr>
              <w:pStyle w:val="Contedodatabelauser"/>
              <w:widowControl w:val="false"/>
              <w:jc w:val="left"/>
              <w:rPr>
                <w:rFonts w:ascii="Arial" w:hAnsi="Arial" w:cs="Arial"/>
              </w:rPr>
            </w:pPr>
            <w:r>
              <w:rPr>
                <w:rFonts w:cs="Arial" w:ascii="Arial" w:hAnsi="Arial"/>
                <w:b w:val="false"/>
                <w:i w:val="false"/>
                <w:caps w:val="false"/>
                <w:smallCaps w:val="false"/>
                <w:spacing w:val="0"/>
              </w:rPr>
              <w:t>FIBER MAIS, mix de fibras solúveis, lata com 260g, sem sabor.</w:t>
            </w:r>
            <w:r>
              <w:rPr>
                <w:rFonts w:cs="Arial" w:ascii="Arial" w:hAnsi="Arial"/>
              </w:rPr>
              <w:br/>
            </w:r>
          </w:p>
        </w:tc>
      </w:tr>
      <w:tr>
        <w:trPr>
          <w:trHeight w:val="283" w:hRule="atLeast"/>
        </w:trPr>
        <w:tc>
          <w:tcPr>
            <w:tcW w:w="850" w:type="dxa"/>
            <w:tcBorders>
              <w:left w:val="single" w:sz="4" w:space="0" w:color="000000"/>
              <w:bottom w:val="single" w:sz="4" w:space="0" w:color="000000"/>
            </w:tcBorders>
            <w:vAlign w:val="center"/>
          </w:tcPr>
          <w:p>
            <w:pPr>
              <w:pStyle w:val="Normal"/>
              <w:widowControl w:val="false"/>
              <w:jc w:val="center"/>
              <w:rPr>
                <w:rFonts w:ascii="Arial" w:hAnsi="Arial" w:cs="Arial"/>
                <w:b/>
              </w:rPr>
            </w:pPr>
            <w:r>
              <w:rPr>
                <w:rFonts w:cs="Arial" w:ascii="Arial" w:hAnsi="Arial"/>
                <w:b/>
              </w:rPr>
              <w:t>02</w:t>
            </w:r>
          </w:p>
        </w:tc>
        <w:tc>
          <w:tcPr>
            <w:tcW w:w="850" w:type="dxa"/>
            <w:tcBorders>
              <w:left w:val="single" w:sz="4" w:space="0" w:color="000000"/>
              <w:bottom w:val="single" w:sz="4" w:space="0" w:color="000000"/>
            </w:tcBorders>
            <w:vAlign w:val="center"/>
          </w:tcPr>
          <w:p>
            <w:pPr>
              <w:pStyle w:val="Contedodatabelauser"/>
              <w:widowControl w:val="false"/>
              <w:jc w:val="center"/>
              <w:rPr>
                <w:rFonts w:ascii="Arial" w:hAnsi="Arial" w:cs="Arial"/>
              </w:rPr>
            </w:pPr>
            <w:r>
              <w:rPr>
                <w:rFonts w:cs="Arial" w:ascii="Arial" w:hAnsi="Arial"/>
              </w:rPr>
              <w:t>2160</w:t>
            </w:r>
          </w:p>
        </w:tc>
        <w:tc>
          <w:tcPr>
            <w:tcW w:w="850" w:type="dxa"/>
            <w:tcBorders>
              <w:left w:val="single" w:sz="4" w:space="0" w:color="000000"/>
              <w:bottom w:val="single" w:sz="4" w:space="0" w:color="000000"/>
            </w:tcBorders>
            <w:vAlign w:val="center"/>
          </w:tcPr>
          <w:p>
            <w:pPr>
              <w:pStyle w:val="Contedodatabelauser"/>
              <w:widowControl w:val="false"/>
              <w:jc w:val="center"/>
              <w:rPr>
                <w:rFonts w:ascii="Arial" w:hAnsi="Arial" w:cs="Arial"/>
              </w:rPr>
            </w:pPr>
            <w:r>
              <w:rPr>
                <w:rFonts w:cs="Arial" w:ascii="Arial" w:hAnsi="Arial"/>
              </w:rPr>
              <w:t>UNI</w:t>
            </w:r>
          </w:p>
        </w:tc>
        <w:tc>
          <w:tcPr>
            <w:tcW w:w="7320" w:type="dxa"/>
            <w:tcBorders>
              <w:left w:val="single" w:sz="4" w:space="0" w:color="000000"/>
              <w:bottom w:val="single" w:sz="4" w:space="0" w:color="000000"/>
              <w:right w:val="single" w:sz="4" w:space="0" w:color="000000"/>
            </w:tcBorders>
            <w:vAlign w:val="center"/>
          </w:tcPr>
          <w:p>
            <w:pPr>
              <w:pStyle w:val="Contedodatabelauser"/>
              <w:widowControl w:val="false"/>
              <w:jc w:val="left"/>
              <w:rPr>
                <w:rFonts w:ascii="Arial" w:hAnsi="Arial" w:cs="Arial"/>
              </w:rPr>
            </w:pPr>
            <w:r>
              <w:rPr>
                <w:rFonts w:cs="Arial" w:ascii="Arial" w:hAnsi="Arial"/>
                <w:b w:val="false"/>
                <w:i w:val="false"/>
                <w:caps w:val="false"/>
                <w:smallCaps w:val="false"/>
                <w:spacing w:val="0"/>
              </w:rPr>
              <w:t>Fralda Huggies Tripla Proteção. Tamanho XXG</w:t>
            </w:r>
            <w:r>
              <w:rPr>
                <w:rFonts w:cs="Arial" w:ascii="Arial" w:hAnsi="Arial"/>
              </w:rPr>
              <w:br/>
            </w:r>
          </w:p>
        </w:tc>
      </w:tr>
      <w:tr>
        <w:trPr>
          <w:trHeight w:val="425" w:hRule="atLeast"/>
        </w:trPr>
        <w:tc>
          <w:tcPr>
            <w:tcW w:w="850" w:type="dxa"/>
            <w:tcBorders>
              <w:left w:val="single" w:sz="4" w:space="0" w:color="000000"/>
              <w:bottom w:val="single" w:sz="4" w:space="0" w:color="000000"/>
            </w:tcBorders>
            <w:vAlign w:val="center"/>
          </w:tcPr>
          <w:p>
            <w:pPr>
              <w:pStyle w:val="Normal"/>
              <w:widowControl w:val="false"/>
              <w:jc w:val="center"/>
              <w:rPr>
                <w:rFonts w:ascii="Arial" w:hAnsi="Arial" w:cs="Arial"/>
                <w:b/>
              </w:rPr>
            </w:pPr>
            <w:r>
              <w:rPr>
                <w:rFonts w:cs="Arial" w:ascii="Arial" w:hAnsi="Arial"/>
                <w:b/>
              </w:rPr>
              <w:t>03</w:t>
            </w:r>
          </w:p>
        </w:tc>
        <w:tc>
          <w:tcPr>
            <w:tcW w:w="850" w:type="dxa"/>
            <w:tcBorders>
              <w:left w:val="single" w:sz="4" w:space="0" w:color="000000"/>
              <w:bottom w:val="single" w:sz="4" w:space="0" w:color="000000"/>
            </w:tcBorders>
            <w:vAlign w:val="center"/>
          </w:tcPr>
          <w:p>
            <w:pPr>
              <w:pStyle w:val="Contedodatabelauser"/>
              <w:widowControl w:val="false"/>
              <w:jc w:val="center"/>
              <w:rPr>
                <w:rFonts w:ascii="Arial" w:hAnsi="Arial" w:cs="Arial"/>
              </w:rPr>
            </w:pPr>
            <w:r>
              <w:rPr>
                <w:rFonts w:cs="Arial" w:ascii="Arial" w:hAnsi="Arial"/>
              </w:rPr>
              <w:t>60</w:t>
            </w:r>
          </w:p>
        </w:tc>
        <w:tc>
          <w:tcPr>
            <w:tcW w:w="850" w:type="dxa"/>
            <w:tcBorders>
              <w:left w:val="single" w:sz="4" w:space="0" w:color="000000"/>
              <w:bottom w:val="single" w:sz="4" w:space="0" w:color="000000"/>
            </w:tcBorders>
            <w:vAlign w:val="center"/>
          </w:tcPr>
          <w:p>
            <w:pPr>
              <w:pStyle w:val="Contedodatabelauser"/>
              <w:widowControl w:val="false"/>
              <w:jc w:val="center"/>
              <w:rPr>
                <w:rFonts w:ascii="Arial" w:hAnsi="Arial" w:cs="Arial"/>
              </w:rPr>
            </w:pPr>
            <w:r>
              <w:rPr>
                <w:rFonts w:cs="Arial" w:ascii="Arial" w:hAnsi="Arial"/>
              </w:rPr>
              <w:t>PCT</w:t>
            </w:r>
          </w:p>
        </w:tc>
        <w:tc>
          <w:tcPr>
            <w:tcW w:w="7320" w:type="dxa"/>
            <w:tcBorders>
              <w:left w:val="single" w:sz="4" w:space="0" w:color="000000"/>
              <w:bottom w:val="single" w:sz="4" w:space="0" w:color="000000"/>
              <w:right w:val="single" w:sz="4" w:space="0" w:color="000000"/>
            </w:tcBorders>
            <w:vAlign w:val="center"/>
          </w:tcPr>
          <w:p>
            <w:pPr>
              <w:pStyle w:val="Contedodatabelauser"/>
              <w:widowControl w:val="false"/>
              <w:jc w:val="left"/>
              <w:rPr>
                <w:rFonts w:ascii="Arial" w:hAnsi="Arial" w:cs="Arial"/>
              </w:rPr>
            </w:pPr>
            <w:r>
              <w:rPr>
                <w:rFonts w:cs="Arial" w:ascii="Arial" w:hAnsi="Arial"/>
                <w:b w:val="false"/>
                <w:i w:val="false"/>
                <w:caps w:val="false"/>
                <w:smallCaps w:val="false"/>
                <w:spacing w:val="0"/>
              </w:rPr>
              <w:t>Lenços umedecidos infantil, confeccionado em fibra sintética resistente e flexível. Sem álcool etílico. Usado para higiene às trocas de fraldas. Embalagem de acordo com a praxe comercial trazendo externamente os dados de identificação, não estéril. Pacote com 96 unidades.</w:t>
            </w:r>
            <w:r>
              <w:rPr>
                <w:rFonts w:cs="Arial" w:ascii="Arial" w:hAnsi="Arial"/>
              </w:rPr>
              <w:br/>
            </w:r>
          </w:p>
        </w:tc>
      </w:tr>
    </w:tbl>
    <w:p>
      <w:pPr>
        <w:pStyle w:val="Normal"/>
        <w:jc w:val="both"/>
        <w:rPr>
          <w:rFonts w:ascii="Arial" w:hAnsi="Arial" w:cs="Arial"/>
          <w:highlight w:val="yellow"/>
        </w:rPr>
      </w:pPr>
      <w:r>
        <w:rPr>
          <w:rFonts w:cs="Arial" w:ascii="Arial" w:hAnsi="Arial"/>
          <w:highlight w:val="yellow"/>
        </w:rPr>
      </w:r>
    </w:p>
    <w:p>
      <w:pPr>
        <w:pStyle w:val="Normal"/>
        <w:shd w:val="clear" w:color="auto" w:fill="CCCCCC"/>
        <w:tabs>
          <w:tab w:val="clear" w:pos="709"/>
          <w:tab w:val="left" w:pos="3450" w:leader="none"/>
        </w:tabs>
        <w:ind w:firstLine="567"/>
        <w:jc w:val="both"/>
        <w:rPr>
          <w:rFonts w:ascii="Arial" w:hAnsi="Arial" w:cs="Arial"/>
          <w:b/>
          <w:bCs/>
        </w:rPr>
      </w:pPr>
      <w:r>
        <w:rPr>
          <w:rFonts w:cs="Arial" w:ascii="Arial" w:hAnsi="Arial"/>
          <w:b/>
          <w:bCs/>
        </w:rPr>
        <w:t>4. DA EMBALAGEM:</w:t>
      </w:r>
    </w:p>
    <w:p>
      <w:pPr>
        <w:pStyle w:val="ListParagraph"/>
        <w:numPr>
          <w:ilvl w:val="0"/>
          <w:numId w:val="5"/>
        </w:numPr>
        <w:tabs>
          <w:tab w:val="clear" w:pos="709"/>
          <w:tab w:val="left" w:pos="284" w:leader="none"/>
        </w:tabs>
        <w:spacing w:lineRule="auto" w:line="240" w:before="0" w:after="0"/>
        <w:ind w:hanging="0" w:left="0"/>
        <w:jc w:val="both"/>
        <w:rPr>
          <w:rFonts w:ascii="Arial" w:hAnsi="Arial" w:cs="Arial"/>
          <w:sz w:val="20"/>
          <w:szCs w:val="20"/>
        </w:rPr>
      </w:pPr>
      <w:r>
        <w:rPr>
          <w:rFonts w:cs="Arial" w:ascii="Arial" w:hAnsi="Arial"/>
          <w:sz w:val="20"/>
          <w:szCs w:val="20"/>
        </w:rPr>
        <w:t>Os produtos deverão ser acondicionados de acordo com a praxe do fabricante, garantindo sua integridade durante o transporte, armazenamento e uso, rotulados conforme a legislação em vigor.</w:t>
      </w:r>
    </w:p>
    <w:p>
      <w:pPr>
        <w:pStyle w:val="ListParagraph"/>
        <w:tabs>
          <w:tab w:val="clear" w:pos="709"/>
          <w:tab w:val="left" w:pos="284" w:leader="none"/>
        </w:tabs>
        <w:spacing w:lineRule="auto" w:line="240" w:before="0" w:after="0"/>
        <w:ind w:hanging="0" w:left="0"/>
        <w:jc w:val="both"/>
        <w:rPr>
          <w:rFonts w:ascii="Arial" w:hAnsi="Arial" w:cs="Arial"/>
          <w:sz w:val="20"/>
          <w:szCs w:val="20"/>
        </w:rPr>
      </w:pPr>
      <w:r>
        <w:rPr>
          <w:rFonts w:eastAsia="Arial" w:cs="Arial" w:ascii="Arial" w:hAnsi="Arial"/>
        </w:rPr>
      </w:r>
    </w:p>
    <w:p>
      <w:pPr>
        <w:pStyle w:val="Normal"/>
        <w:shd w:val="clear" w:color="auto" w:fill="CCCCCC"/>
        <w:ind w:firstLine="567"/>
        <w:jc w:val="both"/>
        <w:rPr>
          <w:rFonts w:ascii="Arial" w:hAnsi="Arial" w:cs="Arial"/>
        </w:rPr>
      </w:pPr>
      <w:r>
        <w:rPr>
          <w:rFonts w:ascii="Arial" w:hAnsi="Arial"/>
          <w:b/>
          <w:bCs/>
        </w:rPr>
        <w:t>5</w:t>
      </w:r>
      <w:r>
        <w:rPr>
          <w:b/>
          <w:bCs/>
        </w:rPr>
        <w:t>.</w:t>
      </w:r>
      <w:r>
        <w:rPr>
          <w:b/>
          <w:bCs/>
        </w:rPr>
        <w:t xml:space="preserve"> </w:t>
      </w:r>
      <w:r>
        <w:rPr>
          <w:rFonts w:cs="Arial" w:ascii="Arial" w:hAnsi="Arial"/>
          <w:b/>
          <w:bCs/>
        </w:rPr>
        <w:t>DA</w:t>
      </w:r>
      <w:r>
        <w:rPr>
          <w:rFonts w:cs="Arial" w:ascii="Arial" w:hAnsi="Arial"/>
          <w:b/>
          <w:bCs/>
        </w:rPr>
        <w:t>S</w:t>
      </w:r>
      <w:r>
        <w:rPr>
          <w:rFonts w:cs="Arial" w:ascii="Arial" w:hAnsi="Arial"/>
          <w:b/>
          <w:bCs/>
        </w:rPr>
        <w:t xml:space="preserve"> </w:t>
      </w:r>
      <w:r>
        <w:rPr>
          <w:rFonts w:cs="Arial" w:ascii="Arial" w:hAnsi="Arial"/>
          <w:b/>
          <w:bCs/>
        </w:rPr>
        <w:t>AMOSTRAS</w:t>
      </w:r>
      <w:r>
        <w:rPr>
          <w:rFonts w:cs="Arial" w:ascii="Arial" w:hAnsi="Arial"/>
          <w:b/>
          <w:bCs/>
        </w:rPr>
        <w:t>:</w:t>
      </w:r>
    </w:p>
    <w:p>
      <w:pPr>
        <w:pStyle w:val="ListParagraph"/>
        <w:widowControl/>
        <w:numPr>
          <w:ilvl w:val="0"/>
          <w:numId w:val="0"/>
        </w:numPr>
        <w:tabs>
          <w:tab w:val="clear" w:pos="709"/>
          <w:tab w:val="left" w:pos="284" w:leader="none"/>
        </w:tabs>
        <w:suppressAutoHyphens w:val="true"/>
        <w:bidi w:val="0"/>
        <w:spacing w:lineRule="auto" w:line="240" w:before="0" w:after="0"/>
        <w:ind w:hanging="0" w:left="0"/>
        <w:jc w:val="both"/>
        <w:rPr>
          <w:rFonts w:ascii="Arial" w:hAnsi="Arial" w:cs="Arial"/>
          <w:color w:val="auto"/>
          <w:kern w:val="2"/>
          <w:sz w:val="20"/>
          <w:szCs w:val="20"/>
          <w:lang w:val="pt-BR" w:eastAsia="zh-CN" w:bidi="ar-SA"/>
        </w:rPr>
      </w:pPr>
      <w:r>
        <w:rPr>
          <w:rFonts w:cs="Arial" w:ascii="Arial" w:hAnsi="Arial"/>
          <w:b/>
          <w:bCs/>
          <w:color w:val="auto"/>
          <w:kern w:val="2"/>
          <w:sz w:val="20"/>
          <w:szCs w:val="20"/>
          <w:lang w:val="pt-BR" w:eastAsia="zh-CN" w:bidi="ar-SA"/>
        </w:rPr>
        <w:t>a</w:t>
      </w:r>
      <w:r>
        <w:rPr>
          <w:rFonts w:cs="Arial" w:ascii="Arial" w:hAnsi="Arial"/>
          <w:b/>
          <w:bCs/>
          <w:color w:val="auto"/>
          <w:kern w:val="2"/>
          <w:sz w:val="20"/>
          <w:szCs w:val="20"/>
          <w:lang w:val="pt-BR" w:eastAsia="zh-CN" w:bidi="ar-SA"/>
        </w:rPr>
        <w:t>)</w:t>
      </w:r>
      <w:r>
        <w:rPr>
          <w:rFonts w:cs="Arial" w:ascii="Arial" w:hAnsi="Arial"/>
          <w:color w:val="auto"/>
          <w:kern w:val="2"/>
          <w:sz w:val="20"/>
          <w:szCs w:val="20"/>
          <w:lang w:val="pt-BR" w:eastAsia="zh-CN" w:bidi="ar-SA"/>
        </w:rPr>
        <w:t xml:space="preserve"> </w:t>
      </w:r>
      <w:r>
        <w:rPr>
          <w:rFonts w:cs="Arial" w:ascii="Arial" w:hAnsi="Arial"/>
          <w:color w:val="auto"/>
          <w:kern w:val="2"/>
          <w:sz w:val="20"/>
          <w:szCs w:val="20"/>
          <w:lang w:val="pt-BR" w:eastAsia="zh-CN" w:bidi="ar-SA"/>
        </w:rPr>
        <w:t>A U.R. se reserva ao direito de solicitar amostras do item 03 desde que seja imprescindível uma avaliação técnica física para se determinar sua capacidade de atender às necessidades a que ele se propõe e/ou nos casos de marcas não testadas anteriormente.</w:t>
      </w:r>
    </w:p>
    <w:p>
      <w:pPr>
        <w:pStyle w:val="ListParagraph"/>
        <w:widowControl/>
        <w:numPr>
          <w:ilvl w:val="0"/>
          <w:numId w:val="5"/>
        </w:numPr>
        <w:tabs>
          <w:tab w:val="clear" w:pos="709"/>
          <w:tab w:val="left" w:pos="284" w:leader="none"/>
        </w:tabs>
        <w:suppressAutoHyphens w:val="true"/>
        <w:bidi w:val="0"/>
        <w:spacing w:lineRule="auto" w:line="240" w:before="0" w:after="0"/>
        <w:ind w:left="0"/>
        <w:jc w:val="both"/>
        <w:rPr>
          <w:rFonts w:ascii="Arial" w:hAnsi="Arial" w:cs="Arial"/>
          <w:color w:val="auto"/>
          <w:kern w:val="2"/>
          <w:sz w:val="20"/>
          <w:szCs w:val="20"/>
          <w:lang w:val="pt-BR" w:eastAsia="zh-CN" w:bidi="ar-SA"/>
        </w:rPr>
      </w:pPr>
      <w:r>
        <w:rPr>
          <w:rFonts w:cs="Arial" w:ascii="Arial" w:hAnsi="Arial"/>
          <w:color w:val="auto"/>
          <w:kern w:val="2"/>
          <w:sz w:val="20"/>
          <w:szCs w:val="20"/>
          <w:lang w:val="pt-BR" w:eastAsia="zh-CN" w:bidi="ar-SA"/>
        </w:rPr>
        <w:t>A amostra solicitada será avaliada em suas características comparando-as com o descrito no edital.</w:t>
      </w:r>
    </w:p>
    <w:p>
      <w:pPr>
        <w:pStyle w:val="ListParagraph"/>
        <w:widowControl/>
        <w:numPr>
          <w:ilvl w:val="0"/>
          <w:numId w:val="5"/>
        </w:numPr>
        <w:tabs>
          <w:tab w:val="clear" w:pos="709"/>
          <w:tab w:val="left" w:pos="284" w:leader="none"/>
        </w:tabs>
        <w:suppressAutoHyphens w:val="true"/>
        <w:bidi w:val="0"/>
        <w:spacing w:lineRule="auto" w:line="240" w:before="0" w:after="0"/>
        <w:ind w:left="0"/>
        <w:jc w:val="both"/>
        <w:rPr>
          <w:rFonts w:ascii="Arial" w:hAnsi="Arial" w:cs="Arial"/>
          <w:color w:val="auto"/>
          <w:kern w:val="2"/>
          <w:sz w:val="20"/>
          <w:szCs w:val="20"/>
          <w:lang w:val="pt-BR" w:eastAsia="zh-CN" w:bidi="ar-SA"/>
        </w:rPr>
      </w:pPr>
      <w:r>
        <w:rPr>
          <w:rFonts w:cs="Arial" w:ascii="Arial" w:hAnsi="Arial"/>
          <w:color w:val="auto"/>
          <w:kern w:val="2"/>
          <w:sz w:val="20"/>
          <w:szCs w:val="20"/>
          <w:lang w:val="pt-BR" w:eastAsia="zh-CN" w:bidi="ar-SA"/>
        </w:rPr>
        <w:t>As amostras, caso sejam solicitadas, deverão ser entregues no prazo de até 03 (três) dias úteis, a partir da data de sua solicitação, que será feita através de e-mail, sob pena de desclassificação pelo não cumprimento.</w:t>
      </w:r>
    </w:p>
    <w:p>
      <w:pPr>
        <w:pStyle w:val="ListParagraph"/>
        <w:widowControl/>
        <w:numPr>
          <w:ilvl w:val="0"/>
          <w:numId w:val="5"/>
        </w:numPr>
        <w:tabs>
          <w:tab w:val="clear" w:pos="709"/>
          <w:tab w:val="left" w:pos="284" w:leader="none"/>
        </w:tabs>
        <w:suppressAutoHyphens w:val="true"/>
        <w:bidi w:val="0"/>
        <w:spacing w:lineRule="auto" w:line="240" w:before="0" w:after="0"/>
        <w:ind w:left="0"/>
        <w:jc w:val="both"/>
        <w:rPr>
          <w:rFonts w:ascii="Arial" w:hAnsi="Arial" w:cs="Arial"/>
          <w:color w:val="auto"/>
          <w:kern w:val="2"/>
          <w:sz w:val="20"/>
          <w:szCs w:val="20"/>
          <w:lang w:val="pt-BR" w:eastAsia="zh-CN" w:bidi="ar-SA"/>
        </w:rPr>
      </w:pPr>
      <w:r>
        <w:rPr>
          <w:rFonts w:cs="Arial" w:ascii="Arial" w:hAnsi="Arial"/>
          <w:color w:val="auto"/>
          <w:kern w:val="2"/>
          <w:sz w:val="20"/>
          <w:szCs w:val="20"/>
          <w:lang w:val="pt-BR" w:eastAsia="zh-CN" w:bidi="ar-SA"/>
        </w:rPr>
        <w:t>As amostras de produtos não reutilizáveis serão testadas e descartadas após o uso.</w:t>
      </w:r>
    </w:p>
    <w:p>
      <w:pPr>
        <w:pStyle w:val="ListParagraph"/>
        <w:widowControl/>
        <w:numPr>
          <w:ilvl w:val="0"/>
          <w:numId w:val="5"/>
        </w:numPr>
        <w:tabs>
          <w:tab w:val="clear" w:pos="709"/>
          <w:tab w:val="left" w:pos="284" w:leader="none"/>
        </w:tabs>
        <w:suppressAutoHyphens w:val="true"/>
        <w:bidi w:val="0"/>
        <w:spacing w:lineRule="auto" w:line="240" w:before="0" w:after="0"/>
        <w:ind w:left="0"/>
        <w:jc w:val="both"/>
        <w:rPr>
          <w:rFonts w:ascii="Arial" w:hAnsi="Arial" w:cs="Arial"/>
          <w:color w:val="auto"/>
          <w:kern w:val="2"/>
          <w:sz w:val="20"/>
          <w:szCs w:val="20"/>
          <w:lang w:val="pt-BR" w:eastAsia="zh-CN" w:bidi="ar-SA"/>
        </w:rPr>
      </w:pPr>
      <w:r>
        <w:rPr>
          <w:rFonts w:cs="Arial" w:ascii="Arial" w:hAnsi="Arial"/>
          <w:color w:val="auto"/>
          <w:kern w:val="2"/>
          <w:sz w:val="20"/>
          <w:szCs w:val="20"/>
          <w:lang w:val="pt-BR" w:eastAsia="zh-CN" w:bidi="ar-SA"/>
        </w:rPr>
        <w:t xml:space="preserve">Local e horário de entrega: </w:t>
      </w:r>
    </w:p>
    <w:p>
      <w:pPr>
        <w:pStyle w:val="ListParagraph"/>
        <w:widowControl/>
        <w:numPr>
          <w:ilvl w:val="0"/>
          <w:numId w:val="0"/>
        </w:numPr>
        <w:tabs>
          <w:tab w:val="clear" w:pos="709"/>
          <w:tab w:val="left" w:pos="284" w:leader="none"/>
        </w:tabs>
        <w:suppressAutoHyphens w:val="true"/>
        <w:bidi w:val="0"/>
        <w:spacing w:lineRule="auto" w:line="240" w:before="0" w:after="0"/>
        <w:ind w:hanging="0" w:left="0"/>
        <w:jc w:val="both"/>
        <w:rPr>
          <w:rFonts w:ascii="Arial" w:hAnsi="Arial" w:cs="Arial"/>
          <w:color w:val="auto"/>
          <w:kern w:val="2"/>
          <w:sz w:val="20"/>
          <w:szCs w:val="20"/>
          <w:lang w:val="pt-BR" w:eastAsia="zh-CN" w:bidi="ar-SA"/>
        </w:rPr>
      </w:pPr>
      <w:r>
        <w:rPr>
          <w:rFonts w:cs="Arial" w:ascii="Arial" w:hAnsi="Arial"/>
          <w:color w:val="auto"/>
          <w:kern w:val="2"/>
          <w:sz w:val="20"/>
          <w:szCs w:val="20"/>
          <w:lang w:val="pt-BR" w:eastAsia="zh-CN" w:bidi="ar-SA"/>
        </w:rPr>
        <w:t xml:space="preserve">Prefeitura Municipal de Piracicaba - Secretaria Municipal de Saúde </w:t>
      </w:r>
    </w:p>
    <w:p>
      <w:pPr>
        <w:pStyle w:val="ListParagraph"/>
        <w:widowControl/>
        <w:numPr>
          <w:ilvl w:val="0"/>
          <w:numId w:val="0"/>
        </w:numPr>
        <w:tabs>
          <w:tab w:val="clear" w:pos="709"/>
          <w:tab w:val="left" w:pos="284" w:leader="none"/>
        </w:tabs>
        <w:suppressAutoHyphens w:val="true"/>
        <w:bidi w:val="0"/>
        <w:spacing w:lineRule="auto" w:line="240" w:before="0" w:after="0"/>
        <w:ind w:hanging="0" w:left="0"/>
        <w:jc w:val="both"/>
        <w:rPr>
          <w:rFonts w:ascii="Arial" w:hAnsi="Arial" w:cs="Arial"/>
          <w:color w:val="auto"/>
          <w:kern w:val="2"/>
          <w:sz w:val="20"/>
          <w:szCs w:val="20"/>
          <w:lang w:val="pt-BR" w:eastAsia="zh-CN" w:bidi="ar-SA"/>
        </w:rPr>
      </w:pPr>
      <w:r>
        <w:rPr>
          <w:rFonts w:cs="Arial" w:ascii="Arial" w:hAnsi="Arial"/>
          <w:color w:val="auto"/>
          <w:kern w:val="2"/>
          <w:sz w:val="20"/>
          <w:szCs w:val="20"/>
          <w:lang w:val="pt-BR" w:eastAsia="zh-CN" w:bidi="ar-SA"/>
        </w:rPr>
        <w:t xml:space="preserve">A/C Sra. Milena A. Ruggiero R. Antônio Corrêa Barbosa, 2233 - Chácara Nazaré, Piracicaba - SP, 13400-810, 8º Andar </w:t>
      </w:r>
    </w:p>
    <w:p>
      <w:pPr>
        <w:pStyle w:val="ListParagraph"/>
        <w:widowControl/>
        <w:numPr>
          <w:ilvl w:val="0"/>
          <w:numId w:val="0"/>
        </w:numPr>
        <w:tabs>
          <w:tab w:val="clear" w:pos="709"/>
          <w:tab w:val="left" w:pos="284" w:leader="none"/>
        </w:tabs>
        <w:suppressAutoHyphens w:val="true"/>
        <w:bidi w:val="0"/>
        <w:spacing w:lineRule="auto" w:line="240" w:before="0" w:after="0"/>
        <w:ind w:hanging="0" w:left="0"/>
        <w:jc w:val="both"/>
        <w:rPr>
          <w:rFonts w:ascii="Arial" w:hAnsi="Arial" w:cs="Arial"/>
          <w:color w:val="auto"/>
          <w:kern w:val="2"/>
          <w:sz w:val="20"/>
          <w:szCs w:val="20"/>
          <w:lang w:val="pt-BR" w:eastAsia="zh-CN" w:bidi="ar-SA"/>
        </w:rPr>
      </w:pPr>
      <w:r>
        <w:rPr>
          <w:rFonts w:cs="Arial" w:ascii="Arial" w:hAnsi="Arial"/>
          <w:color w:val="auto"/>
          <w:kern w:val="2"/>
          <w:sz w:val="20"/>
          <w:szCs w:val="20"/>
          <w:lang w:val="pt-BR" w:eastAsia="zh-CN" w:bidi="ar-SA"/>
        </w:rPr>
        <w:t xml:space="preserve">Horário de entrega: de 08:00 às 16:00 horas, de segunda à sexta-feira. </w:t>
      </w:r>
    </w:p>
    <w:p>
      <w:pPr>
        <w:pStyle w:val="ListParagraph"/>
        <w:tabs>
          <w:tab w:val="clear" w:pos="709"/>
          <w:tab w:val="left" w:pos="284" w:leader="none"/>
        </w:tabs>
        <w:spacing w:lineRule="auto" w:line="240" w:before="0" w:after="0"/>
        <w:ind w:hanging="0" w:left="0"/>
        <w:jc w:val="both"/>
        <w:rPr>
          <w:rFonts w:ascii="Arial" w:hAnsi="Arial" w:cs="Arial"/>
          <w:sz w:val="20"/>
          <w:szCs w:val="20"/>
        </w:rPr>
      </w:pPr>
      <w:r>
        <w:rPr>
          <w:rFonts w:eastAsia="Arial" w:cs="Arial" w:ascii="Arial" w:hAnsi="Arial"/>
        </w:rPr>
      </w:r>
    </w:p>
    <w:p>
      <w:pPr>
        <w:pStyle w:val="ListParagraph"/>
        <w:tabs>
          <w:tab w:val="clear" w:pos="709"/>
          <w:tab w:val="left" w:pos="284" w:leader="none"/>
        </w:tabs>
        <w:spacing w:lineRule="auto" w:line="240" w:before="0" w:after="0"/>
        <w:ind w:hanging="0" w:left="0"/>
        <w:jc w:val="both"/>
        <w:rPr>
          <w:rFonts w:ascii="Arial" w:hAnsi="Arial" w:cs="Arial"/>
          <w:sz w:val="20"/>
          <w:szCs w:val="20"/>
        </w:rPr>
      </w:pPr>
      <w:r>
        <w:rPr>
          <w:rFonts w:eastAsia="Arial" w:cs="Arial" w:ascii="Arial" w:hAnsi="Arial"/>
        </w:rPr>
      </w:r>
    </w:p>
    <w:p>
      <w:pPr>
        <w:pStyle w:val="Normal"/>
        <w:shd w:val="clear" w:color="auto" w:fill="CCCCCC"/>
        <w:ind w:firstLine="567"/>
        <w:jc w:val="both"/>
        <w:rPr>
          <w:rFonts w:ascii="Arial" w:hAnsi="Arial" w:cs="Arial"/>
        </w:rPr>
      </w:pPr>
      <w:r>
        <w:rPr>
          <w:rFonts w:cs="Arial" w:ascii="Arial" w:hAnsi="Arial"/>
          <w:b/>
          <w:bCs/>
        </w:rPr>
        <w:t>6</w:t>
      </w:r>
      <w:r>
        <w:rPr>
          <w:rFonts w:cs="Arial" w:ascii="Arial" w:hAnsi="Arial"/>
          <w:b/>
          <w:bCs/>
        </w:rPr>
        <w:t>. DA ENTREGA:</w:t>
      </w:r>
    </w:p>
    <w:p>
      <w:pPr>
        <w:pStyle w:val="Normal"/>
        <w:numPr>
          <w:ilvl w:val="0"/>
          <w:numId w:val="26"/>
        </w:numPr>
        <w:tabs>
          <w:tab w:val="clear" w:pos="709"/>
          <w:tab w:val="left" w:pos="284" w:leader="none"/>
        </w:tabs>
        <w:jc w:val="both"/>
        <w:rPr>
          <w:rFonts w:ascii="Arial" w:hAnsi="Arial" w:cs="Arial"/>
          <w:lang w:eastAsia="pt-BR"/>
        </w:rPr>
      </w:pPr>
      <w:r>
        <w:rPr>
          <w:rFonts w:cs="Arial" w:ascii="Arial" w:hAnsi="Arial"/>
          <w:lang w:eastAsia="pt-BR"/>
        </w:rPr>
        <w:t xml:space="preserve">Prazo de entrega: até o máximo de </w:t>
      </w:r>
      <w:r>
        <w:rPr>
          <w:rFonts w:cs="Arial" w:ascii="Arial" w:hAnsi="Arial"/>
          <w:lang w:eastAsia="pt-BR"/>
        </w:rPr>
        <w:t>20 (vinte</w:t>
      </w:r>
      <w:r>
        <w:rPr>
          <w:rFonts w:cs="Arial" w:ascii="Arial" w:hAnsi="Arial"/>
          <w:lang w:eastAsia="pt-BR"/>
        </w:rPr>
        <w:t>) dias, a contar da Ordem de Fornecimento, emitida pela Unidade Requisitante.</w:t>
      </w:r>
    </w:p>
    <w:p>
      <w:pPr>
        <w:pStyle w:val="Normal"/>
        <w:numPr>
          <w:ilvl w:val="0"/>
          <w:numId w:val="27"/>
        </w:numPr>
        <w:tabs>
          <w:tab w:val="clear" w:pos="709"/>
          <w:tab w:val="left" w:pos="284" w:leader="none"/>
        </w:tabs>
        <w:jc w:val="both"/>
        <w:rPr>
          <w:rFonts w:ascii="Arial" w:hAnsi="Arial" w:cs="Arial"/>
          <w:lang w:eastAsia="pt-BR"/>
        </w:rPr>
      </w:pPr>
      <w:r>
        <w:rPr>
          <w:rFonts w:cs="Arial" w:ascii="Arial" w:hAnsi="Arial"/>
          <w:lang w:eastAsia="pt-BR"/>
        </w:rPr>
        <w:t>Local de entrega: Secretaria Municipal de Saúde - Almoxarifado I</w:t>
      </w:r>
    </w:p>
    <w:p>
      <w:pPr>
        <w:pStyle w:val="Normal"/>
        <w:tabs>
          <w:tab w:val="clear" w:pos="709"/>
          <w:tab w:val="left" w:pos="284" w:leader="none"/>
        </w:tabs>
        <w:jc w:val="both"/>
        <w:rPr>
          <w:rFonts w:ascii="Arial" w:hAnsi="Arial" w:cs="Arial"/>
          <w:lang w:eastAsia="pt-BR"/>
        </w:rPr>
      </w:pPr>
      <w:r>
        <w:rPr>
          <w:rFonts w:cs="Arial" w:ascii="Arial" w:hAnsi="Arial"/>
          <w:lang w:eastAsia="pt-BR"/>
        </w:rPr>
        <w:t>Rua Fernando Lopes nº 1.410 Bairro Pauliceia CEP. 13.424-060</w:t>
      </w:r>
    </w:p>
    <w:p>
      <w:pPr>
        <w:pStyle w:val="Normal"/>
        <w:tabs>
          <w:tab w:val="clear" w:pos="709"/>
          <w:tab w:val="left" w:pos="284" w:leader="none"/>
        </w:tabs>
        <w:jc w:val="both"/>
        <w:rPr>
          <w:rFonts w:ascii="Arial" w:hAnsi="Arial" w:cs="Arial"/>
          <w:lang w:eastAsia="pt-BR"/>
        </w:rPr>
      </w:pPr>
      <w:r>
        <w:rPr>
          <w:rFonts w:cs="Arial" w:ascii="Arial" w:hAnsi="Arial"/>
          <w:lang w:eastAsia="pt-BR"/>
        </w:rPr>
        <w:t>Horário de entrega: das 08h00 às 11h00 e das 13h00 às 16h00, de segunda à sexta-feira</w:t>
      </w:r>
    </w:p>
    <w:p>
      <w:pPr>
        <w:pStyle w:val="Normal"/>
        <w:numPr>
          <w:ilvl w:val="0"/>
          <w:numId w:val="28"/>
        </w:numPr>
        <w:tabs>
          <w:tab w:val="clear" w:pos="709"/>
          <w:tab w:val="left" w:pos="284" w:leader="none"/>
        </w:tabs>
        <w:jc w:val="both"/>
        <w:rPr>
          <w:rFonts w:ascii="Arial" w:hAnsi="Arial" w:cs="Arial"/>
          <w:lang w:eastAsia="pt-BR"/>
        </w:rPr>
      </w:pPr>
      <w:r>
        <w:rPr>
          <w:rFonts w:cs="Arial" w:ascii="Arial" w:hAnsi="Arial"/>
        </w:rPr>
        <w:t>A empresa vencedora deverá seguir programação da Prefeitura Municipal de Piracicaba quanto a data, horário e quantidade dos produtos a serem entregues.</w:t>
      </w:r>
    </w:p>
    <w:p>
      <w:pPr>
        <w:pStyle w:val="Normal"/>
        <w:numPr>
          <w:ilvl w:val="0"/>
          <w:numId w:val="29"/>
        </w:numPr>
        <w:tabs>
          <w:tab w:val="clear" w:pos="709"/>
          <w:tab w:val="left" w:pos="284" w:leader="none"/>
        </w:tabs>
        <w:jc w:val="both"/>
        <w:rPr>
          <w:rFonts w:ascii="Arial" w:hAnsi="Arial" w:cs="Arial"/>
          <w:lang w:eastAsia="pt-BR"/>
        </w:rPr>
      </w:pPr>
      <w:r>
        <w:rPr>
          <w:rFonts w:cs="Arial" w:ascii="Arial" w:hAnsi="Arial"/>
        </w:rPr>
        <w:t>É obrigatório que o material seja entregue com pelo menos 80% do seu tempo de validade.</w:t>
      </w:r>
    </w:p>
    <w:p>
      <w:pPr>
        <w:pStyle w:val="Normal"/>
        <w:numPr>
          <w:ilvl w:val="0"/>
          <w:numId w:val="30"/>
        </w:numPr>
        <w:tabs>
          <w:tab w:val="clear" w:pos="709"/>
          <w:tab w:val="left" w:pos="284" w:leader="none"/>
        </w:tabs>
        <w:jc w:val="both"/>
        <w:rPr>
          <w:rFonts w:ascii="Arial" w:hAnsi="Arial" w:cs="Arial"/>
          <w:lang w:eastAsia="pt-BR"/>
        </w:rPr>
      </w:pPr>
      <w:r>
        <w:rPr>
          <w:rFonts w:cs="Arial" w:ascii="Arial" w:hAnsi="Arial"/>
        </w:rPr>
        <w:t>Produtos com validade entre 65 e 80% serão aceitos com carta de compromisso de troca, a ser executada com 60 dias de antecedência à data de expiração da validade.</w:t>
      </w:r>
    </w:p>
    <w:p>
      <w:pPr>
        <w:pStyle w:val="Normal"/>
        <w:numPr>
          <w:ilvl w:val="0"/>
          <w:numId w:val="31"/>
        </w:numPr>
        <w:tabs>
          <w:tab w:val="clear" w:pos="709"/>
          <w:tab w:val="left" w:pos="284" w:leader="none"/>
        </w:tabs>
        <w:jc w:val="both"/>
        <w:rPr>
          <w:rFonts w:ascii="Arial" w:hAnsi="Arial" w:cs="Arial"/>
          <w:lang w:eastAsia="pt-BR"/>
        </w:rPr>
      </w:pPr>
      <w:r>
        <w:rPr>
          <w:rFonts w:cs="Arial" w:ascii="Arial" w:hAnsi="Arial"/>
        </w:rPr>
        <w:t>A Contratada será responsável pelo transporte e descarregamento do produto, devendo entregá-los em condições adequadas para o armazenamento.</w:t>
      </w:r>
    </w:p>
    <w:p>
      <w:pPr>
        <w:pStyle w:val="Normal"/>
        <w:numPr>
          <w:ilvl w:val="0"/>
          <w:numId w:val="32"/>
        </w:numPr>
        <w:tabs>
          <w:tab w:val="clear" w:pos="709"/>
          <w:tab w:val="left" w:pos="284" w:leader="none"/>
        </w:tabs>
        <w:jc w:val="both"/>
        <w:rPr>
          <w:rFonts w:ascii="Arial" w:hAnsi="Arial" w:cs="Arial"/>
          <w:lang w:eastAsia="pt-BR"/>
        </w:rPr>
      </w:pPr>
      <w:r>
        <w:rPr>
          <w:rFonts w:cs="Arial" w:ascii="Arial" w:hAnsi="Arial"/>
        </w:rPr>
        <w:t>O recebimento será considerado provisório, para efeito de posterior verificação da quantidade e conformidade dos produtos com as especificações, no prazo de até 03 (três) dias, a contar da entrega.</w:t>
      </w:r>
    </w:p>
    <w:p>
      <w:pPr>
        <w:pStyle w:val="Normal"/>
        <w:numPr>
          <w:ilvl w:val="0"/>
          <w:numId w:val="33"/>
        </w:numPr>
        <w:tabs>
          <w:tab w:val="clear" w:pos="709"/>
          <w:tab w:val="left" w:pos="284" w:leader="none"/>
        </w:tabs>
        <w:jc w:val="both"/>
        <w:rPr>
          <w:rFonts w:ascii="Arial" w:hAnsi="Arial" w:cs="Arial"/>
          <w:lang w:eastAsia="pt-BR"/>
        </w:rPr>
      </w:pPr>
      <w:r>
        <w:rPr>
          <w:rFonts w:cs="Arial" w:ascii="Arial" w:hAnsi="Arial"/>
        </w:rPr>
        <w:t>O recebimento será considerado definitivo, após a verificação da qualidade dos produtos e consequente aceitação, no prazo de até 30 (trinta) dias, a contar do recebimento provisório.</w:t>
      </w:r>
    </w:p>
    <w:p>
      <w:pPr>
        <w:pStyle w:val="Normal"/>
        <w:numPr>
          <w:ilvl w:val="0"/>
          <w:numId w:val="34"/>
        </w:numPr>
        <w:tabs>
          <w:tab w:val="clear" w:pos="709"/>
          <w:tab w:val="left" w:pos="284" w:leader="none"/>
        </w:tabs>
        <w:jc w:val="both"/>
        <w:rPr>
          <w:rFonts w:ascii="Arial" w:hAnsi="Arial" w:cs="Arial"/>
          <w:lang w:eastAsia="pt-BR"/>
        </w:rPr>
      </w:pPr>
      <w:r>
        <w:rPr>
          <w:rFonts w:cs="Arial" w:ascii="Arial" w:hAnsi="Arial"/>
        </w:rPr>
        <w:t>Se for constatada qualquer alteração na qualidade ou composição durante a validade dos produtos, a contratada se compromete a trocá-los sem ônus para a contratante, no prazo máximo de 10 (dez) dias, a contar da notificação.</w:t>
      </w:r>
    </w:p>
    <w:p>
      <w:pPr>
        <w:pStyle w:val="Normal"/>
        <w:numPr>
          <w:ilvl w:val="0"/>
          <w:numId w:val="35"/>
        </w:numPr>
        <w:tabs>
          <w:tab w:val="clear" w:pos="709"/>
          <w:tab w:val="left" w:pos="284" w:leader="none"/>
        </w:tabs>
        <w:jc w:val="both"/>
        <w:rPr>
          <w:rFonts w:ascii="Arial" w:hAnsi="Arial" w:cs="Arial"/>
          <w:lang w:eastAsia="pt-BR"/>
        </w:rPr>
      </w:pPr>
      <w:r>
        <w:rPr>
          <w:rFonts w:cs="Arial" w:ascii="Arial" w:hAnsi="Arial"/>
        </w:rPr>
        <w:t>Por tratar-se de mandado judicial a programação de entrega poderá sofrer alterações ou até mesmo ser suspensa.</w:t>
      </w:r>
    </w:p>
    <w:p>
      <w:pPr>
        <w:pStyle w:val="Normal"/>
        <w:tabs>
          <w:tab w:val="clear" w:pos="709"/>
          <w:tab w:val="left" w:pos="284" w:leader="none"/>
        </w:tabs>
        <w:jc w:val="both"/>
        <w:rPr>
          <w:rFonts w:ascii="Arial" w:hAnsi="Arial" w:cs="Arial"/>
          <w:lang w:eastAsia="pt-BR"/>
        </w:rPr>
      </w:pPr>
      <w:r>
        <w:rPr/>
      </w:r>
    </w:p>
    <w:p>
      <w:pPr>
        <w:pStyle w:val="Normal"/>
        <w:shd w:val="clear" w:color="auto" w:fill="DDDDDD"/>
        <w:ind w:firstLine="567"/>
        <w:jc w:val="both"/>
        <w:rPr>
          <w:rFonts w:ascii="Arial" w:hAnsi="Arial" w:cs="Arial"/>
        </w:rPr>
      </w:pPr>
      <w:r>
        <w:rPr>
          <w:rFonts w:cs="Arial" w:ascii="Arial" w:hAnsi="Arial"/>
          <w:b/>
          <w:bCs/>
          <w:lang w:eastAsia="pt-BR"/>
        </w:rPr>
        <w:t>7</w:t>
      </w:r>
      <w:r>
        <w:rPr>
          <w:rFonts w:cs="Arial" w:ascii="Arial" w:hAnsi="Arial"/>
          <w:b/>
          <w:bCs/>
          <w:lang w:eastAsia="pt-BR"/>
        </w:rPr>
        <w:t>. D</w:t>
      </w:r>
      <w:r>
        <w:rPr>
          <w:rFonts w:cs="Arial" w:ascii="Arial" w:hAnsi="Arial"/>
          <w:b/>
          <w:bCs/>
          <w:lang w:eastAsia="pt-BR"/>
        </w:rPr>
        <w:t>A SUBCONTRATAÇÃO</w:t>
      </w:r>
    </w:p>
    <w:p>
      <w:pPr>
        <w:pStyle w:val="Normal"/>
        <w:tabs>
          <w:tab w:val="clear" w:pos="709"/>
          <w:tab w:val="left" w:pos="284" w:leader="none"/>
        </w:tabs>
        <w:jc w:val="both"/>
        <w:rPr>
          <w:rFonts w:ascii="Arial" w:hAnsi="Arial" w:cs="Arial"/>
          <w:highlight w:val="none"/>
          <w:shd w:fill="auto" w:val="clear"/>
        </w:rPr>
      </w:pPr>
      <w:r>
        <w:rPr>
          <w:rFonts w:cs="Arial" w:ascii="Arial" w:hAnsi="Arial"/>
          <w:b/>
          <w:bCs/>
          <w:i w:val="false"/>
          <w:caps w:val="false"/>
          <w:smallCaps w:val="false"/>
          <w:spacing w:val="0"/>
          <w:shd w:fill="auto" w:val="clear"/>
        </w:rPr>
        <w:t>a)</w:t>
      </w:r>
      <w:r>
        <w:rPr>
          <w:rFonts w:cs="Arial" w:ascii="Arial" w:hAnsi="Arial"/>
          <w:caps w:val="false"/>
          <w:smallCaps w:val="false"/>
          <w:spacing w:val="0"/>
          <w:shd w:fill="auto" w:val="clear"/>
        </w:rPr>
        <w:t xml:space="preserve"> </w:t>
      </w:r>
      <w:r>
        <w:rPr>
          <w:rFonts w:cs="Arial" w:ascii="Arial" w:hAnsi="Arial"/>
          <w:b w:val="false"/>
          <w:i w:val="false"/>
          <w:caps w:val="false"/>
          <w:smallCaps w:val="false"/>
          <w:spacing w:val="0"/>
          <w:shd w:fill="auto" w:val="clear"/>
        </w:rPr>
        <w:t>Não é admitida a subcontratação do objeto contratual.</w:t>
      </w:r>
      <w:r>
        <w:rPr>
          <w:rFonts w:cs="Arial" w:ascii="Arial" w:hAnsi="Arial"/>
          <w:shd w:fill="auto" w:val="clear"/>
        </w:rPr>
        <w:t xml:space="preserve"> </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shd w:val="clear" w:color="auto" w:fill="DDDDDD"/>
        <w:ind w:firstLine="567"/>
        <w:jc w:val="both"/>
        <w:rPr>
          <w:rFonts w:ascii="Arial" w:hAnsi="Arial" w:cs="Arial"/>
        </w:rPr>
      </w:pPr>
      <w:r>
        <w:rPr>
          <w:rFonts w:ascii="Arial" w:hAnsi="Arial"/>
          <w:b/>
          <w:bCs/>
          <w:lang w:eastAsia="pt-BR"/>
        </w:rPr>
        <w:t>8.</w:t>
      </w:r>
      <w:r>
        <w:rPr>
          <w:b/>
          <w:bCs/>
          <w:lang w:eastAsia="pt-BR"/>
        </w:rPr>
        <w:t xml:space="preserve"> </w:t>
      </w:r>
      <w:r>
        <w:rPr>
          <w:rFonts w:ascii="Arial" w:hAnsi="Arial"/>
          <w:b/>
          <w:bCs/>
          <w:lang w:eastAsia="pt-BR"/>
        </w:rPr>
        <w:t>DA SUSTENTABILIDADE</w:t>
      </w:r>
    </w:p>
    <w:p>
      <w:pPr>
        <w:pStyle w:val="Normal"/>
        <w:tabs>
          <w:tab w:val="clear" w:pos="709"/>
          <w:tab w:val="left" w:pos="284" w:leader="none"/>
        </w:tabs>
        <w:jc w:val="both"/>
        <w:rPr>
          <w:rFonts w:ascii="Arial" w:hAnsi="Arial" w:cs="Arial"/>
          <w:highlight w:val="none"/>
          <w:shd w:fill="auto" w:val="clear"/>
        </w:rPr>
      </w:pPr>
      <w:r>
        <w:rPr>
          <w:rFonts w:cs="Arial" w:ascii="Arial" w:hAnsi="Arial"/>
          <w:b/>
          <w:bCs/>
          <w:i w:val="false"/>
          <w:caps w:val="false"/>
          <w:smallCaps w:val="false"/>
          <w:spacing w:val="0"/>
          <w:shd w:fill="auto" w:val="clear"/>
        </w:rPr>
        <w:t xml:space="preserve">a) </w:t>
      </w:r>
      <w:r>
        <w:rPr>
          <w:rFonts w:cs="Arial" w:ascii="Arial" w:hAnsi="Arial"/>
          <w:b w:val="false"/>
          <w:i w:val="false"/>
          <w:caps w:val="false"/>
          <w:smallCaps w:val="false"/>
          <w:spacing w:val="0"/>
          <w:shd w:fill="auto" w:val="clear"/>
        </w:rPr>
        <w:t>Baseado no Guia Nacional de Contratações Sustentáveis, a licitante vencedora deverá promover a sustentabilidade ambiental, através de menor utilização de recursos naturais em seus processos produtivos, menor presença de materiais perigosos ou tóxicos, maior vida útil, possibilidade de reutilização ou reciclagem, geração de menor volume de resíduos. Os produtos devem ser acondicionados em embalagens recicláveis ou recicladas.</w:t>
      </w:r>
      <w:r>
        <w:rPr>
          <w:rFonts w:cs="Arial" w:ascii="Arial" w:hAnsi="Arial"/>
          <w:shd w:fill="auto" w:val="clear"/>
        </w:rPr>
        <w:t xml:space="preserve"> </w:t>
      </w:r>
    </w:p>
    <w:p>
      <w:pPr>
        <w:pStyle w:val="Normal"/>
        <w:tabs>
          <w:tab w:val="clear" w:pos="709"/>
          <w:tab w:val="left" w:pos="284" w:leader="none"/>
        </w:tabs>
        <w:jc w:val="both"/>
        <w:rPr>
          <w:rFonts w:ascii="Arial" w:hAnsi="Arial" w:cs="Arial"/>
          <w:highlight w:val="none"/>
          <w:shd w:fill="auto" w:val="clear"/>
        </w:rPr>
      </w:pPr>
      <w:r>
        <w:rPr>
          <w:rFonts w:cs="Arial" w:ascii="Arial" w:hAnsi="Arial"/>
          <w:b/>
          <w:bCs/>
          <w:i w:val="false"/>
          <w:caps w:val="false"/>
          <w:smallCaps w:val="false"/>
          <w:spacing w:val="0"/>
          <w:shd w:fill="auto" w:val="clear"/>
        </w:rPr>
        <w:t>b)</w:t>
      </w:r>
      <w:r>
        <w:rPr>
          <w:rFonts w:cs="Arial" w:ascii="Arial" w:hAnsi="Arial"/>
          <w:caps w:val="false"/>
          <w:smallCaps w:val="false"/>
          <w:spacing w:val="0"/>
          <w:shd w:fill="auto" w:val="clear"/>
        </w:rPr>
        <w:t xml:space="preserve"> </w:t>
      </w:r>
      <w:r>
        <w:rPr>
          <w:rFonts w:cs="Arial" w:ascii="Arial" w:hAnsi="Arial"/>
          <w:b w:val="false"/>
          <w:i w:val="false"/>
          <w:caps w:val="false"/>
          <w:smallCaps w:val="false"/>
          <w:spacing w:val="0"/>
          <w:shd w:fill="auto" w:val="clear"/>
        </w:rPr>
        <w:t>Por se tratar de aquisição de medicamentos, insumos hospitalares ou materiais da área de saúde, o armazenamento, manuseio e descarte dos mesmos devem ser realizados de forma adequada, com vista a evitar a contaminação do solo, da água e do ar.</w:t>
      </w:r>
      <w:r>
        <w:rPr>
          <w:rFonts w:cs="Arial" w:ascii="Arial" w:hAnsi="Arial"/>
          <w:shd w:fill="auto" w:val="clear"/>
        </w:rPr>
        <w:t xml:space="preserve"> </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shd w:val="clear" w:color="auto" w:fill="DDDDDD"/>
        <w:ind w:firstLine="567"/>
        <w:jc w:val="both"/>
        <w:rPr>
          <w:rFonts w:ascii="Arial" w:hAnsi="Arial" w:cs="Arial"/>
        </w:rPr>
      </w:pPr>
      <w:r>
        <w:rPr>
          <w:rFonts w:cs="Arial" w:ascii="Arial" w:hAnsi="Arial"/>
          <w:b/>
          <w:bCs/>
        </w:rPr>
        <w:t>9</w:t>
      </w:r>
      <w:r>
        <w:rPr>
          <w:rFonts w:cs="Arial" w:ascii="Arial" w:hAnsi="Arial"/>
          <w:b/>
          <w:bCs/>
        </w:rPr>
        <w:t>. DO FORNECIMENTO DE INFORMAÇÕES:</w:t>
      </w:r>
    </w:p>
    <w:p>
      <w:pPr>
        <w:pStyle w:val="Normal"/>
        <w:numPr>
          <w:ilvl w:val="0"/>
          <w:numId w:val="6"/>
        </w:numPr>
        <w:tabs>
          <w:tab w:val="clear" w:pos="709"/>
          <w:tab w:val="left" w:pos="284" w:leader="none"/>
          <w:tab w:val="left" w:pos="567" w:leader="none"/>
        </w:tabs>
        <w:jc w:val="both"/>
        <w:rPr>
          <w:rFonts w:ascii="Arial" w:hAnsi="Arial" w:cs="Arial"/>
        </w:rPr>
      </w:pPr>
      <w:r>
        <w:rPr>
          <w:rFonts w:cs="Arial" w:ascii="Arial" w:hAnsi="Arial"/>
        </w:rPr>
        <w:t xml:space="preserve">As informações ou esclarecimentos referentes a presente licitação deverão ser inseridas no sistema de processamento da licitação, através do sítio eletrônico: </w:t>
      </w:r>
      <w:hyperlink r:id="rId3">
        <w:r>
          <w:rPr>
            <w:rStyle w:val="Style"/>
            <w:rFonts w:cs="Arial" w:ascii="Arial" w:hAnsi="Arial"/>
            <w:color w:val="0000FF"/>
            <w:u w:val="single"/>
          </w:rPr>
          <w:t>https://bnccompras.com</w:t>
        </w:r>
      </w:hyperlink>
      <w:r>
        <w:rPr>
          <w:rFonts w:cs="Arial" w:ascii="Arial" w:hAnsi="Arial"/>
        </w:rPr>
        <w:t>.</w:t>
      </w:r>
    </w:p>
    <w:p>
      <w:pPr>
        <w:pStyle w:val="Normal"/>
        <w:numPr>
          <w:ilvl w:val="1"/>
          <w:numId w:val="6"/>
        </w:numPr>
        <w:tabs>
          <w:tab w:val="clear" w:pos="709"/>
          <w:tab w:val="left" w:pos="284" w:leader="none"/>
        </w:tabs>
        <w:jc w:val="both"/>
        <w:rPr>
          <w:rFonts w:ascii="Arial" w:hAnsi="Arial" w:cs="Arial"/>
        </w:rPr>
      </w:pPr>
      <w:r>
        <w:rPr>
          <w:rFonts w:cs="Arial" w:ascii="Arial" w:hAnsi="Arial"/>
        </w:rPr>
        <w:t xml:space="preserve">O prazo para o interessado realizar a solicitação de esclarecimento será até as </w:t>
      </w:r>
      <w:r>
        <w:rPr>
          <w:rFonts w:cs="Arial" w:ascii="Arial" w:hAnsi="Arial"/>
          <w:b/>
        </w:rPr>
        <w:t>12h00 do dia útil anterior</w:t>
      </w:r>
      <w:r>
        <w:rPr>
          <w:rFonts w:cs="Arial" w:ascii="Arial" w:hAnsi="Arial"/>
        </w:rPr>
        <w:t xml:space="preserve"> à data limite de recebimento de propostas. </w:t>
      </w:r>
    </w:p>
    <w:p>
      <w:pPr>
        <w:pStyle w:val="Normal"/>
        <w:numPr>
          <w:ilvl w:val="1"/>
          <w:numId w:val="6"/>
        </w:numPr>
        <w:tabs>
          <w:tab w:val="clear" w:pos="709"/>
          <w:tab w:val="left" w:pos="284" w:leader="none"/>
        </w:tabs>
        <w:jc w:val="both"/>
        <w:rPr>
          <w:rFonts w:ascii="Arial" w:hAnsi="Arial" w:cs="Arial"/>
        </w:rPr>
      </w:pPr>
      <w:r>
        <w:rPr>
          <w:rFonts w:cs="Arial" w:ascii="Arial" w:hAnsi="Arial"/>
        </w:rPr>
        <w:t xml:space="preserve">O prazo para a Prefeitura responder a solicitação de esclarecimento será até as </w:t>
      </w:r>
      <w:r>
        <w:rPr>
          <w:rFonts w:cs="Arial" w:ascii="Arial" w:hAnsi="Arial"/>
          <w:b/>
        </w:rPr>
        <w:t xml:space="preserve">17h00 do dia útil anterior </w:t>
      </w:r>
      <w:r>
        <w:rPr>
          <w:rFonts w:cs="Arial" w:ascii="Arial" w:hAnsi="Arial"/>
        </w:rPr>
        <w:t>à data limite de recebimento de propostas.</w:t>
      </w:r>
    </w:p>
    <w:p>
      <w:pPr>
        <w:pStyle w:val="Normal"/>
        <w:numPr>
          <w:ilvl w:val="1"/>
          <w:numId w:val="6"/>
        </w:numPr>
        <w:tabs>
          <w:tab w:val="clear" w:pos="709"/>
          <w:tab w:val="left" w:pos="284" w:leader="none"/>
        </w:tabs>
        <w:jc w:val="both"/>
        <w:rPr>
          <w:rFonts w:ascii="Arial" w:hAnsi="Arial" w:cs="Arial"/>
        </w:rPr>
      </w:pPr>
      <w:r>
        <w:rPr>
          <w:rFonts w:cs="Arial" w:ascii="Arial" w:hAnsi="Arial"/>
        </w:rPr>
        <w:t>Caso haja alguma impossibilidade da Prefeitura responder dentro do prazo estipulado acima, a abertura será suspensa, e após a resposta da solicitação de esclarecimento, será marcada uma nova data.</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CCCCCC"/>
        <w:ind w:firstLine="567"/>
        <w:jc w:val="both"/>
        <w:rPr>
          <w:rFonts w:ascii="Arial" w:hAnsi="Arial" w:cs="Arial"/>
        </w:rPr>
      </w:pPr>
      <w:r>
        <w:rPr>
          <w:rFonts w:cs="Arial" w:ascii="Arial" w:hAnsi="Arial"/>
          <w:b/>
          <w:bCs/>
        </w:rPr>
        <w:t>10</w:t>
      </w:r>
      <w:r>
        <w:rPr>
          <w:rFonts w:cs="Arial" w:ascii="Arial" w:hAnsi="Arial"/>
          <w:b/>
          <w:bCs/>
        </w:rPr>
        <w:t>. EXIGÊNCIA PARA HABILITAÇÃO:</w:t>
      </w:r>
    </w:p>
    <w:p>
      <w:pPr>
        <w:pStyle w:val="Normal"/>
        <w:tabs>
          <w:tab w:val="clear" w:pos="709"/>
          <w:tab w:val="left" w:pos="284" w:leader="none"/>
        </w:tabs>
        <w:jc w:val="both"/>
        <w:rPr>
          <w:rFonts w:ascii="Arial" w:hAnsi="Arial" w:cs="Arial"/>
          <w:b/>
          <w:bCs/>
        </w:rPr>
      </w:pPr>
      <w:r>
        <w:rPr>
          <w:rFonts w:cs="Arial" w:ascii="Arial" w:hAnsi="Arial"/>
          <w:b/>
          <w:bCs/>
        </w:rPr>
        <w:t>Proposta e Documentos obrigatórios que deverão ser anexados no site pela empresa vencedora da etapa de lances, no prazo máximo de 06 horas:</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7"/>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7"/>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numPr>
          <w:ilvl w:val="1"/>
          <w:numId w:val="7"/>
        </w:numPr>
        <w:tabs>
          <w:tab w:val="clear" w:pos="709"/>
          <w:tab w:val="left" w:pos="284" w:leader="none"/>
        </w:tabs>
        <w:jc w:val="both"/>
        <w:rPr>
          <w:rFonts w:ascii="Arial" w:hAnsi="Arial" w:cs="Arial"/>
          <w:color w:val="000000"/>
        </w:rPr>
      </w:pPr>
      <w:r>
        <w:rPr>
          <w:rFonts w:cs="Arial" w:ascii="Arial" w:hAnsi="Arial"/>
          <w:color w:val="000000"/>
        </w:rPr>
        <w:t>Licença Sanitária Estadual ou Municipal vigentes, compatível com o objeto da licitação, de acordo com a legislação vigente.</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7"/>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7"/>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7"/>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7"/>
        </w:numPr>
        <w:tabs>
          <w:tab w:val="clear" w:pos="709"/>
          <w:tab w:val="left" w:pos="284" w:leader="none"/>
        </w:tabs>
        <w:jc w:val="both"/>
        <w:rPr>
          <w:rFonts w:ascii="Arial" w:hAnsi="Arial" w:cs="Arial"/>
          <w:color w:val="000000"/>
        </w:rPr>
      </w:pPr>
      <w:r>
        <w:rPr>
          <w:rFonts w:cs="Arial" w:ascii="Arial" w:hAnsi="Arial"/>
          <w:color w:val="000000"/>
        </w:rPr>
        <w:t>Certidão negativa de Débitos ou Positiva com Efeito de Negativa de</w:t>
      </w:r>
      <w:r>
        <w:rPr>
          <w:rFonts w:cs="Arial" w:ascii="Arial" w:hAnsi="Arial"/>
        </w:rPr>
        <w:t xml:space="preserve"> Tributos Estaduais relativos ao ICMS;</w:t>
      </w:r>
    </w:p>
    <w:p>
      <w:pPr>
        <w:pStyle w:val="Normal"/>
        <w:numPr>
          <w:ilvl w:val="2"/>
          <w:numId w:val="7"/>
        </w:numPr>
        <w:tabs>
          <w:tab w:val="clear" w:pos="709"/>
          <w:tab w:val="left" w:pos="284" w:leader="none"/>
          <w:tab w:val="left" w:pos="426" w:leader="none"/>
        </w:tabs>
        <w:jc w:val="both"/>
        <w:rPr>
          <w:rFonts w:ascii="Arial" w:hAnsi="Arial" w:cs="Arial"/>
        </w:rPr>
      </w:pPr>
      <w:r>
        <w:rPr>
          <w:rFonts w:cs="Arial" w:ascii="Arial" w:hAnsi="Arial"/>
          <w:color w:val="000000"/>
        </w:rPr>
        <w:t>Será exigida comprovação somente sobre débitos inscritos em dívida ativa.</w:t>
      </w:r>
    </w:p>
    <w:p>
      <w:pPr>
        <w:pStyle w:val="Normal"/>
        <w:numPr>
          <w:ilvl w:val="1"/>
          <w:numId w:val="7"/>
        </w:numPr>
        <w:tabs>
          <w:tab w:val="clear" w:pos="709"/>
          <w:tab w:val="left" w:pos="284" w:leader="none"/>
        </w:tabs>
        <w:jc w:val="both"/>
        <w:rPr>
          <w:rFonts w:ascii="Arial" w:hAnsi="Arial" w:cs="Arial"/>
          <w:color w:val="000000"/>
        </w:rPr>
      </w:pPr>
      <w:r>
        <w:rPr>
          <w:rFonts w:cs="Arial" w:ascii="Arial" w:hAnsi="Arial"/>
          <w:color w:val="000000"/>
        </w:rPr>
        <w:t>Certidão de regularidade de débito para com o Fundo de Garantia por Tempo de Serviço (FGTS).</w:t>
      </w:r>
    </w:p>
    <w:p>
      <w:pPr>
        <w:pStyle w:val="Normal"/>
        <w:numPr>
          <w:ilvl w:val="1"/>
          <w:numId w:val="7"/>
        </w:numPr>
        <w:tabs>
          <w:tab w:val="clear" w:pos="709"/>
          <w:tab w:val="left" w:pos="284" w:leader="none"/>
        </w:tabs>
        <w:jc w:val="both"/>
        <w:rPr>
          <w:rFonts w:ascii="Arial" w:hAnsi="Arial" w:cs="Arial"/>
        </w:rPr>
      </w:pPr>
      <w:r>
        <w:rPr>
          <w:rFonts w:cs="Arial" w:ascii="Arial" w:hAnsi="Arial"/>
          <w:color w:val="000000"/>
        </w:rPr>
        <w:t>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7"/>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7"/>
        </w:numPr>
        <w:tabs>
          <w:tab w:val="clear" w:pos="709"/>
          <w:tab w:val="left" w:pos="284" w:leader="none"/>
        </w:tabs>
        <w:jc w:val="both"/>
        <w:rPr>
          <w:rFonts w:ascii="Arial" w:hAnsi="Arial" w:cs="Arial"/>
        </w:rPr>
      </w:pPr>
      <w:r>
        <w:rPr>
          <w:rFonts w:cs="Arial" w:ascii="Arial" w:hAnsi="Arial"/>
        </w:rPr>
        <w:t xml:space="preserve">Certidão negativa de </w:t>
      </w:r>
      <w:r>
        <w:rPr>
          <w:rFonts w:cs="Arial" w:ascii="Arial" w:hAnsi="Arial"/>
          <w:b/>
        </w:rPr>
        <w:t>falência e concordata, recuperação judicial ou extrajudicial</w:t>
      </w:r>
      <w:r>
        <w:rPr>
          <w:rFonts w:cs="Arial" w:ascii="Arial" w:hAnsi="Arial"/>
        </w:rPr>
        <w:t xml:space="preserve"> expedida pelo distribuidor da sede da pessoa jurídica, com data não superior a 180 (cento e oitenta) dias, da data limite para o recebimento das propostas da presente licitação.</w:t>
      </w:r>
    </w:p>
    <w:p>
      <w:pPr>
        <w:pStyle w:val="Normal"/>
        <w:numPr>
          <w:ilvl w:val="2"/>
          <w:numId w:val="7"/>
        </w:numPr>
        <w:tabs>
          <w:tab w:val="clear" w:pos="709"/>
          <w:tab w:val="left" w:pos="284" w:leader="none"/>
          <w:tab w:val="left" w:pos="426" w:leader="none"/>
        </w:tabs>
        <w:jc w:val="both"/>
        <w:rPr>
          <w:rFonts w:ascii="Arial" w:hAnsi="Arial" w:cs="Arial"/>
        </w:rPr>
      </w:pPr>
      <w:r>
        <w:rPr>
          <w:rFonts w:cs="Arial" w:ascii="Arial" w:hAnsi="Arial"/>
        </w:rPr>
        <w:t>Nas hipóteses em que a certidão encaminhada for positiva, deve o licitante apresentar comprovante da homologação/deferimento pelo juízo competente do plano de recuperação judicial/extrajudicial em vigor.</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7"/>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7"/>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7"/>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numPr>
          <w:ilvl w:val="3"/>
          <w:numId w:val="7"/>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7"/>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 xml:space="preserve">Proposta com os dados da empresa conforme modelo do </w:t>
      </w:r>
      <w:r>
        <w:rPr>
          <w:rFonts w:cs="Arial" w:ascii="Arial" w:hAnsi="Arial"/>
          <w:b/>
          <w:bCs/>
        </w:rPr>
        <w:t>Anexo IV</w:t>
      </w:r>
      <w:r>
        <w:rPr>
          <w:rFonts w:cs="Arial" w:ascii="Arial" w:hAnsi="Arial"/>
          <w:color w:val="000000"/>
        </w:rPr>
        <w:t xml:space="preserve"> do Regulamento Geral deste Edital</w:t>
      </w:r>
      <w:r>
        <w:rPr>
          <w:rFonts w:cs="Arial" w:ascii="Arial" w:hAnsi="Arial"/>
        </w:rPr>
        <w:t>.</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r>
    </w:p>
    <w:p>
      <w:pPr>
        <w:pStyle w:val="Normal"/>
        <w:numPr>
          <w:ilvl w:val="0"/>
          <w:numId w:val="7"/>
        </w:numPr>
        <w:tabs>
          <w:tab w:val="clear" w:pos="709"/>
          <w:tab w:val="left" w:pos="284" w:leader="none"/>
          <w:tab w:val="left" w:pos="426" w:leader="none"/>
          <w:tab w:val="left" w:pos="567" w:leader="none"/>
        </w:tabs>
        <w:jc w:val="both"/>
        <w:rPr>
          <w:rFonts w:ascii="Arial" w:hAnsi="Arial" w:cs="Arial"/>
        </w:rPr>
      </w:pPr>
      <w:r>
        <w:rPr>
          <w:rFonts w:cs="Arial" w:ascii="Arial" w:hAnsi="Arial"/>
          <w:b/>
        </w:rPr>
        <w:t>CATÁLOGOS</w:t>
      </w:r>
    </w:p>
    <w:p>
      <w:pPr>
        <w:pStyle w:val="Normal"/>
        <w:numPr>
          <w:ilvl w:val="1"/>
          <w:numId w:val="7"/>
        </w:numPr>
        <w:tabs>
          <w:tab w:val="clear" w:pos="709"/>
          <w:tab w:val="left" w:pos="284" w:leader="none"/>
          <w:tab w:val="left" w:pos="426" w:leader="none"/>
          <w:tab w:val="left" w:pos="567" w:leader="none"/>
        </w:tabs>
        <w:jc w:val="both"/>
        <w:rPr>
          <w:rFonts w:ascii="Arial" w:hAnsi="Arial" w:cs="Arial"/>
        </w:rPr>
      </w:pPr>
      <w:r>
        <w:rPr>
          <w:rFonts w:cs="Arial" w:ascii="Arial" w:hAnsi="Arial"/>
        </w:rPr>
        <w:t>Deverá(ão) ser apresentado(s) junto com a proposta, sob pena de desclassificação pelo não cumprimento:</w:t>
      </w:r>
    </w:p>
    <w:p>
      <w:pPr>
        <w:pStyle w:val="Normal"/>
        <w:numPr>
          <w:ilvl w:val="2"/>
          <w:numId w:val="7"/>
        </w:numPr>
        <w:tabs>
          <w:tab w:val="clear" w:pos="709"/>
          <w:tab w:val="left" w:pos="284" w:leader="none"/>
          <w:tab w:val="left" w:pos="426" w:leader="none"/>
          <w:tab w:val="left" w:pos="567" w:leader="none"/>
        </w:tabs>
        <w:jc w:val="both"/>
        <w:rPr>
          <w:rFonts w:ascii="Arial" w:hAnsi="Arial" w:cs="Arial"/>
        </w:rPr>
      </w:pPr>
      <w:r>
        <w:rPr>
          <w:rFonts w:cs="Arial" w:ascii="Arial" w:hAnsi="Arial"/>
        </w:rPr>
        <w:t>Catálogo ou Bula do(s) produto(s) ofertado(s) comprovando as especificações técnicas do edital.</w:t>
      </w:r>
    </w:p>
    <w:p>
      <w:pPr>
        <w:pStyle w:val="Normal"/>
        <w:numPr>
          <w:ilvl w:val="2"/>
          <w:numId w:val="7"/>
        </w:numPr>
        <w:tabs>
          <w:tab w:val="clear" w:pos="709"/>
          <w:tab w:val="left" w:pos="284" w:leader="none"/>
          <w:tab w:val="left" w:pos="426" w:leader="none"/>
          <w:tab w:val="left" w:pos="567" w:leader="none"/>
        </w:tabs>
        <w:jc w:val="both"/>
        <w:rPr>
          <w:rFonts w:ascii="Arial" w:hAnsi="Arial" w:cs="Arial"/>
        </w:rPr>
      </w:pPr>
      <w:r>
        <w:rPr>
          <w:rFonts w:cs="Arial" w:ascii="Arial" w:hAnsi="Arial"/>
        </w:rPr>
        <w:t>Apresentar Certificado de Registro do Produto emitido pela ANVISA ou cópia da publicação em D.O.U para o item 01.</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r>
    </w:p>
    <w:p>
      <w:pPr>
        <w:pStyle w:val="Normal"/>
        <w:ind w:firstLine="567"/>
        <w:jc w:val="both"/>
        <w:rPr>
          <w:rFonts w:ascii="Arial" w:hAnsi="Arial" w:cs="Arial"/>
        </w:rPr>
      </w:pPr>
      <w:r>
        <w:rPr>
          <w:rFonts w:cs="Arial" w:ascii="Arial" w:hAnsi="Arial"/>
        </w:rPr>
        <w:t xml:space="preserve">Piracicaba, </w:t>
      </w:r>
      <w:r>
        <w:rPr>
          <w:rFonts w:cs="Arial" w:ascii="Arial" w:hAnsi="Arial"/>
        </w:rPr>
        <w:t>08 de maio de 2025.</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center"/>
        <w:rPr/>
      </w:pPr>
      <w:r>
        <w:rPr>
          <w:rFonts w:cs="Arial" w:ascii="Arial" w:hAnsi="Arial"/>
          <w:b/>
        </w:rPr>
        <w:t>Larissa Palomo Monferdini</w:t>
      </w:r>
    </w:p>
    <w:p>
      <w:pPr>
        <w:pStyle w:val="Normal"/>
        <w:jc w:val="center"/>
        <w:rPr>
          <w:rFonts w:ascii="Arial" w:hAnsi="Arial" w:cs="Arial"/>
          <w:b/>
        </w:rPr>
      </w:pPr>
      <w:r>
        <w:rPr>
          <w:rFonts w:cs="Arial" w:ascii="Arial" w:hAnsi="Arial"/>
          <w:b/>
        </w:rPr>
        <w:t>Chefe de Setor</w:t>
      </w:r>
      <w:r>
        <w:br w:type="page"/>
      </w:r>
    </w:p>
    <w:p>
      <w:pPr>
        <w:pStyle w:val="Heading2"/>
        <w:numPr>
          <w:ilvl w:val="1"/>
          <w:numId w:val="1"/>
        </w:numPr>
        <w:spacing w:before="0" w:after="0"/>
        <w:ind w:hanging="0" w:left="0"/>
        <w:rPr/>
      </w:pPr>
      <w:r>
        <w:rPr/>
        <w:t>REGULAMENTO GERAL</w:t>
      </w:r>
    </w:p>
    <w:p>
      <w:pPr>
        <w:pStyle w:val="Heading2"/>
        <w:numPr>
          <w:ilvl w:val="0"/>
          <w:numId w:val="0"/>
        </w:numPr>
        <w:tabs>
          <w:tab w:val="clear" w:pos="0"/>
          <w:tab w:val="left" w:pos="708" w:leader="none"/>
          <w:tab w:val="left" w:pos="851" w:leader="none"/>
        </w:tabs>
        <w:ind w:hanging="0" w:left="0"/>
        <w:rPr>
          <w:b w:val="false"/>
        </w:rPr>
      </w:pPr>
      <w:r>
        <w:rPr>
          <w:b w:val="false"/>
          <w:lang w:val="pt-BR"/>
        </w:rPr>
        <w:t>DISPENSA ELETRÔNICA</w:t>
      </w:r>
    </w:p>
    <w:p>
      <w:pPr>
        <w:pStyle w:val="Heading2"/>
        <w:numPr>
          <w:ilvl w:val="0"/>
          <w:numId w:val="1"/>
        </w:numPr>
        <w:tabs>
          <w:tab w:val="clear" w:pos="0"/>
          <w:tab w:val="left" w:pos="708" w:leader="none"/>
          <w:tab w:val="left" w:pos="851" w:leader="none"/>
        </w:tabs>
        <w:ind w:hanging="0" w:left="432"/>
        <w:rPr/>
      </w:pPr>
      <w:r>
        <w:rPr/>
      </w:r>
    </w:p>
    <w:p>
      <w:pPr>
        <w:pStyle w:val="Normal"/>
        <w:ind w:firstLine="284" w:right="-1"/>
        <w:jc w:val="both"/>
        <w:rPr>
          <w:rFonts w:ascii="Arial" w:hAnsi="Arial" w:cs="Arial"/>
          <w:b/>
          <w:bCs/>
        </w:rPr>
      </w:pPr>
      <w:r>
        <w:rPr>
          <w:rFonts w:cs="Arial" w:ascii="Arial" w:hAnsi="Arial"/>
        </w:rPr>
        <w:t xml:space="preserve">O Departamento de Material e Patrimônio torna público, por meio da utilização dos recursos da tecnologia da informação – </w:t>
      </w:r>
      <w:r>
        <w:rPr>
          <w:rFonts w:cs="Arial" w:ascii="Arial" w:hAnsi="Arial"/>
          <w:i/>
          <w:iCs/>
        </w:rPr>
        <w:t>INTERNET</w:t>
      </w:r>
      <w:r>
        <w:rPr>
          <w:rFonts w:cs="Arial" w:ascii="Arial" w:hAnsi="Arial"/>
        </w:rPr>
        <w:t xml:space="preserve"> – que fará realizar-se DISPENSA ELETRÔNICA.</w:t>
      </w:r>
    </w:p>
    <w:p>
      <w:pPr>
        <w:pStyle w:val="Normal"/>
        <w:numPr>
          <w:ilvl w:val="0"/>
          <w:numId w:val="1"/>
        </w:numPr>
        <w:tabs>
          <w:tab w:val="clear" w:pos="709"/>
        </w:tabs>
        <w:ind w:firstLine="284" w:left="0" w:right="-1"/>
        <w:jc w:val="both"/>
        <w:rPr>
          <w:rFonts w:ascii="Arial" w:hAnsi="Arial" w:cs="Arial"/>
          <w:b/>
          <w:bCs/>
        </w:rPr>
      </w:pPr>
      <w:r>
        <w:rPr>
          <w:rFonts w:cs="Arial" w:ascii="Arial" w:hAnsi="Arial"/>
          <w:b/>
          <w:bCs/>
        </w:rPr>
      </w:r>
    </w:p>
    <w:p>
      <w:pPr>
        <w:pStyle w:val="Normal"/>
        <w:ind w:firstLine="284" w:right="-1"/>
        <w:jc w:val="both"/>
        <w:rPr>
          <w:rFonts w:ascii="Arial" w:hAnsi="Arial" w:cs="Arial"/>
        </w:rPr>
      </w:pPr>
      <w:r>
        <w:rPr>
          <w:rFonts w:cs="Arial" w:ascii="Arial" w:hAnsi="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1. REFERÊNCIA DE TEMPO</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Heading3"/>
        <w:numPr>
          <w:ilvl w:val="2"/>
          <w:numId w:val="1"/>
        </w:numPr>
        <w:tabs>
          <w:tab w:val="clear" w:pos="0"/>
        </w:tabs>
        <w:ind w:firstLine="284" w:left="0" w:right="-1"/>
        <w:jc w:val="both"/>
        <w:rPr>
          <w:b w:val="false"/>
          <w:sz w:val="20"/>
          <w:szCs w:val="20"/>
        </w:rPr>
      </w:pPr>
      <w:r>
        <w:rPr>
          <w:sz w:val="20"/>
          <w:szCs w:val="20"/>
        </w:rPr>
        <w:t>1.1.</w:t>
      </w:r>
      <w:r>
        <w:rPr>
          <w:b w:val="false"/>
          <w:sz w:val="20"/>
          <w:szCs w:val="20"/>
          <w:lang w:val="pt-BR"/>
        </w:rPr>
        <w:t xml:space="preserve"> </w:t>
      </w:r>
      <w:r>
        <w:rPr>
          <w:b w:val="false"/>
          <w:caps w:val="false"/>
          <w:smallCaps w:val="false"/>
          <w:sz w:val="20"/>
          <w:szCs w:val="20"/>
        </w:rPr>
        <w:t xml:space="preserve">Todas as referências de tempo no edital, no aviso e durante a sessão pública observarão obrigatoriamente o horário de </w:t>
      </w:r>
      <w:r>
        <w:rPr>
          <w:b w:val="false"/>
          <w:caps w:val="false"/>
          <w:smallCaps w:val="false"/>
          <w:sz w:val="20"/>
          <w:szCs w:val="20"/>
          <w:lang w:val="pt-BR"/>
        </w:rPr>
        <w:t>B</w:t>
      </w:r>
      <w:r>
        <w:rPr>
          <w:b w:val="false"/>
          <w:caps w:val="false"/>
          <w:smallCaps w:val="false"/>
          <w:sz w:val="20"/>
          <w:szCs w:val="20"/>
        </w:rPr>
        <w:t xml:space="preserve">rasília – </w:t>
      </w:r>
      <w:r>
        <w:rPr>
          <w:b w:val="false"/>
          <w:caps w:val="false"/>
          <w:smallCaps w:val="false"/>
          <w:sz w:val="20"/>
          <w:szCs w:val="20"/>
          <w:lang w:val="pt-BR"/>
        </w:rPr>
        <w:t>DF</w:t>
      </w:r>
      <w:r>
        <w:rPr>
          <w:b w:val="false"/>
          <w:caps w:val="false"/>
          <w:smallCaps w:val="false"/>
          <w:sz w:val="20"/>
          <w:szCs w:val="20"/>
        </w:rPr>
        <w:t xml:space="preserve"> e, desta forma, serão registradas no sistema eletrônico e na documentação relativa ao certame.</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2. CONDIÇÕES PARA PARTICIPAÇÃO</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2.1.</w:t>
      </w:r>
      <w:r>
        <w:rPr>
          <w:rFonts w:cs="Arial" w:ascii="Arial" w:hAnsi="Arial"/>
        </w:rPr>
        <w:t xml:space="preserve"> A participação na presente dispensa eletrônica se dará mediante Sistema de Dispensa Eletrônica integrante do Portal BNC, disponível no endereço eletrônico </w:t>
      </w:r>
      <w:hyperlink r:id="rId4">
        <w:r>
          <w:rPr>
            <w:rStyle w:val="Style"/>
            <w:rFonts w:cs="Arial" w:ascii="Arial" w:hAnsi="Arial"/>
            <w:color w:val="0000FF"/>
            <w:u w:val="single"/>
          </w:rPr>
          <w:t>https://bnccompras.com</w:t>
        </w:r>
      </w:hyperlink>
      <w:r>
        <w:rPr>
          <w:rFonts w:cs="Arial" w:ascii="Arial" w:hAnsi="Arial"/>
        </w:rPr>
        <w:t xml:space="preserve">.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2.2.</w:t>
      </w:r>
      <w:r>
        <w:rPr>
          <w:rFonts w:cs="Arial" w:ascii="Arial" w:hAnsi="Arial"/>
        </w:rPr>
        <w:t xml:space="preserve"> Os fornecedores deverão se cadastrar previamente no Portal BNC para acesso ao sistema e operacionalização.</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Heading9"/>
        <w:numPr>
          <w:ilvl w:val="8"/>
          <w:numId w:val="1"/>
        </w:numPr>
        <w:tabs>
          <w:tab w:val="clear" w:pos="0"/>
        </w:tabs>
        <w:ind w:firstLine="284" w:left="0" w:right="-1"/>
        <w:rPr>
          <w:b w:val="false"/>
          <w:i w:val="false"/>
          <w:i w:val="false"/>
          <w:sz w:val="20"/>
          <w:szCs w:val="20"/>
        </w:rPr>
      </w:pPr>
      <w:r>
        <w:rPr>
          <w:i w:val="false"/>
          <w:sz w:val="20"/>
          <w:szCs w:val="20"/>
        </w:rPr>
        <w:t>2.3.</w:t>
      </w:r>
      <w:r>
        <w:rPr>
          <w:b w:val="false"/>
          <w:i w:val="false"/>
          <w:caps w:val="false"/>
          <w:smallCaps w:val="false"/>
          <w:sz w:val="20"/>
          <w:szCs w:val="20"/>
        </w:rPr>
        <w:t xml:space="preserve"> Poderão participar do processo licitatório os interessados do ramo de atividade pertinente ao objeto da contratação que atenderem a todas as exigências e condições contidas neste edital e seus anexos.</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Standard"/>
        <w:numPr>
          <w:ilvl w:val="0"/>
          <w:numId w:val="1"/>
        </w:numPr>
        <w:tabs>
          <w:tab w:val="clear" w:pos="709"/>
        </w:tabs>
        <w:ind w:firstLine="284" w:left="0" w:right="-1"/>
        <w:jc w:val="both"/>
        <w:rPr>
          <w:rFonts w:ascii="Arial" w:hAnsi="Arial" w:cs="Arial"/>
        </w:rPr>
      </w:pPr>
      <w:r>
        <w:rPr>
          <w:rFonts w:cs="Arial" w:ascii="Arial" w:hAnsi="Arial"/>
          <w:b/>
        </w:rPr>
        <w:t>2.3.1.</w:t>
      </w:r>
      <w:r>
        <w:rPr>
          <w:rFonts w:cs="Arial" w:ascii="Arial" w:hAnsi="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cs="Arial" w:ascii="Arial" w:hAnsi="Arial"/>
          <w:b/>
          <w:bCs/>
        </w:rPr>
        <w:t xml:space="preserve">empresas classificadas como microempresas (ME) ou empresas de pequeno porte (EPP), seguindo a ordem de classificação das mesmas, </w:t>
      </w:r>
      <w:r>
        <w:rPr>
          <w:rFonts w:cs="Arial" w:ascii="Arial" w:hAnsi="Arial"/>
        </w:rPr>
        <w:t>dando preferência à contratação destas, desde que atendar a todas as exigências e condições contidas neste Edital e seus Anexos.</w:t>
      </w:r>
    </w:p>
    <w:p>
      <w:pPr>
        <w:pStyle w:val="Standard"/>
        <w:numPr>
          <w:ilvl w:val="0"/>
          <w:numId w:val="1"/>
        </w:numPr>
        <w:tabs>
          <w:tab w:val="clear" w:pos="709"/>
        </w:tabs>
        <w:ind w:firstLine="284" w:left="0" w:right="-1"/>
        <w:jc w:val="both"/>
        <w:rPr>
          <w:rFonts w:ascii="Arial" w:hAnsi="Arial" w:cs="Arial"/>
          <w:b/>
        </w:rPr>
      </w:pPr>
      <w:r>
        <w:rPr>
          <w:rFonts w:cs="Arial" w:ascii="Arial" w:hAnsi="Arial"/>
          <w:b/>
        </w:rPr>
      </w:r>
    </w:p>
    <w:p>
      <w:pPr>
        <w:pStyle w:val="Standard"/>
        <w:ind w:firstLine="284" w:right="-1"/>
        <w:jc w:val="both"/>
        <w:rPr>
          <w:rFonts w:ascii="Arial" w:hAnsi="Arial" w:cs="Arial"/>
        </w:rPr>
      </w:pPr>
      <w:r>
        <w:rPr>
          <w:rFonts w:cs="Arial" w:ascii="Arial" w:hAnsi="Arial"/>
          <w:b/>
        </w:rPr>
        <w:t>2.3.1.1.</w:t>
      </w:r>
      <w:r>
        <w:rPr>
          <w:rFonts w:cs="Arial" w:ascii="Arial" w:hAnsi="Arial"/>
        </w:rPr>
        <w:t xml:space="preserve"> Não havendo interessados classificados como microempresas (ME) ou empresas de pequeno porte (EPP), a aquisição será estendida a qualquer interessado do ramo de atividade, sem restrição de classificação fiscal.</w:t>
      </w:r>
    </w:p>
    <w:p>
      <w:pPr>
        <w:pStyle w:val="Standard"/>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2.4.</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2.4.1.</w:t>
      </w:r>
      <w:r>
        <w:rPr>
          <w:rFonts w:cs="Arial" w:ascii="Arial" w:hAnsi="Arial"/>
        </w:rPr>
        <w:t xml:space="preserve"> Autor do anteprojeto, do projeto básico ou do projeto executivo, pessoa física ou jurídica, quando a licitação versar sobre obra, serviços ou fornecimento de bens a ele relacionados;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w:t>
      </w:r>
      <w:r>
        <w:rPr>
          <w:rFonts w:cs="Arial" w:ascii="Arial" w:hAnsi="Arial"/>
        </w:rPr>
        <w:t xml:space="preserve"> Pessoa física ou jurídica que se encontre, ao tempo da licitação, impossibilidade de participar da licitação em decorrência de sanção que lhe foi imposta;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2.4.3.1.</w:t>
      </w:r>
      <w:r>
        <w:rPr>
          <w:rFonts w:cs="Arial" w:ascii="Arial" w:hAnsi="Arial"/>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2.4.3.2.</w:t>
      </w:r>
      <w:r>
        <w:rPr>
          <w:rFonts w:cs="Arial" w:ascii="Arial" w:hAnsi="Arial"/>
        </w:rPr>
        <w:t xml:space="preserve"> A sanção de declaração de inidoneidade, disposta no Art. 156, IV da Lei 14.133/2021, impedirá o responsável de licitar no âmbito da Administração direta e indireta de todos os entes federativos.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2.4.5.</w:t>
      </w:r>
      <w:r>
        <w:rPr>
          <w:rFonts w:cs="Arial" w:ascii="Arial" w:hAnsi="Arial"/>
        </w:rPr>
        <w:t xml:space="preserve"> Empresas controladoras, controladas ou coligadas, nos termos da Lei n° 6.404, de 15 de dezembro de 1976, concorrendo entre si;</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2.4.6.</w:t>
      </w:r>
      <w:r>
        <w:rPr>
          <w:rFonts w:cs="Arial" w:ascii="Arial" w:hAnsi="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caps/>
        </w:rPr>
        <w:t>3. credenciamento NO APLICATIVO LICITAÇÕES</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Heading1"/>
        <w:numPr>
          <w:ilvl w:val="0"/>
          <w:numId w:val="1"/>
        </w:numPr>
        <w:tabs>
          <w:tab w:val="clear" w:pos="0"/>
        </w:tabs>
        <w:ind w:firstLine="284" w:left="0" w:right="-1"/>
        <w:jc w:val="both"/>
        <w:rPr>
          <w:b w:val="false"/>
          <w:sz w:val="20"/>
          <w:szCs w:val="20"/>
        </w:rPr>
      </w:pPr>
      <w:r>
        <w:rPr>
          <w:sz w:val="20"/>
          <w:szCs w:val="20"/>
        </w:rPr>
        <w:t>3.1.</w:t>
      </w:r>
      <w:r>
        <w:rPr>
          <w:b w:val="false"/>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false"/>
          <w:sz w:val="20"/>
          <w:szCs w:val="20"/>
          <w:lang w:val="pt-BR"/>
        </w:rPr>
        <w:t xml:space="preserve"> </w:t>
      </w:r>
      <w:hyperlink r:id="rId5">
        <w:r>
          <w:rPr>
            <w:rStyle w:val="Style"/>
            <w:b w:val="false"/>
            <w:bCs w:val="false"/>
            <w:color w:val="0000FF"/>
            <w:sz w:val="20"/>
            <w:szCs w:val="20"/>
            <w:u w:val="single"/>
            <w:lang w:val="pt-BR"/>
          </w:rPr>
          <w:t>https://bnccompras.com</w:t>
        </w:r>
      </w:hyperlink>
      <w:r>
        <w:rPr>
          <w:b w:val="false"/>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3.2.</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4. ENVIO DAS PROPOSTAS ELETRÔNICAS DE PREÇOS</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b/>
          <w:bCs/>
        </w:rPr>
      </w:pPr>
      <w:r>
        <w:rPr>
          <w:rFonts w:cs="Arial" w:ascii="Arial" w:hAnsi="Arial"/>
          <w:b/>
          <w:bCs/>
        </w:rPr>
        <w:t>4.1.</w:t>
      </w:r>
      <w:r>
        <w:rPr>
          <w:rFonts w:cs="Arial" w:ascii="Arial" w:hAnsi="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pPr>
        <w:pStyle w:val="Normal"/>
        <w:numPr>
          <w:ilvl w:val="0"/>
          <w:numId w:val="1"/>
        </w:numPr>
        <w:tabs>
          <w:tab w:val="clear" w:pos="709"/>
        </w:tabs>
        <w:ind w:firstLine="284" w:left="0" w:right="-1"/>
        <w:jc w:val="both"/>
        <w:rPr>
          <w:rFonts w:ascii="Arial" w:hAnsi="Arial" w:cs="Arial"/>
          <w:b/>
          <w:bCs/>
        </w:rPr>
      </w:pPr>
      <w:r>
        <w:rPr>
          <w:rFonts w:cs="Arial" w:ascii="Arial" w:hAnsi="Arial"/>
          <w:b/>
          <w:bCs/>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4.2.</w:t>
      </w:r>
      <w:r>
        <w:rPr>
          <w:rFonts w:cs="Arial" w:ascii="Arial" w:hAnsi="Arial"/>
        </w:rPr>
        <w:t xml:space="preserve"> Ao apresentar sua proposta eletrônica, o interessado concorda que os produtos deverão atender a todas as especificações constantes no Termo de Referência, deste Edital.</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4.3.</w:t>
      </w:r>
      <w:r>
        <w:rPr>
          <w:rFonts w:cs="Arial" w:ascii="Arial" w:hAnsi="Arial"/>
        </w:rPr>
        <w:t xml:space="preserve"> Os interessados deverão declarar sua condição de Microempresa ou Empresa de Pequeno Porte, ao selecionar se são ou não beneficiárias da Lei Complementar n.º 123/2006 alterada pela Lei Complementar nº 147/2014.</w:t>
      </w:r>
    </w:p>
    <w:p>
      <w:pPr>
        <w:pStyle w:val="Normal"/>
        <w:numPr>
          <w:ilvl w:val="0"/>
          <w:numId w:val="1"/>
        </w:numPr>
        <w:tabs>
          <w:tab w:val="clear" w:pos="709"/>
        </w:tabs>
        <w:ind w:firstLine="284" w:left="0" w:right="-1"/>
        <w:jc w:val="both"/>
        <w:rPr>
          <w:rFonts w:ascii="Arial" w:hAnsi="Arial" w:cs="Arial"/>
          <w:b/>
          <w:bCs/>
        </w:rPr>
      </w:pPr>
      <w:r>
        <w:rPr>
          <w:rFonts w:cs="Arial" w:ascii="Arial" w:hAnsi="Arial"/>
          <w:b/>
          <w:bCs/>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4.4.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4.4.1.</w:t>
      </w:r>
      <w:r>
        <w:rPr>
          <w:rFonts w:cs="Arial" w:ascii="Arial" w:hAnsi="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4.5. </w:t>
      </w:r>
      <w:r>
        <w:rPr>
          <w:rFonts w:cs="Arial" w:ascii="Arial" w:hAnsi="Arial"/>
        </w:rPr>
        <w:t>Conforme o objeto a ser contratado, o sistema apresentará automaticamente os respectivos campos que tratam o subitem 4.4., e que deverão ser obrigatoriamente preenchidos.</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4.6.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4.7. </w:t>
      </w:r>
      <w:r>
        <w:rPr>
          <w:rFonts w:cs="Arial" w:ascii="Arial" w:hAnsi="Arial"/>
        </w:rPr>
        <w:t>Os catálogos, bulas e demais documentos referentes à proposta, solicitados no Termo de Referência deste Edital, deverão ser anexados no ícone “Documentação Complementar”, após a Fase de Lances.</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b/>
        </w:rPr>
      </w:pPr>
      <w:r>
        <w:rPr>
          <w:rFonts w:cs="Arial" w:ascii="Arial" w:hAnsi="Arial"/>
          <w:b/>
        </w:rPr>
        <w:t xml:space="preserve">5. HABILITAÇÃO: </w:t>
      </w:r>
    </w:p>
    <w:p>
      <w:pPr>
        <w:pStyle w:val="Normal"/>
        <w:numPr>
          <w:ilvl w:val="0"/>
          <w:numId w:val="1"/>
        </w:numPr>
        <w:tabs>
          <w:tab w:val="clear" w:pos="709"/>
        </w:tabs>
        <w:ind w:firstLine="284" w:left="0" w:right="-1"/>
        <w:jc w:val="both"/>
        <w:rPr>
          <w:rFonts w:ascii="Arial" w:hAnsi="Arial" w:cs="Arial"/>
          <w:b/>
        </w:rPr>
      </w:pPr>
      <w:r>
        <w:rPr>
          <w:rFonts w:cs="Arial" w:ascii="Arial" w:hAnsi="Arial"/>
          <w:b/>
        </w:rPr>
      </w:r>
    </w:p>
    <w:p>
      <w:pPr>
        <w:pStyle w:val="Normal"/>
        <w:ind w:firstLine="284" w:right="-1"/>
        <w:jc w:val="both"/>
        <w:rPr>
          <w:rFonts w:ascii="Arial" w:hAnsi="Arial" w:cs="Arial"/>
        </w:rPr>
      </w:pPr>
      <w:r>
        <w:rPr>
          <w:rFonts w:cs="Arial" w:ascii="Arial" w:hAnsi="Arial"/>
          <w:b/>
        </w:rPr>
        <w:t>5.1.</w:t>
      </w:r>
      <w:r>
        <w:rPr>
          <w:rFonts w:cs="Arial" w:ascii="Arial" w:hAnsi="Arial"/>
        </w:rPr>
        <w:t xml:space="preserve"> Os documentos a serem exigidos para fins de habilitação constam no Termo de Referência do Edital de Dispensa Eletrônica e será solicitado do fornecedor declarado vencedor da fase de lances.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5.2.</w:t>
      </w:r>
      <w:r>
        <w:rPr>
          <w:rFonts w:cs="Arial" w:ascii="Arial" w:hAnsi="Arial"/>
        </w:rPr>
        <w:t xml:space="preserve"> As entregas dos documentos no sistema deverão ser no prazo máximo 06 horas. </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5.3.</w:t>
      </w:r>
      <w:r>
        <w:rPr>
          <w:rFonts w:cs="Arial" w:ascii="Arial" w:hAnsi="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5.4.</w:t>
      </w:r>
      <w:r>
        <w:rPr>
          <w:rFonts w:cs="Arial" w:ascii="Arial" w:hAnsi="Arial"/>
        </w:rPr>
        <w:t xml:space="preserve"> Será inabilitado o fornecedor que não comprovar sua habilitação, seja por não apresentar quaisquer dos documentos exigidos, ou apresentá-los em desacordo com o estabelecido neste Edital de Dispensa Eletrônica.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5.5.</w:t>
      </w:r>
      <w:r>
        <w:rPr>
          <w:rFonts w:cs="Arial" w:ascii="Arial" w:hAnsi="Arial"/>
        </w:rPr>
        <w:t xml:space="preserve"> Na </w:t>
      </w:r>
      <w:bookmarkStart w:id="0" w:name="_GoBack"/>
      <w:r>
        <w:rPr>
          <w:rFonts w:cs="Arial" w:ascii="Arial" w:hAnsi="Arial"/>
        </w:rPr>
        <w:t>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5.5.1.</w:t>
      </w:r>
      <w:r>
        <w:rPr>
          <w:rFonts w:cs="Arial" w:ascii="Arial" w:hAnsi="Arial"/>
        </w:rPr>
        <w:t xml:space="preserve"> Neste </w:t>
      </w:r>
      <w:bookmarkEnd w:id="0"/>
      <w:r>
        <w:rPr>
          <w:rFonts w:cs="Arial" w:ascii="Arial" w:hAnsi="Arial"/>
        </w:rPr>
        <w:t>caso a empresa de proposta subsequente terá também  prazo de 6 horas para apresentação dos documentos de habilitação e catálogos/bulas.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eastAsia="Arial" w:cs="Arial"/>
        </w:rPr>
      </w:pPr>
      <w:r>
        <w:rPr>
          <w:rFonts w:cs="Arial" w:ascii="Arial" w:hAnsi="Arial"/>
          <w:b/>
          <w:bCs/>
        </w:rPr>
        <w:t>5.6.</w:t>
      </w:r>
      <w:r>
        <w:rPr>
          <w:rFonts w:cs="Arial" w:ascii="Arial" w:hAnsi="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pPr>
        <w:pStyle w:val="Normal"/>
        <w:numPr>
          <w:ilvl w:val="0"/>
          <w:numId w:val="1"/>
        </w:numPr>
        <w:tabs>
          <w:tab w:val="clear" w:pos="709"/>
        </w:tabs>
        <w:ind w:firstLine="284" w:left="0" w:right="-1"/>
        <w:jc w:val="both"/>
        <w:rPr>
          <w:rFonts w:ascii="Arial" w:hAnsi="Arial" w:eastAsia="Arial" w:cs="Arial"/>
        </w:rPr>
      </w:pPr>
      <w:r>
        <w:rPr>
          <w:rFonts w:eastAsia="Arial" w:cs="Arial" w:ascii="Arial" w:hAnsi="Arial"/>
        </w:rPr>
        <w:t xml:space="preserve">  </w:t>
      </w:r>
    </w:p>
    <w:p>
      <w:pPr>
        <w:pStyle w:val="BodyTextIndent"/>
        <w:ind w:firstLine="284" w:right="-1"/>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pPr>
        <w:pStyle w:val="Normal"/>
        <w:keepLines/>
        <w:numPr>
          <w:ilvl w:val="0"/>
          <w:numId w:val="1"/>
        </w:numPr>
        <w:tabs>
          <w:tab w:val="clear" w:pos="709"/>
        </w:tabs>
        <w:ind w:firstLine="284" w:left="0" w:right="-1"/>
        <w:jc w:val="both"/>
        <w:rPr>
          <w:rFonts w:ascii="Arial" w:hAnsi="Arial" w:cs="Arial"/>
          <w:strike/>
        </w:rPr>
      </w:pPr>
      <w:r>
        <w:rPr>
          <w:rFonts w:cs="Arial" w:ascii="Arial" w:hAnsi="Arial"/>
          <w:strike/>
        </w:rPr>
      </w:r>
    </w:p>
    <w:p>
      <w:pPr>
        <w:pStyle w:val="Normal"/>
        <w:ind w:firstLine="284" w:right="-1"/>
        <w:jc w:val="both"/>
        <w:rPr>
          <w:rFonts w:ascii="Arial" w:hAnsi="Arial" w:cs="Arial"/>
        </w:rPr>
      </w:pPr>
      <w:r>
        <w:rPr>
          <w:rFonts w:eastAsia="Arial" w:cs="Arial" w:ascii="Arial" w:hAnsi="Arial"/>
          <w:b/>
        </w:rPr>
        <w:t>5.8</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5.9.</w:t>
      </w:r>
      <w:r>
        <w:rPr>
          <w:rFonts w:cs="Arial" w:ascii="Arial" w:hAnsi="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 xml:space="preserve">5.10.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 xml:space="preserve">5.11.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5.11.1.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5.11.2.</w:t>
      </w:r>
      <w:r>
        <w:rPr>
          <w:rFonts w:cs="Arial" w:ascii="Arial" w:hAnsi="Arial"/>
        </w:rPr>
        <w:t xml:space="preserve"> Atualização de documentos cuja validade tenha expirado após a data de recebimento das propostas.</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rPr>
        <w:t xml:space="preserve"> </w:t>
      </w:r>
    </w:p>
    <w:p>
      <w:pPr>
        <w:pStyle w:val="Normal"/>
        <w:ind w:firstLine="284" w:right="-1"/>
        <w:jc w:val="both"/>
        <w:rPr>
          <w:rFonts w:ascii="Arial" w:hAnsi="Arial" w:cs="Arial"/>
        </w:rPr>
      </w:pPr>
      <w:r>
        <w:rPr>
          <w:rFonts w:cs="Arial" w:ascii="Arial" w:hAnsi="Arial"/>
          <w:b/>
        </w:rPr>
        <w:t>6.</w:t>
      </w:r>
      <w:r>
        <w:rPr>
          <w:rFonts w:cs="Arial" w:ascii="Arial" w:hAnsi="Arial"/>
        </w:rPr>
        <w:t xml:space="preserve"> </w:t>
      </w:r>
      <w:r>
        <w:rPr>
          <w:rFonts w:cs="Arial" w:ascii="Arial" w:hAnsi="Arial"/>
          <w:b/>
        </w:rPr>
        <w:t>FASE DE LANCES</w:t>
      </w:r>
      <w:r>
        <w:rPr>
          <w:rFonts w:cs="Arial" w:ascii="Arial" w:hAnsi="Arial"/>
        </w:rPr>
        <w:t xml:space="preserve">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6.1.</w:t>
      </w:r>
      <w:r>
        <w:rPr>
          <w:rFonts w:cs="Arial" w:ascii="Arial" w:hAnsi="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6.2.</w:t>
      </w:r>
      <w:r>
        <w:rPr>
          <w:rFonts w:cs="Arial" w:ascii="Arial" w:hAnsi="Arial"/>
        </w:rPr>
        <w:t xml:space="preserve"> Iniciada a etapa competitiva, os fornecedores deverão encaminhar lances exclusivamente por meio do sistema eletrônico, sendo imediatamente informados do seu recebimento e do valor consignado no registro.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6.2.1.</w:t>
      </w:r>
      <w:r>
        <w:rPr>
          <w:rFonts w:cs="Arial" w:ascii="Arial" w:hAnsi="Arial"/>
        </w:rPr>
        <w:t xml:space="preserve"> O lance deverá ser ofertado pelo valor unitário quando o critério de julgamento for por item e valor total quando a dispensa for julgada por Lote. </w:t>
      </w:r>
    </w:p>
    <w:p>
      <w:pPr>
        <w:pStyle w:val="Normal"/>
        <w:ind w:firstLine="284" w:right="-1"/>
        <w:jc w:val="both"/>
        <w:rPr>
          <w:rFonts w:ascii="Arial" w:hAnsi="Arial" w:cs="Arial"/>
          <w:b/>
          <w:highlight w:val="yellow"/>
        </w:rPr>
      </w:pPr>
      <w:r>
        <w:rPr>
          <w:rFonts w:cs="Arial" w:ascii="Arial" w:hAnsi="Arial"/>
          <w:b/>
          <w:highlight w:val="yellow"/>
        </w:rPr>
      </w:r>
    </w:p>
    <w:p>
      <w:pPr>
        <w:pStyle w:val="Normal"/>
        <w:ind w:firstLine="284" w:right="-1"/>
        <w:jc w:val="both"/>
        <w:rPr>
          <w:rFonts w:ascii="Arial" w:hAnsi="Arial" w:cs="Arial"/>
        </w:rPr>
      </w:pPr>
      <w:r>
        <w:rPr>
          <w:rFonts w:cs="Arial" w:ascii="Arial" w:hAnsi="Arial"/>
          <w:b/>
        </w:rPr>
        <w:t>6.3.</w:t>
      </w:r>
      <w:r>
        <w:rPr>
          <w:rFonts w:cs="Arial" w:ascii="Arial" w:hAnsi="Arial"/>
        </w:rPr>
        <w:t xml:space="preserve"> O fornecedor somente poderá oferecer valor inferior em relação ao último lance por ele ofertado e registrado pelo sistema.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6.3.1.</w:t>
      </w:r>
      <w:r>
        <w:rPr>
          <w:rFonts w:cs="Arial" w:ascii="Arial" w:hAnsi="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6.4.</w:t>
      </w:r>
      <w:r>
        <w:rPr>
          <w:rFonts w:cs="Arial" w:ascii="Arial" w:hAnsi="Arial"/>
        </w:rPr>
        <w:t xml:space="preserve"> Havendo lances iguais ao menor já ofertado, prevalecerá aquele que for recebido e registrado primeiro no sistema.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6.5.</w:t>
      </w:r>
      <w:r>
        <w:rPr>
          <w:rFonts w:cs="Arial" w:ascii="Arial" w:hAnsi="Arial"/>
        </w:rPr>
        <w:t xml:space="preserve"> Caso o fornecedor não apresente lances, concorrerá com o valor de sua proposta.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6.6.</w:t>
      </w:r>
      <w:r>
        <w:rPr>
          <w:rFonts w:cs="Arial" w:ascii="Arial" w:hAnsi="Arial"/>
        </w:rPr>
        <w:t xml:space="preserve"> Durante o procedimento, os fornecedores serão informados, em tempo real, do valor do menor lance registrado, vedada a identificação do fornecedor.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6.7.</w:t>
      </w:r>
      <w:r>
        <w:rPr>
          <w:rFonts w:cs="Arial" w:ascii="Arial" w:hAnsi="Arial"/>
        </w:rPr>
        <w:t xml:space="preserve"> Imediatamente após o termino do prazo estabelecido para a fase de lances, haverá o seu encerramento, com o ordenamento e divulgação dos lances, pelo sistema, em ordem crescente de classificação.</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b/>
          <w:bCs/>
        </w:rPr>
      </w:pPr>
      <w:r>
        <w:rPr>
          <w:rFonts w:cs="Arial" w:ascii="Arial" w:hAnsi="Arial"/>
          <w:b/>
          <w:bCs/>
        </w:rPr>
        <w:t xml:space="preserve">7. FASE DE JULGAMENTO </w:t>
      </w:r>
    </w:p>
    <w:p>
      <w:pPr>
        <w:pStyle w:val="Normal"/>
        <w:ind w:firstLine="284" w:right="-1"/>
        <w:jc w:val="both"/>
        <w:rPr>
          <w:rFonts w:ascii="Arial" w:hAnsi="Arial" w:cs="Arial"/>
          <w:b/>
          <w:bCs/>
        </w:rPr>
      </w:pPr>
      <w:r>
        <w:rPr>
          <w:rFonts w:cs="Arial" w:ascii="Arial" w:hAnsi="Arial"/>
          <w:b/>
          <w:bCs/>
        </w:rPr>
      </w:r>
    </w:p>
    <w:p>
      <w:pPr>
        <w:pStyle w:val="Normal"/>
        <w:ind w:firstLine="284" w:right="-1"/>
        <w:jc w:val="both"/>
        <w:rPr>
          <w:rFonts w:ascii="Arial" w:hAnsi="Arial" w:cs="Arial"/>
        </w:rPr>
      </w:pPr>
      <w:r>
        <w:rPr>
          <w:rFonts w:cs="Arial" w:ascii="Arial" w:hAnsi="Arial"/>
          <w:b/>
        </w:rPr>
        <w:t>7.1.</w:t>
      </w:r>
      <w:r>
        <w:rPr>
          <w:rFonts w:cs="Arial" w:ascii="Arial" w:hAnsi="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cs="Arial" w:ascii="Arial" w:hAnsi="Arial"/>
          <w:u w:val="single"/>
        </w:rPr>
        <w:t>MENOR PREÇO</w:t>
      </w:r>
      <w:r>
        <w:rPr>
          <w:rFonts w:cs="Arial" w:ascii="Arial" w:hAnsi="Arial"/>
        </w:rPr>
        <w:t>, observando o atendimento aos prazos para o fornecimento, especificações técnicas e demais condições e exigências definidas neste Edital e a exequibilidade dos preços, em conformidade ao art. 59° da Lei n° 14.133, de 2021.</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7.2.</w:t>
      </w:r>
      <w:r>
        <w:rPr>
          <w:rFonts w:cs="Arial" w:ascii="Arial" w:hAnsi="Arial"/>
        </w:rPr>
        <w:t xml:space="preserve"> Será desclassificada a proposta vencedora que: </w:t>
      </w:r>
    </w:p>
    <w:p>
      <w:pPr>
        <w:pStyle w:val="Normal"/>
        <w:ind w:firstLine="284" w:right="-1"/>
        <w:jc w:val="both"/>
        <w:rPr>
          <w:rFonts w:ascii="Arial" w:hAnsi="Arial" w:cs="Arial"/>
        </w:rPr>
      </w:pPr>
      <w:r>
        <w:rPr>
          <w:rFonts w:cs="Arial" w:ascii="Arial" w:hAnsi="Arial"/>
          <w:b/>
        </w:rPr>
        <w:t>7.2.1.</w:t>
      </w:r>
      <w:r>
        <w:rPr>
          <w:rFonts w:cs="Arial" w:ascii="Arial" w:hAnsi="Arial"/>
        </w:rPr>
        <w:t xml:space="preserve"> Contiver vícios insanáveis;</w:t>
      </w:r>
    </w:p>
    <w:p>
      <w:pPr>
        <w:pStyle w:val="Normal"/>
        <w:ind w:firstLine="284" w:right="-1"/>
        <w:jc w:val="both"/>
        <w:rPr>
          <w:rFonts w:ascii="Arial" w:hAnsi="Arial" w:cs="Arial"/>
        </w:rPr>
      </w:pPr>
      <w:r>
        <w:rPr>
          <w:rFonts w:cs="Arial" w:ascii="Arial" w:hAnsi="Arial"/>
          <w:b/>
        </w:rPr>
        <w:t>7.2.2.</w:t>
      </w:r>
      <w:r>
        <w:rPr>
          <w:rFonts w:cs="Arial" w:ascii="Arial" w:hAnsi="Arial"/>
        </w:rPr>
        <w:t xml:space="preserve"> Não obedecer às especificações técnicas expressas neste aviso ou em seu(s) anexo(s);</w:t>
      </w:r>
    </w:p>
    <w:p>
      <w:pPr>
        <w:pStyle w:val="Normal"/>
        <w:ind w:firstLine="284" w:right="-1"/>
        <w:jc w:val="both"/>
        <w:rPr>
          <w:rFonts w:ascii="Arial" w:hAnsi="Arial" w:cs="Arial"/>
          <w:b/>
        </w:rPr>
      </w:pPr>
      <w:r>
        <w:rPr>
          <w:rFonts w:cs="Arial" w:ascii="Arial" w:hAnsi="Arial"/>
          <w:b/>
        </w:rPr>
      </w:r>
    </w:p>
    <w:p>
      <w:pPr>
        <w:pStyle w:val="Normal"/>
        <w:ind w:firstLine="284" w:right="-1"/>
        <w:jc w:val="both"/>
        <w:rPr>
          <w:rFonts w:ascii="Arial" w:hAnsi="Arial" w:cs="Arial"/>
        </w:rPr>
      </w:pPr>
      <w:r>
        <w:rPr>
          <w:rFonts w:cs="Arial" w:ascii="Arial" w:hAnsi="Arial"/>
          <w:b/>
        </w:rPr>
        <w:t>7.3.</w:t>
      </w:r>
      <w:r>
        <w:rPr>
          <w:rFonts w:cs="Arial" w:ascii="Arial" w:hAnsi="Arial"/>
        </w:rPr>
        <w:t xml:space="preserve"> Se a proposta ou lance vencedor for desclassificado, será examinada a proposta ou lance subsequente, e, assim sucessivamente, na ordem de classificação.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7.4.</w:t>
      </w:r>
      <w:r>
        <w:rPr>
          <w:rFonts w:cs="Arial" w:ascii="Arial" w:hAnsi="Arial"/>
        </w:rPr>
        <w:t xml:space="preserve"> Após análise dos documentos de habilitação, será aprovada a empresa que cumprir todos os requisitos deste Edital</w:t>
      </w:r>
    </w:p>
    <w:p>
      <w:pPr>
        <w:pStyle w:val="Normal"/>
        <w:ind w:firstLine="284"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7.5.</w:t>
      </w:r>
      <w:r>
        <w:rPr>
          <w:rFonts w:cs="Arial" w:ascii="Arial" w:hAnsi="Arial"/>
        </w:rPr>
        <w:t xml:space="preserve"> A Prefeitura reserva-se o direito de aprovar total ou parcialmente as propostas, anular ou revogar a DISPENSA ELETRÔNICA, se for de interesse público, de acordo com o que dispõe a Lei Federal n° 14.133/2021 e suas alterações.</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8. DOS PAGAMENTOS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VENCEDORA.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8.1.2.</w:t>
      </w:r>
      <w:r>
        <w:rPr>
          <w:rFonts w:cs="Arial" w:ascii="Arial" w:hAnsi="Arial"/>
        </w:rPr>
        <w:t xml:space="preserve"> E-mail para envio da NF-e: </w:t>
      </w:r>
      <w:hyperlink r:id="rId6">
        <w:r>
          <w:rPr>
            <w:rStyle w:val="Hyperlink"/>
            <w:rFonts w:cs="Arial" w:ascii="Arial" w:hAnsi="Arial"/>
            <w:color w:val="0000FF"/>
          </w:rPr>
          <w:t>notafiscal@piracicaba.sp.gov.br</w:t>
        </w:r>
      </w:hyperlink>
      <w:r>
        <w:rPr>
          <w:rStyle w:val="Hyperlink"/>
          <w:rFonts w:cs="Arial" w:ascii="Arial" w:hAnsi="Arial"/>
          <w:color w:val="0000FF"/>
        </w:rPr>
        <w:t>.</w:t>
      </w:r>
    </w:p>
    <w:p>
      <w:pPr>
        <w:pStyle w:val="Normal"/>
        <w:ind w:hanging="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9. SANÇÕES ADMINISTRATIVAS</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9.1. </w:t>
      </w:r>
      <w:r>
        <w:rPr>
          <w:rFonts w:cs="Arial" w:ascii="Arial" w:hAnsi="Arial"/>
        </w:rPr>
        <w:t>Comete infração administrativa, nos termos da lei, o interessado que, com dolo ou culpa:</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9.1.1.</w:t>
      </w:r>
      <w:r>
        <w:rPr>
          <w:rFonts w:cs="Arial" w:ascii="Arial" w:hAnsi="Arial"/>
        </w:rPr>
        <w:t xml:space="preserve"> </w:t>
      </w:r>
      <w:bookmarkStart w:id="1" w:name="_Hlk114652595"/>
      <w:bookmarkStart w:id="2" w:name="_Ref114668085"/>
      <w:r>
        <w:rPr>
          <w:rFonts w:cs="Arial" w:ascii="Arial" w:hAnsi="Arial"/>
        </w:rPr>
        <w:t>Deixar de entregar a documentação exigida para o certame ou não entregar qualquer documento que tenha sido solicitado pelo/a pregoeiro/a durante o certame;</w:t>
      </w:r>
      <w:bookmarkEnd w:id="2"/>
    </w:p>
    <w:p>
      <w:pPr>
        <w:pStyle w:val="Normal"/>
        <w:numPr>
          <w:ilvl w:val="0"/>
          <w:numId w:val="1"/>
        </w:numPr>
        <w:tabs>
          <w:tab w:val="clear" w:pos="709"/>
        </w:tabs>
        <w:ind w:firstLine="284" w:left="0" w:right="-1"/>
        <w:jc w:val="both"/>
        <w:rPr>
          <w:rFonts w:ascii="Arial" w:hAnsi="Arial" w:cs="Arial"/>
        </w:rPr>
      </w:pPr>
      <w:r>
        <w:rPr>
          <w:rFonts w:cs="Arial" w:ascii="Arial" w:hAnsi="Arial"/>
        </w:rPr>
      </w:r>
      <w:bookmarkStart w:id="3" w:name="_Ref114668108"/>
      <w:bookmarkStart w:id="4" w:name="_Ref114668108"/>
    </w:p>
    <w:p>
      <w:pPr>
        <w:pStyle w:val="Normal"/>
        <w:ind w:firstLine="284" w:right="-1"/>
        <w:jc w:val="both"/>
        <w:rPr>
          <w:rFonts w:ascii="Arial" w:hAnsi="Arial" w:cs="Arial"/>
        </w:rPr>
      </w:pPr>
      <w:r>
        <w:rPr>
          <w:rFonts w:cs="Arial" w:ascii="Arial" w:hAnsi="Arial"/>
          <w:b/>
          <w:bCs/>
        </w:rPr>
        <w:t>9.1.2.</w:t>
      </w:r>
      <w:r>
        <w:rPr>
          <w:rFonts w:cs="Arial" w:ascii="Arial" w:hAnsi="Arial"/>
        </w:rPr>
        <w:t xml:space="preserve"> Salvo em decorrência de fato superveniente devidamente justificado, não mantiver a proposta em especial quando:</w:t>
      </w:r>
      <w:bookmarkEnd w:id="4"/>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9.1.2.1. </w:t>
      </w:r>
      <w:r>
        <w:rPr>
          <w:rFonts w:cs="Arial" w:ascii="Arial" w:hAnsi="Arial"/>
        </w:rPr>
        <w:t xml:space="preserve">não enviar a proposta adequada ao último lance ofertado ou após a negociação; </w:t>
      </w:r>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9.1.2.2. </w:t>
      </w:r>
      <w:r>
        <w:rPr>
          <w:rFonts w:cs="Arial" w:ascii="Arial" w:hAnsi="Arial"/>
        </w:rPr>
        <w:t xml:space="preserve">recusar-se a enviar o detalhamento da proposta quando exigível; </w:t>
      </w:r>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9.1.2.3. </w:t>
      </w:r>
      <w:r>
        <w:rPr>
          <w:rFonts w:cs="Arial" w:ascii="Arial" w:hAnsi="Arial"/>
        </w:rPr>
        <w:t xml:space="preserve">pedir para ser desclassificado quando encerrada a etapa competitiva; ou </w:t>
      </w:r>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9.1.2.4. </w:t>
      </w:r>
      <w:r>
        <w:rPr>
          <w:rFonts w:cs="Arial" w:ascii="Arial" w:hAnsi="Arial"/>
        </w:rPr>
        <w:t>deixar de apresentar amostra;</w:t>
      </w:r>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9.1.2.5. </w:t>
      </w:r>
      <w:r>
        <w:rPr>
          <w:rFonts w:cs="Arial" w:ascii="Arial" w:hAnsi="Arial"/>
        </w:rPr>
        <w:t xml:space="preserve">apresentar proposta ou amostra em desacordo com as especificações do edital; </w:t>
      </w:r>
    </w:p>
    <w:p>
      <w:pPr>
        <w:pStyle w:val="Normal"/>
        <w:numPr>
          <w:ilvl w:val="0"/>
          <w:numId w:val="1"/>
        </w:numPr>
        <w:tabs>
          <w:tab w:val="clear" w:pos="709"/>
        </w:tabs>
        <w:ind w:firstLine="284" w:left="0" w:right="-1"/>
        <w:jc w:val="both"/>
        <w:rPr>
          <w:rFonts w:ascii="Arial" w:hAnsi="Arial" w:cs="Arial"/>
        </w:rPr>
      </w:pPr>
      <w:r>
        <w:rPr>
          <w:rFonts w:cs="Arial" w:ascii="Arial" w:hAnsi="Arial"/>
        </w:rPr>
      </w:r>
      <w:bookmarkStart w:id="5" w:name="_Ref114668139"/>
      <w:bookmarkStart w:id="6" w:name="_Ref114668139"/>
    </w:p>
    <w:p>
      <w:pPr>
        <w:pStyle w:val="Normal"/>
        <w:ind w:firstLine="284" w:right="-1"/>
        <w:jc w:val="both"/>
        <w:rPr>
          <w:rFonts w:ascii="Arial" w:hAnsi="Arial" w:cs="Arial"/>
        </w:rPr>
      </w:pPr>
      <w:r>
        <w:rPr>
          <w:rFonts w:cs="Arial" w:ascii="Arial" w:hAnsi="Arial"/>
          <w:b/>
          <w:bCs/>
        </w:rPr>
        <w:t>9.1.3.</w:t>
      </w:r>
      <w:r>
        <w:rPr>
          <w:rFonts w:cs="Arial" w:ascii="Arial" w:hAnsi="Arial"/>
        </w:rPr>
        <w:t xml:space="preserve"> Não celebrar o contrato ou não entregar a documentação exigida para a contratação, quando convocado dentro do prazo de validade de sua proposta;</w:t>
      </w:r>
      <w:bookmarkEnd w:id="6"/>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9.1.3.1.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numPr>
          <w:ilvl w:val="0"/>
          <w:numId w:val="1"/>
        </w:numPr>
        <w:tabs>
          <w:tab w:val="clear" w:pos="709"/>
        </w:tabs>
        <w:ind w:firstLine="284" w:left="0" w:right="-1"/>
        <w:jc w:val="both"/>
        <w:rPr>
          <w:rFonts w:ascii="Arial" w:hAnsi="Arial" w:cs="Arial"/>
        </w:rPr>
      </w:pPr>
      <w:r>
        <w:rPr>
          <w:rFonts w:cs="Arial" w:ascii="Arial" w:hAnsi="Arial"/>
        </w:rPr>
      </w:r>
      <w:bookmarkStart w:id="7" w:name="_Ref114668249"/>
      <w:bookmarkStart w:id="8" w:name="_Ref114668249"/>
    </w:p>
    <w:p>
      <w:pPr>
        <w:pStyle w:val="Normal"/>
        <w:numPr>
          <w:ilvl w:val="0"/>
          <w:numId w:val="1"/>
        </w:numPr>
        <w:tabs>
          <w:tab w:val="clear" w:pos="709"/>
        </w:tabs>
        <w:ind w:firstLine="284" w:left="0" w:right="-1"/>
        <w:jc w:val="both"/>
        <w:rPr>
          <w:rFonts w:ascii="Arial" w:hAnsi="Arial" w:cs="Arial"/>
        </w:rPr>
      </w:pPr>
      <w:r>
        <w:rPr>
          <w:rFonts w:cs="Arial" w:ascii="Arial" w:hAnsi="Arial"/>
          <w:b/>
          <w:bCs/>
        </w:rPr>
        <w:t>9.1.4.</w:t>
      </w:r>
      <w:r>
        <w:rPr>
          <w:rFonts w:cs="Arial" w:ascii="Arial" w:hAnsi="Arial"/>
        </w:rPr>
        <w:t xml:space="preserve"> Apresentar declaração ou documentação falsa exigida para o certame ou prestar declaração falsa durante a licitação</w:t>
      </w:r>
      <w:bookmarkEnd w:id="8"/>
    </w:p>
    <w:p>
      <w:pPr>
        <w:pStyle w:val="Normal"/>
        <w:numPr>
          <w:ilvl w:val="0"/>
          <w:numId w:val="1"/>
        </w:numPr>
        <w:tabs>
          <w:tab w:val="clear" w:pos="709"/>
        </w:tabs>
        <w:ind w:firstLine="284" w:left="0" w:right="-1"/>
        <w:jc w:val="both"/>
        <w:rPr>
          <w:rFonts w:ascii="Arial" w:hAnsi="Arial" w:cs="Arial"/>
        </w:rPr>
      </w:pPr>
      <w:r>
        <w:rPr>
          <w:rFonts w:cs="Arial" w:ascii="Arial" w:hAnsi="Arial"/>
        </w:rPr>
      </w:r>
      <w:bookmarkStart w:id="9" w:name="_Ref114668245"/>
      <w:bookmarkStart w:id="10" w:name="_Ref114668245"/>
    </w:p>
    <w:p>
      <w:pPr>
        <w:pStyle w:val="Normal"/>
        <w:numPr>
          <w:ilvl w:val="0"/>
          <w:numId w:val="1"/>
        </w:numPr>
        <w:tabs>
          <w:tab w:val="clear" w:pos="709"/>
        </w:tabs>
        <w:ind w:firstLine="284" w:left="0" w:right="-1"/>
        <w:jc w:val="both"/>
        <w:rPr>
          <w:rFonts w:ascii="Arial" w:hAnsi="Arial" w:cs="Arial"/>
        </w:rPr>
      </w:pPr>
      <w:r>
        <w:rPr>
          <w:rFonts w:cs="Arial" w:ascii="Arial" w:hAnsi="Arial"/>
          <w:b/>
          <w:bCs/>
        </w:rPr>
        <w:t>9.1.5.</w:t>
      </w:r>
      <w:r>
        <w:rPr>
          <w:rFonts w:cs="Arial" w:ascii="Arial" w:hAnsi="Arial"/>
        </w:rPr>
        <w:t xml:space="preserve"> Fraudar a licitação</w:t>
      </w:r>
      <w:bookmarkEnd w:id="10"/>
      <w:r>
        <w:rPr>
          <w:rFonts w:cs="Arial" w:ascii="Arial" w:hAnsi="Arial"/>
        </w:rPr>
        <w:t>;</w:t>
      </w:r>
    </w:p>
    <w:p>
      <w:pPr>
        <w:pStyle w:val="Normal"/>
        <w:numPr>
          <w:ilvl w:val="0"/>
          <w:numId w:val="1"/>
        </w:numPr>
        <w:tabs>
          <w:tab w:val="clear" w:pos="709"/>
        </w:tabs>
        <w:ind w:firstLine="284" w:left="0" w:right="-1"/>
        <w:jc w:val="both"/>
        <w:rPr>
          <w:rFonts w:ascii="Arial" w:hAnsi="Arial" w:cs="Arial"/>
        </w:rPr>
      </w:pPr>
      <w:r>
        <w:rPr>
          <w:rFonts w:cs="Arial" w:ascii="Arial" w:hAnsi="Arial"/>
        </w:rPr>
      </w:r>
      <w:bookmarkStart w:id="11" w:name="_Ref114668247"/>
      <w:bookmarkStart w:id="12" w:name="_Ref114668247"/>
    </w:p>
    <w:p>
      <w:pPr>
        <w:pStyle w:val="Normal"/>
        <w:numPr>
          <w:ilvl w:val="0"/>
          <w:numId w:val="1"/>
        </w:numPr>
        <w:tabs>
          <w:tab w:val="clear" w:pos="709"/>
        </w:tabs>
        <w:ind w:firstLine="284" w:left="0" w:right="-1"/>
        <w:jc w:val="both"/>
        <w:rPr>
          <w:rFonts w:ascii="Arial" w:hAnsi="Arial" w:cs="Arial"/>
        </w:rPr>
      </w:pPr>
      <w:r>
        <w:rPr>
          <w:rFonts w:cs="Arial" w:ascii="Arial" w:hAnsi="Arial"/>
          <w:b/>
          <w:bCs/>
        </w:rPr>
        <w:t>9.1.6.</w:t>
      </w:r>
      <w:r>
        <w:rPr>
          <w:rFonts w:cs="Arial" w:ascii="Arial" w:hAnsi="Arial"/>
        </w:rPr>
        <w:t xml:space="preserve"> Comportar-se de modo inidôneo ou cometer fraude de qualquer natureza, em especial quando:</w:t>
      </w:r>
      <w:bookmarkEnd w:id="12"/>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9.1.6.1.</w:t>
      </w:r>
      <w:r>
        <w:rPr>
          <w:rFonts w:cs="Arial" w:ascii="Arial" w:hAnsi="Arial"/>
        </w:rPr>
        <w:t xml:space="preserve"> agir em conluio ou em desconformidade com a lei; </w:t>
      </w:r>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9.1.6.2.</w:t>
      </w:r>
      <w:r>
        <w:rPr>
          <w:rFonts w:cs="Arial" w:ascii="Arial" w:hAnsi="Arial"/>
        </w:rPr>
        <w:t xml:space="preserve"> induzir deliberadamente a erro no julgamento; </w:t>
      </w:r>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9.1.6.3.</w:t>
      </w:r>
      <w:r>
        <w:rPr>
          <w:rFonts w:cs="Arial" w:ascii="Arial" w:hAnsi="Arial"/>
        </w:rPr>
        <w:t xml:space="preserve"> apresentar amostra falsificada ou deteriorada; </w:t>
      </w:r>
    </w:p>
    <w:p>
      <w:pPr>
        <w:pStyle w:val="Normal"/>
        <w:numPr>
          <w:ilvl w:val="0"/>
          <w:numId w:val="1"/>
        </w:numPr>
        <w:tabs>
          <w:tab w:val="clear" w:pos="709"/>
        </w:tabs>
        <w:ind w:firstLine="284" w:left="0" w:right="-1"/>
        <w:jc w:val="both"/>
        <w:rPr>
          <w:rFonts w:ascii="Arial" w:hAnsi="Arial" w:cs="Arial"/>
        </w:rPr>
      </w:pPr>
      <w:r>
        <w:rPr>
          <w:rFonts w:cs="Arial" w:ascii="Arial" w:hAnsi="Arial"/>
        </w:rPr>
      </w:r>
      <w:bookmarkStart w:id="13" w:name="_Ref114668251"/>
      <w:bookmarkStart w:id="14" w:name="_Ref114668251"/>
    </w:p>
    <w:p>
      <w:pPr>
        <w:pStyle w:val="Normal"/>
        <w:numPr>
          <w:ilvl w:val="0"/>
          <w:numId w:val="1"/>
        </w:numPr>
        <w:tabs>
          <w:tab w:val="clear" w:pos="709"/>
        </w:tabs>
        <w:ind w:firstLine="284" w:left="0" w:right="-1"/>
        <w:jc w:val="both"/>
        <w:rPr>
          <w:rFonts w:ascii="Arial" w:hAnsi="Arial" w:cs="Arial"/>
        </w:rPr>
      </w:pPr>
      <w:r>
        <w:rPr>
          <w:rFonts w:cs="Arial" w:ascii="Arial" w:hAnsi="Arial"/>
          <w:b/>
          <w:bCs/>
        </w:rPr>
        <w:t>9.1.7.</w:t>
      </w:r>
      <w:r>
        <w:rPr>
          <w:rFonts w:cs="Arial" w:ascii="Arial" w:hAnsi="Arial"/>
        </w:rPr>
        <w:t xml:space="preserve"> Praticar atos ilícitos com vistas a frustrar os objetivos da licitação</w:t>
      </w:r>
      <w:bookmarkEnd w:id="14"/>
      <w:r>
        <w:rPr>
          <w:rFonts w:cs="Arial" w:ascii="Arial" w:hAnsi="Arial"/>
        </w:rPr>
        <w:t>;</w:t>
      </w:r>
    </w:p>
    <w:p>
      <w:pPr>
        <w:pStyle w:val="Normal"/>
        <w:numPr>
          <w:ilvl w:val="0"/>
          <w:numId w:val="1"/>
        </w:numPr>
        <w:tabs>
          <w:tab w:val="clear" w:pos="709"/>
        </w:tabs>
        <w:ind w:firstLine="284" w:left="0" w:right="-1"/>
        <w:jc w:val="both"/>
        <w:rPr>
          <w:rFonts w:ascii="Arial" w:hAnsi="Arial" w:cs="Arial"/>
        </w:rPr>
      </w:pPr>
      <w:r>
        <w:rPr>
          <w:rFonts w:cs="Arial" w:ascii="Arial" w:hAnsi="Arial"/>
        </w:rPr>
      </w:r>
      <w:bookmarkStart w:id="15" w:name="_Ref114668252"/>
      <w:bookmarkStart w:id="16" w:name="_Ref114668252"/>
    </w:p>
    <w:p>
      <w:pPr>
        <w:pStyle w:val="Normal"/>
        <w:numPr>
          <w:ilvl w:val="0"/>
          <w:numId w:val="1"/>
        </w:numPr>
        <w:tabs>
          <w:tab w:val="clear" w:pos="709"/>
        </w:tabs>
        <w:ind w:firstLine="284" w:left="0" w:right="-1"/>
        <w:jc w:val="both"/>
        <w:rPr>
          <w:rFonts w:ascii="Arial" w:hAnsi="Arial" w:cs="Arial"/>
        </w:rPr>
      </w:pPr>
      <w:r>
        <w:rPr>
          <w:rFonts w:cs="Arial" w:ascii="Arial" w:hAnsi="Arial"/>
          <w:b/>
          <w:bCs/>
        </w:rPr>
        <w:t>9.1.8.</w:t>
      </w:r>
      <w:r>
        <w:rPr>
          <w:rFonts w:cs="Arial" w:ascii="Arial" w:hAnsi="Arial"/>
        </w:rPr>
        <w:t xml:space="preserve"> Praticar ato lesivo previsto no </w:t>
      </w:r>
      <w:r>
        <w:fldChar w:fldCharType="begin"/>
      </w:r>
      <w:r>
        <w:rPr>
          <w:rStyle w:val="Style"/>
          <w:rFonts w:cs="Arial" w:ascii="Arial" w:hAnsi="Arial"/>
        </w:rPr>
        <w:instrText xml:space="preserve"> HYPERLINK "https://www.planalto.gov.br/ccivil_03/_ato2011-2014/2013/lei/l12846.htm" \l "art5"</w:instrText>
      </w:r>
      <w:r>
        <w:rPr>
          <w:rStyle w:val="Style"/>
          <w:rFonts w:cs="Arial" w:ascii="Arial" w:hAnsi="Arial"/>
        </w:rPr>
        <w:fldChar w:fldCharType="separate"/>
      </w:r>
      <w:r>
        <w:rPr>
          <w:rStyle w:val="Style"/>
          <w:rFonts w:cs="Arial" w:ascii="Arial" w:hAnsi="Arial"/>
        </w:rPr>
        <w:t>art. 5º da Lei n.º 12.846, de 2013</w:t>
      </w:r>
      <w:r>
        <w:rPr>
          <w:rStyle w:val="Style"/>
          <w:rFonts w:cs="Arial" w:ascii="Arial" w:hAnsi="Arial"/>
        </w:rPr>
        <w:fldChar w:fldCharType="end"/>
      </w:r>
      <w:r>
        <w:rPr>
          <w:rFonts w:cs="Arial" w:ascii="Arial" w:hAnsi="Arial"/>
        </w:rPr>
        <w:t>.</w:t>
      </w:r>
      <w:bookmarkEnd w:id="1"/>
      <w:bookmarkEnd w:id="16"/>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9.2. </w:t>
      </w:r>
      <w:r>
        <w:rPr>
          <w:rFonts w:cs="Arial" w:ascii="Arial" w:hAnsi="Arial"/>
        </w:rPr>
        <w:t>O não cumprimento, por parte dos interessados, dos preços e condições constantes de sua coleta, acarretará as seguintes sanções:</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9.2.1.</w:t>
      </w:r>
      <w:r>
        <w:rPr>
          <w:rFonts w:cs="Arial" w:ascii="Arial" w:hAnsi="Arial"/>
        </w:rPr>
        <w:t xml:space="preserve"> Atraso na execução ou entrega do objeto, multa de 0,5% (zero vírgula cinco por cento) ao dia, calculado sobre o valor do empenho, sendo que após o 11° dia, poderá a Prefeitura cancelar o mesmo, sem prejuízo das demais penalidades.</w:t>
      </w:r>
    </w:p>
    <w:p>
      <w:pPr>
        <w:pStyle w:val="Normal"/>
        <w:numPr>
          <w:ilvl w:val="0"/>
          <w:numId w:val="1"/>
        </w:numPr>
        <w:tabs>
          <w:tab w:val="clear" w:pos="709"/>
        </w:tabs>
        <w:ind w:firstLine="284" w:left="0" w:right="-1"/>
        <w:jc w:val="both"/>
        <w:rPr>
          <w:rFonts w:ascii="Arial" w:hAnsi="Arial" w:cs="Arial"/>
          <w:b/>
        </w:rPr>
      </w:pPr>
      <w:r>
        <w:rPr>
          <w:rFonts w:cs="Arial" w:ascii="Arial" w:hAnsi="Arial"/>
          <w:b/>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9.2.2. </w:t>
      </w:r>
      <w:r>
        <w:rPr>
          <w:rFonts w:cs="Arial" w:ascii="Arial" w:hAnsi="Arial"/>
        </w:rPr>
        <w:t>Pela inexecução parcial, multa de 10% (dez por cento) sobre o valor do empenho;</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9.2.3. </w:t>
      </w:r>
      <w:r>
        <w:rPr>
          <w:rFonts w:cs="Arial" w:ascii="Arial" w:hAnsi="Arial"/>
        </w:rPr>
        <w:t>Pela inexecução total, multa de 20% (vinte por cento) sobre o valor do empenho;</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Heading1"/>
        <w:numPr>
          <w:ilvl w:val="0"/>
          <w:numId w:val="0"/>
        </w:numPr>
        <w:ind w:firstLine="284" w:left="0" w:right="-1"/>
        <w:jc w:val="both"/>
        <w:rPr>
          <w:b w:val="false"/>
          <w:sz w:val="20"/>
          <w:szCs w:val="20"/>
          <w:lang w:val="pt-BR"/>
        </w:rPr>
      </w:pPr>
      <w:r>
        <w:rPr>
          <w:sz w:val="20"/>
          <w:szCs w:val="20"/>
        </w:rPr>
        <w:t>9.2.4.</w:t>
      </w:r>
      <w:r>
        <w:rPr>
          <w:b w:val="false"/>
          <w:sz w:val="20"/>
          <w:szCs w:val="20"/>
        </w:rPr>
        <w:t xml:space="preserve"> Suspensão temporária da participação nas COLETAS ELETRÔNICAS DE PREÇOS, com o descredenciamento no Cadastro </w:t>
      </w:r>
      <w:r>
        <w:rPr>
          <w:b w:val="false"/>
          <w:sz w:val="20"/>
          <w:szCs w:val="20"/>
          <w:lang w:val="pt-BR"/>
        </w:rPr>
        <w:t xml:space="preserve">do  </w:t>
      </w:r>
      <w:hyperlink r:id="rId7">
        <w:r>
          <w:rPr>
            <w:rStyle w:val="Style"/>
            <w:b w:val="false"/>
            <w:bCs w:val="false"/>
            <w:color w:val="0000FF"/>
            <w:sz w:val="20"/>
            <w:szCs w:val="20"/>
            <w:u w:val="single"/>
            <w:lang w:val="pt-BR"/>
          </w:rPr>
          <w:t>https://bnccompras.com</w:t>
        </w:r>
      </w:hyperlink>
      <w:r>
        <w:rPr>
          <w:b w:val="false"/>
          <w:sz w:val="20"/>
          <w:szCs w:val="20"/>
          <w:lang w:val="pt-BR"/>
        </w:rPr>
        <w:t>.</w:t>
      </w:r>
    </w:p>
    <w:p>
      <w:pPr>
        <w:pStyle w:val="Normal"/>
        <w:numPr>
          <w:ilvl w:val="0"/>
          <w:numId w:val="1"/>
        </w:numPr>
        <w:tabs>
          <w:tab w:val="clear" w:pos="709"/>
        </w:tabs>
        <w:ind w:firstLine="284" w:left="0" w:right="-1"/>
        <w:jc w:val="both"/>
        <w:rPr>
          <w:rFonts w:ascii="Arial" w:hAnsi="Arial" w:cs="Arial"/>
          <w:b/>
          <w:bCs/>
        </w:rPr>
      </w:pPr>
      <w:r>
        <w:rPr>
          <w:rFonts w:cs="Arial" w:ascii="Arial" w:hAnsi="Arial"/>
          <w:b/>
          <w:bCs/>
        </w:rPr>
      </w:r>
    </w:p>
    <w:p>
      <w:pPr>
        <w:pStyle w:val="Normal"/>
        <w:numPr>
          <w:ilvl w:val="0"/>
          <w:numId w:val="1"/>
        </w:numPr>
        <w:tabs>
          <w:tab w:val="clear" w:pos="709"/>
        </w:tabs>
        <w:ind w:firstLine="284" w:left="0" w:right="-1"/>
        <w:jc w:val="both"/>
        <w:rPr>
          <w:rFonts w:ascii="Arial" w:hAnsi="Arial" w:cs="Arial"/>
          <w:b/>
          <w:bCs/>
        </w:rPr>
      </w:pPr>
      <w:r>
        <w:rPr>
          <w:rFonts w:cs="Arial" w:ascii="Arial" w:hAnsi="Arial"/>
          <w:b/>
          <w:bCs/>
        </w:rPr>
        <w:t>9.3. A aplicação das sanções previstas neste edital não exclui, em hipótese alguma, a obrigação de reparação integral dos danos causados.</w:t>
      </w:r>
    </w:p>
    <w:p>
      <w:pPr>
        <w:pStyle w:val="Normal"/>
        <w:numPr>
          <w:ilvl w:val="0"/>
          <w:numId w:val="1"/>
        </w:numPr>
        <w:ind w:firstLine="284" w:left="0"/>
        <w:jc w:val="both"/>
        <w:rPr>
          <w:rFonts w:ascii="Arial" w:hAnsi="Arial" w:cs="Arial"/>
        </w:rPr>
      </w:pPr>
      <w:r>
        <w:rPr>
          <w:rFonts w:cs="Arial" w:ascii="Arial" w:hAnsi="Arial"/>
        </w:rPr>
      </w:r>
      <w:r>
        <w:br w:type="page"/>
      </w:r>
    </w:p>
    <w:p>
      <w:pPr>
        <w:pStyle w:val="BodyTextIndent"/>
        <w:widowControl w:val="false"/>
        <w:overflowPunct w:val="true"/>
        <w:spacing w:lineRule="auto" w:line="240" w:before="0" w:after="0"/>
        <w:jc w:val="center"/>
        <w:textAlignment w:val="auto"/>
        <w:rPr>
          <w:b/>
          <w:bCs/>
          <w:color w:val="auto"/>
          <w:sz w:val="20"/>
          <w:szCs w:val="20"/>
          <w:lang w:val="pt-BR"/>
        </w:rPr>
      </w:pPr>
      <w:r>
        <w:rPr>
          <w:b/>
          <w:bCs/>
          <w:color w:val="auto"/>
          <w:sz w:val="20"/>
          <w:szCs w:val="20"/>
        </w:rPr>
        <w:t>ANEXO I</w:t>
      </w:r>
    </w:p>
    <w:p>
      <w:pPr>
        <w:pStyle w:val="Normal"/>
        <w:jc w:val="center"/>
        <w:rPr>
          <w:rFonts w:ascii="Arial" w:hAnsi="Arial" w:cs="Arial"/>
          <w:b/>
          <w:bCs/>
        </w:rPr>
      </w:pPr>
      <w:r>
        <w:rPr>
          <w:rFonts w:cs="Arial" w:ascii="Arial" w:hAnsi="Arial"/>
          <w:b/>
          <w:bCs/>
        </w:rPr>
      </w:r>
    </w:p>
    <w:p>
      <w:pPr>
        <w:pStyle w:val="Normal"/>
        <w:jc w:val="center"/>
        <w:rPr>
          <w:rFonts w:ascii="Arial" w:hAnsi="Arial" w:cs="Arial"/>
        </w:rPr>
      </w:pPr>
      <w:r>
        <w:rPr>
          <w:rFonts w:cs="Arial" w:ascii="Arial" w:hAnsi="Arial"/>
        </w:rPr>
      </w:r>
    </w:p>
    <w:p>
      <w:pPr>
        <w:pStyle w:val="Normal"/>
        <w:jc w:val="center"/>
        <w:rPr>
          <w:rFonts w:ascii="Arial" w:hAnsi="Arial" w:cs="Arial"/>
          <w:b/>
        </w:rPr>
      </w:pPr>
      <w:r>
        <w:rPr>
          <w:rFonts w:cs="Arial" w:ascii="Arial" w:hAnsi="Arial"/>
          <w:b/>
        </w:rPr>
        <w:t>MODELO DE DECLARAÇÕES DIVERSAS**</w:t>
      </w:r>
    </w:p>
    <w:p>
      <w:pPr>
        <w:pStyle w:val="Normal"/>
        <w:jc w:val="center"/>
        <w:rPr>
          <w:rFonts w:ascii="Arial" w:hAnsi="Arial" w:cs="Arial"/>
        </w:rPr>
      </w:pPr>
      <w:r>
        <w:rPr>
          <w:rFonts w:cs="Arial" w:ascii="Arial" w:hAnsi="Arial"/>
        </w:rPr>
        <w:t>(em papel timbrado da licitante)</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da Dispensa Eletrônica nº _____/_____, Processo n° ____/___:</w:t>
      </w:r>
    </w:p>
    <w:p>
      <w:pPr>
        <w:pStyle w:val="Normal"/>
        <w:ind w:firstLine="561"/>
        <w:jc w:val="both"/>
        <w:rPr>
          <w:rFonts w:ascii="Arial" w:hAnsi="Arial" w:cs="Arial"/>
        </w:rPr>
      </w:pPr>
      <w:r>
        <w:rPr>
          <w:rFonts w:cs="Arial" w:ascii="Arial" w:hAnsi="Arial"/>
        </w:rPr>
      </w:r>
    </w:p>
    <w:p>
      <w:pPr>
        <w:pStyle w:val="Normal"/>
        <w:numPr>
          <w:ilvl w:val="0"/>
          <w:numId w:val="2"/>
        </w:numPr>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2"/>
        </w:numPr>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2"/>
        </w:numPr>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2"/>
        </w:numPr>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2"/>
        </w:numPr>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2"/>
        </w:numPr>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2"/>
        </w:numPr>
        <w:tabs>
          <w:tab w:val="clear" w:pos="709"/>
          <w:tab w:val="left" w:pos="284" w:leader="none"/>
        </w:tabs>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ind w:hanging="0" w:left="720"/>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r>
        <w:br w:type="page"/>
      </w:r>
    </w:p>
    <w:p>
      <w:pPr>
        <w:pStyle w:val="BodyTextIndent"/>
        <w:widowControl w:val="false"/>
        <w:overflowPunct w:val="true"/>
        <w:spacing w:lineRule="auto" w:line="240" w:before="0" w:after="0"/>
        <w:jc w:val="center"/>
        <w:textAlignment w:val="auto"/>
        <w:rPr>
          <w:b/>
          <w:bCs/>
          <w:color w:val="auto"/>
          <w:sz w:val="20"/>
          <w:szCs w:val="20"/>
          <w:lang w:val="pt-BR"/>
        </w:rPr>
      </w:pPr>
      <w:r>
        <w:rPr>
          <w:b/>
          <w:bCs/>
          <w:color w:val="auto"/>
          <w:sz w:val="20"/>
          <w:szCs w:val="20"/>
        </w:rPr>
        <w:t>ANEXO II</w:t>
      </w:r>
    </w:p>
    <w:p>
      <w:pPr>
        <w:pStyle w:val="Normal"/>
        <w:ind w:firstLine="561"/>
        <w:jc w:val="center"/>
        <w:rPr>
          <w:rFonts w:ascii="Arial" w:hAnsi="Arial" w:cs="Arial"/>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jc w:val="both"/>
        <w:rPr>
          <w:rFonts w:ascii="Arial" w:hAnsi="Arial" w:cs="Arial"/>
          <w:b/>
          <w:bCs/>
          <w:lang w:eastAsia="pt-BR"/>
        </w:rPr>
      </w:pPr>
      <w:r>
        <w:rPr>
          <w:rFonts w:cs="Arial" w:ascii="Arial" w:hAnsi="Arial"/>
          <w:lang w:eastAsia="pt-BR"/>
        </w:rPr>
        <w:t xml:space="preserve">Eu, ___________________________________, portador do RG nº </w:t>
      </w:r>
      <w:r>
        <w:rPr>
          <w:rFonts w:cs="Arial" w:ascii="Arial" w:hAnsi="Arial"/>
          <w:bCs/>
          <w:lang w:eastAsia="pt-BR"/>
        </w:rPr>
        <w:t>___________________</w:t>
      </w:r>
      <w:r>
        <w:rPr>
          <w:rFonts w:cs="Arial" w:ascii="Arial" w:hAnsi="Arial"/>
          <w:b/>
          <w:bCs/>
          <w:lang w:eastAsia="pt-BR"/>
        </w:rPr>
        <w:t xml:space="preserve"> </w:t>
      </w:r>
    </w:p>
    <w:p>
      <w:pPr>
        <w:pStyle w:val="Normal"/>
        <w:suppressAutoHyphens w:val="false"/>
        <w:jc w:val="both"/>
        <w:rPr>
          <w:rFonts w:ascii="Arial" w:hAnsi="Arial" w:cs="Arial"/>
          <w:lang w:eastAsia="pt-BR"/>
        </w:rPr>
      </w:pPr>
      <w:r>
        <w:rPr>
          <w:rFonts w:cs="Arial" w:ascii="Arial" w:hAnsi="Arial"/>
          <w:lang w:eastAsia="pt-BR"/>
        </w:rPr>
        <w:t xml:space="preserve">e do CPF nº </w:t>
      </w:r>
      <w:r>
        <w:rPr>
          <w:rFonts w:cs="Arial" w:ascii="Arial" w:hAnsi="Arial"/>
          <w:bCs/>
          <w:lang w:eastAsia="pt-BR"/>
        </w:rPr>
        <w:t>_____________</w:t>
      </w:r>
      <w:r>
        <w:rPr>
          <w:rFonts w:cs="Arial" w:ascii="Arial" w:hAnsi="Arial"/>
          <w:lang w:eastAsia="pt-BR"/>
        </w:rPr>
        <w:t>, representante legal do licitante _______________________ (</w:t>
      </w:r>
      <w:r>
        <w:rPr>
          <w:rFonts w:cs="Arial" w:ascii="Arial" w:hAnsi="Arial"/>
          <w:i/>
          <w:iCs/>
          <w:lang w:eastAsia="pt-BR"/>
        </w:rPr>
        <w:t>nome empresarial</w:t>
      </w:r>
      <w:r>
        <w:rPr>
          <w:rFonts w:cs="Arial" w:ascii="Arial" w:hAnsi="Arial"/>
          <w:lang w:eastAsia="pt-BR"/>
        </w:rPr>
        <w:t xml:space="preserve">), participante da Dispensa Eletrônica nº ___/___, Processo n° 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b) a intenção de apresentar a proposta não foi informada ou discutida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c) o licitante não tentou, por qualquer meio ou por qualquer pessoa, influir na decisão de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jc w:val="both"/>
        <w:rPr>
          <w:rFonts w:ascii="Arial" w:hAnsi="Arial" w:cs="Arial"/>
        </w:rPr>
      </w:pPr>
      <w:r>
        <w:rPr>
          <w:rFonts w:cs="Arial" w:ascii="Arial" w:hAnsi="Arial"/>
          <w:lang w:eastAsia="pt-BR"/>
        </w:rPr>
        <w:t xml:space="preserve">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suppressAutoHyphens w:val="false"/>
        <w:jc w:val="both"/>
        <w:rPr>
          <w:rFonts w:ascii="Arial" w:hAnsi="Arial" w:cs="Arial"/>
          <w:lang w:eastAsia="pt-BR"/>
        </w:rPr>
      </w:pPr>
      <w:r>
        <w:rPr>
          <w:rFonts w:cs="Arial" w:ascii="Arial" w:hAnsi="Arial"/>
          <w:lang w:eastAsia="pt-BR"/>
        </w:rPr>
        <w:t xml:space="preserve">f) o representante legal do licitante está plenamente ciente do teor e da extensão desta declaração e que detém plenos poderes e informações para firmá-la.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I – prometer, oferecer ou dar, direta ou indiretamente, vantagem indevida a agente público, ou a terceira pessoa a ele relacionada; </w:t>
      </w:r>
    </w:p>
    <w:p>
      <w:pPr>
        <w:pStyle w:val="Normal"/>
        <w:suppressAutoHyphens w:val="false"/>
        <w:jc w:val="both"/>
        <w:rPr>
          <w:rFonts w:ascii="Arial" w:hAnsi="Arial" w:cs="Arial"/>
          <w:lang w:eastAsia="pt-BR"/>
        </w:rPr>
      </w:pPr>
      <w:r>
        <w:rPr>
          <w:rFonts w:cs="Arial" w:ascii="Arial" w:hAnsi="Arial"/>
          <w:lang w:eastAsia="pt-BR"/>
        </w:rPr>
        <w:t xml:space="preserve">II – comprovadamente, financiar, custear, patrocinar ou de qualquer modo subvencionar a prática dos atos ilícitos previstos em Lei; </w:t>
      </w:r>
    </w:p>
    <w:p>
      <w:pPr>
        <w:pStyle w:val="Normal"/>
        <w:suppressAutoHyphens w:val="false"/>
        <w:jc w:val="both"/>
        <w:rPr>
          <w:rFonts w:ascii="Arial" w:hAnsi="Arial" w:cs="Arial"/>
          <w:lang w:eastAsia="pt-BR"/>
        </w:rPr>
      </w:pPr>
      <w:r>
        <w:rPr>
          <w:rFonts w:cs="Arial" w:ascii="Arial" w:hAnsi="Arial"/>
          <w:lang w:eastAsia="pt-BR"/>
        </w:rPr>
        <w:t xml:space="preserve">III – comprovadamente, utilizar-se de interposta pessoa física ou jurídica para ocultar ou dissimular seus reais interesses ou a identidade dos beneficiários dos atos praticados; </w:t>
      </w:r>
    </w:p>
    <w:p>
      <w:pPr>
        <w:pStyle w:val="Normal"/>
        <w:suppressAutoHyphens w:val="false"/>
        <w:jc w:val="both"/>
        <w:rPr>
          <w:rFonts w:ascii="Arial" w:hAnsi="Arial" w:cs="Arial"/>
          <w:lang w:eastAsia="pt-BR"/>
        </w:rPr>
      </w:pPr>
      <w:r>
        <w:rPr>
          <w:rFonts w:cs="Arial" w:ascii="Arial" w:hAnsi="Arial"/>
          <w:lang w:eastAsia="pt-BR"/>
        </w:rPr>
        <w:t xml:space="preserve">IV – no tocante a licitações e contratos: </w:t>
      </w:r>
    </w:p>
    <w:p>
      <w:pPr>
        <w:pStyle w:val="Normal"/>
        <w:suppressAutoHyphens w:val="false"/>
        <w:jc w:val="both"/>
        <w:rPr>
          <w:rFonts w:ascii="Arial" w:hAnsi="Arial" w:cs="Arial"/>
          <w:lang w:eastAsia="pt-BR"/>
        </w:rPr>
      </w:pPr>
      <w:r>
        <w:rPr>
          <w:rFonts w:cs="Arial" w:ascii="Arial" w:hAnsi="Arial"/>
          <w:lang w:eastAsia="pt-BR"/>
        </w:rPr>
        <w:t xml:space="preserve">a) frustrar ou fraudar, mediante ajuste, combinação ou qualquer outro expediente, o caráter competitivo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b) impedir, perturbar ou fraudar a realização de qualquer ato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c) afastar ou procurar afastar licitante, por meio de fraude ou oferecimento de vantagem de qualquer tipo; </w:t>
      </w:r>
    </w:p>
    <w:p>
      <w:pPr>
        <w:pStyle w:val="Normal"/>
        <w:suppressAutoHyphens w:val="false"/>
        <w:jc w:val="both"/>
        <w:rPr>
          <w:rFonts w:ascii="Arial" w:hAnsi="Arial" w:cs="Arial"/>
          <w:lang w:eastAsia="pt-BR"/>
        </w:rPr>
      </w:pPr>
      <w:r>
        <w:rPr>
          <w:rFonts w:cs="Arial" w:ascii="Arial" w:hAnsi="Arial"/>
          <w:lang w:eastAsia="pt-BR"/>
        </w:rPr>
        <w:t xml:space="preserve">d) fraudar licitação pública ou contrato dela decorrente; </w:t>
      </w:r>
    </w:p>
    <w:p>
      <w:pPr>
        <w:pStyle w:val="Normal"/>
        <w:suppressAutoHyphens w:val="false"/>
        <w:jc w:val="both"/>
        <w:rPr>
          <w:rFonts w:ascii="Arial" w:hAnsi="Arial" w:cs="Arial"/>
          <w:lang w:eastAsia="pt-BR"/>
        </w:rPr>
      </w:pPr>
      <w:r>
        <w:rPr>
          <w:rFonts w:cs="Arial" w:ascii="Arial" w:hAnsi="Arial"/>
          <w:lang w:eastAsia="pt-BR"/>
        </w:rPr>
        <w:t xml:space="preserve">e) criar, de modo fraudulento ou irregular, pessoa jurídica para participar de licitação pública ou celebrar contrato administrativo; </w:t>
      </w:r>
    </w:p>
    <w:p>
      <w:pPr>
        <w:pStyle w:val="Normal"/>
        <w:suppressAutoHyphens w:val="false"/>
        <w:jc w:val="both"/>
        <w:rPr>
          <w:rFonts w:ascii="Arial" w:hAnsi="Arial" w:cs="Arial"/>
          <w:lang w:eastAsia="pt-BR"/>
        </w:rPr>
      </w:pPr>
      <w:r>
        <w:rPr>
          <w:rFonts w:cs="Arial" w:ascii="Arial" w:hAnsi="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jc w:val="both"/>
        <w:rPr>
          <w:rFonts w:ascii="Arial" w:hAnsi="Arial" w:cs="Arial"/>
          <w:lang w:eastAsia="pt-BR"/>
        </w:rPr>
      </w:pPr>
      <w:r>
        <w:rPr>
          <w:rFonts w:cs="Arial" w:ascii="Arial" w:hAnsi="Arial"/>
          <w:lang w:eastAsia="pt-BR"/>
        </w:rPr>
        <w:t xml:space="preserve">g) manipular ou fraudar o equilíbrio econômico-financeiro dos contratos celebrados com a administração pública; </w:t>
      </w:r>
    </w:p>
    <w:p>
      <w:pPr>
        <w:pStyle w:val="Normal"/>
        <w:suppressAutoHyphens w:val="false"/>
        <w:jc w:val="both"/>
        <w:rPr>
          <w:rFonts w:ascii="Arial" w:hAnsi="Arial" w:cs="Arial"/>
          <w:lang w:eastAsia="pt-BR"/>
        </w:rPr>
      </w:pPr>
      <w:r>
        <w:rPr>
          <w:rFonts w:cs="Arial" w:ascii="Arial" w:hAnsi="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r>
        <w:br w:type="page"/>
      </w:r>
    </w:p>
    <w:p>
      <w:pPr>
        <w:pStyle w:val="BodyTextIndent"/>
        <w:widowControl w:val="false"/>
        <w:overflowPunct w:val="true"/>
        <w:spacing w:lineRule="auto" w:line="240" w:before="0" w:after="0"/>
        <w:jc w:val="center"/>
        <w:rPr>
          <w:b/>
          <w:bCs/>
          <w:color w:val="auto"/>
          <w:sz w:val="20"/>
          <w:szCs w:val="20"/>
          <w:lang w:val="pt-BR"/>
        </w:rPr>
      </w:pPr>
      <w:r>
        <w:rPr>
          <w:b/>
          <w:color w:val="auto"/>
          <w:sz w:val="20"/>
          <w:szCs w:val="20"/>
        </w:rPr>
        <w:t>ANEXO I</w:t>
      </w:r>
      <w:r>
        <w:rPr>
          <w:b/>
          <w:color w:val="auto"/>
          <w:sz w:val="20"/>
          <w:szCs w:val="20"/>
          <w:lang w:val="pt-BR"/>
        </w:rPr>
        <w:t>II</w:t>
      </w:r>
    </w:p>
    <w:p>
      <w:pPr>
        <w:pStyle w:val="Normal"/>
        <w:jc w:val="center"/>
        <w:rPr>
          <w:rFonts w:ascii="Arial" w:hAnsi="Arial" w:cs="Arial"/>
          <w:b/>
          <w:bCs/>
        </w:rPr>
      </w:pPr>
      <w:r>
        <w:rPr>
          <w:rFonts w:cs="Arial" w:ascii="Arial" w:hAnsi="Arial"/>
        </w:rPr>
        <w:t>====================================================================================</w:t>
      </w:r>
    </w:p>
    <w:p>
      <w:pPr>
        <w:pStyle w:val="Normal"/>
        <w:jc w:val="center"/>
        <w:rPr>
          <w:rFonts w:ascii="Arial" w:hAnsi="Arial" w:cs="Arial"/>
          <w:b/>
          <w:bCs/>
        </w:rPr>
      </w:pPr>
      <w:r>
        <w:rPr>
          <w:rFonts w:cs="Arial" w:ascii="Arial" w:hAnsi="Arial"/>
          <w:b/>
          <w:bCs/>
        </w:rPr>
        <w:t xml:space="preserve">DECLARAÇÃO DE ENQUADRAMENTO COMO MICROEMPRESA (ME) </w:t>
      </w:r>
    </w:p>
    <w:p>
      <w:pPr>
        <w:pStyle w:val="Normal"/>
        <w:jc w:val="center"/>
        <w:rPr>
          <w:rFonts w:ascii="Arial" w:hAnsi="Arial" w:cs="Arial"/>
        </w:rPr>
      </w:pPr>
      <w:r>
        <w:rPr>
          <w:rFonts w:cs="Arial" w:ascii="Arial" w:hAnsi="Arial"/>
          <w:b/>
          <w:bCs/>
        </w:rPr>
        <w:t>OU EMPRESA DE PEQUENO PORTE (EPP)</w:t>
      </w:r>
    </w:p>
    <w:p>
      <w:pPr>
        <w:pStyle w:val="Normal"/>
        <w:jc w:val="center"/>
        <w:rPr>
          <w:rFonts w:ascii="Arial" w:hAnsi="Arial" w:cs="Arial"/>
          <w:b/>
          <w:bCs/>
        </w:rPr>
      </w:pPr>
      <w:r>
        <w:rPr>
          <w:rFonts w:cs="Arial" w:ascii="Arial" w:hAnsi="Arial"/>
        </w:rPr>
        <w:t>====================================================================================</w:t>
      </w:r>
    </w:p>
    <w:p>
      <w:pPr>
        <w:pStyle w:val="BodyTextIndent"/>
        <w:widowControl w:val="false"/>
        <w:overflowPunct w:val="true"/>
        <w:spacing w:lineRule="auto" w:line="240"/>
        <w:rPr>
          <w:color w:val="auto"/>
          <w:sz w:val="20"/>
          <w:szCs w:val="20"/>
        </w:rPr>
      </w:pPr>
      <w:r>
        <w:rPr>
          <w:color w:val="auto"/>
          <w:sz w:val="20"/>
          <w:szCs w:val="20"/>
        </w:rPr>
      </w:r>
    </w:p>
    <w:p>
      <w:pPr>
        <w:pStyle w:val="BodyTextIndent"/>
        <w:widowControl w:val="false"/>
        <w:overflowPunct w:val="true"/>
        <w:spacing w:lineRule="auto" w:line="240"/>
        <w:rPr>
          <w:color w:val="auto"/>
          <w:sz w:val="20"/>
          <w:szCs w:val="20"/>
        </w:rPr>
      </w:pPr>
      <w:r>
        <w:rPr>
          <w:color w:val="auto"/>
          <w:sz w:val="20"/>
          <w:szCs w:val="20"/>
        </w:rPr>
      </w:r>
    </w:p>
    <w:p>
      <w:pPr>
        <w:pStyle w:val="BodyTextIndent"/>
        <w:widowControl w:val="false"/>
        <w:overflowPunct w:val="true"/>
        <w:spacing w:lineRule="auto" w:line="240"/>
        <w:rPr>
          <w:color w:val="auto"/>
          <w:sz w:val="20"/>
          <w:szCs w:val="20"/>
        </w:rPr>
      </w:pPr>
      <w:r>
        <w:rPr>
          <w:color w:val="auto"/>
          <w:sz w:val="20"/>
          <w:szCs w:val="20"/>
        </w:rPr>
      </w:r>
    </w:p>
    <w:p>
      <w:pPr>
        <w:pStyle w:val="BodyTextIndent"/>
        <w:widowControl w:val="false"/>
        <w:overflowPunct w:val="true"/>
        <w:spacing w:lineRule="auto" w:line="240"/>
        <w:rPr>
          <w:color w:val="auto"/>
          <w:sz w:val="20"/>
          <w:szCs w:val="20"/>
        </w:rPr>
      </w:pPr>
      <w:r>
        <w:rPr>
          <w:color w:val="auto"/>
          <w:sz w:val="20"/>
          <w:szCs w:val="20"/>
        </w:rPr>
      </w:r>
    </w:p>
    <w:p>
      <w:pPr>
        <w:pStyle w:val="BodyTextIndent"/>
        <w:widowControl w:val="false"/>
        <w:overflowPunct w:val="true"/>
        <w:spacing w:lineRule="auto" w:line="240"/>
        <w:rPr>
          <w:color w:val="auto"/>
          <w:sz w:val="20"/>
          <w:szCs w:val="20"/>
        </w:rPr>
      </w:pPr>
      <w:r>
        <w:rPr>
          <w:color w:val="auto"/>
          <w:sz w:val="20"/>
          <w:szCs w:val="20"/>
        </w:rPr>
      </w:r>
    </w:p>
    <w:p>
      <w:pPr>
        <w:pStyle w:val="BodyTextIndent"/>
        <w:widowControl w:val="false"/>
        <w:overflowPunct w:val="true"/>
        <w:spacing w:lineRule="auto" w:line="240"/>
        <w:textAlignment w:val="auto"/>
        <w:rPr>
          <w:color w:val="auto"/>
          <w:sz w:val="20"/>
          <w:szCs w:val="20"/>
        </w:rPr>
      </w:pPr>
      <w:r>
        <w:rPr>
          <w:color w:val="auto"/>
          <w:sz w:val="20"/>
          <w:szCs w:val="20"/>
        </w:rPr>
      </w:r>
    </w:p>
    <w:p>
      <w:pPr>
        <w:pStyle w:val="BodyTextIndent"/>
        <w:rPr>
          <w:color w:val="auto"/>
          <w:sz w:val="20"/>
          <w:szCs w:val="20"/>
        </w:rPr>
      </w:pPr>
      <w:r>
        <w:rPr>
          <w:color w:val="auto"/>
          <w:sz w:val="20"/>
          <w:szCs w:val="20"/>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w:t>
      </w:r>
      <w:r>
        <w:rPr>
          <w:rFonts w:cs="Arial" w:ascii="Arial" w:hAnsi="Arial"/>
          <w:b/>
        </w:rPr>
        <w:t xml:space="preserve"> </w:t>
      </w:r>
      <w:r>
        <w:rPr>
          <w:rFonts w:cs="Arial" w:ascii="Arial" w:hAnsi="Arial"/>
        </w:rPr>
        <w:t>estando ciente da penalidades previstas no subitem 12.2.1. “c” do edital no caso de declaração falsa, independente do processo judicial cabível.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jc w:val="center"/>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p>
      <w:pPr>
        <w:pStyle w:val="BodyTextIndent"/>
        <w:widowControl w:val="false"/>
        <w:tabs>
          <w:tab w:val="clear" w:pos="709"/>
          <w:tab w:val="left" w:pos="284" w:leader="none"/>
        </w:tabs>
        <w:spacing w:lineRule="auto" w:line="240" w:before="0" w:after="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sz w:val="20"/>
        </w:rPr>
      </w:pPr>
      <w:r>
        <w:rPr>
          <w:b w:val="false"/>
          <w:sz w:val="20"/>
        </w:rPr>
        <w:t>Telefone:</w:t>
      </w:r>
    </w:p>
    <w:p>
      <w:pPr>
        <w:pStyle w:val="Corpodetexto21"/>
        <w:tabs>
          <w:tab w:val="clear" w:pos="709"/>
          <w:tab w:val="left" w:pos="284" w:leader="none"/>
        </w:tabs>
        <w:rPr>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6"/>
        <w:gridCol w:w="847"/>
        <w:gridCol w:w="852"/>
        <w:gridCol w:w="4533"/>
        <w:gridCol w:w="1416"/>
        <w:gridCol w:w="1700"/>
      </w:tblGrid>
      <w:tr>
        <w:trPr>
          <w:trHeight w:val="283" w:hRule="atLeast"/>
        </w:trPr>
        <w:tc>
          <w:tcPr>
            <w:tcW w:w="566" w:type="dxa"/>
            <w:tcBorders>
              <w:top w:val="single" w:sz="4" w:space="0" w:color="000000"/>
              <w:left w:val="single" w:sz="4" w:space="0" w:color="000000"/>
              <w:bottom w:val="single" w:sz="4" w:space="0" w:color="000000"/>
            </w:tcBorders>
            <w:vAlign w:val="center"/>
          </w:tcPr>
          <w:p>
            <w:pPr>
              <w:pStyle w:val="Contedodatabelauser"/>
              <w:widowControl w:val="false"/>
              <w:tabs>
                <w:tab w:val="clear" w:pos="709"/>
                <w:tab w:val="left" w:pos="284" w:leader="none"/>
              </w:tabs>
              <w:jc w:val="center"/>
              <w:rPr>
                <w:rFonts w:ascii="Arial" w:hAnsi="Arial" w:cs="Arial"/>
                <w:b/>
              </w:rPr>
            </w:pPr>
            <w:r>
              <w:rPr>
                <w:rFonts w:cs="Arial" w:ascii="Arial" w:hAnsi="Arial"/>
                <w:b/>
              </w:rPr>
              <w:t>Item</w:t>
            </w:r>
          </w:p>
        </w:tc>
        <w:tc>
          <w:tcPr>
            <w:tcW w:w="847" w:type="dxa"/>
            <w:tcBorders>
              <w:top w:val="single" w:sz="4" w:space="0" w:color="000000"/>
              <w:left w:val="single" w:sz="4" w:space="0" w:color="000000"/>
              <w:bottom w:val="single" w:sz="4" w:space="0" w:color="000000"/>
            </w:tcBorders>
            <w:vAlign w:val="center"/>
          </w:tcPr>
          <w:p>
            <w:pPr>
              <w:pStyle w:val="Contedodatabelauser"/>
              <w:widowControl w:val="false"/>
              <w:tabs>
                <w:tab w:val="clear" w:pos="709"/>
                <w:tab w:val="left" w:pos="284" w:leader="none"/>
              </w:tabs>
              <w:jc w:val="center"/>
              <w:rPr>
                <w:rFonts w:ascii="Arial" w:hAnsi="Arial" w:cs="Arial"/>
                <w:b/>
              </w:rPr>
            </w:pPr>
            <w:r>
              <w:rPr>
                <w:rFonts w:cs="Arial" w:ascii="Arial" w:hAnsi="Arial"/>
                <w:b/>
              </w:rPr>
              <w:t>Quant.</w:t>
            </w:r>
          </w:p>
        </w:tc>
        <w:tc>
          <w:tcPr>
            <w:tcW w:w="852" w:type="dxa"/>
            <w:tcBorders>
              <w:top w:val="single" w:sz="4" w:space="0" w:color="000000"/>
              <w:left w:val="single" w:sz="4" w:space="0" w:color="000000"/>
              <w:bottom w:val="single" w:sz="4" w:space="0" w:color="000000"/>
            </w:tcBorders>
            <w:vAlign w:val="center"/>
          </w:tcPr>
          <w:p>
            <w:pPr>
              <w:pStyle w:val="Contedodatabelauser"/>
              <w:widowControl w:val="false"/>
              <w:tabs>
                <w:tab w:val="clear" w:pos="709"/>
                <w:tab w:val="left" w:pos="284" w:leader="none"/>
              </w:tabs>
              <w:jc w:val="center"/>
              <w:rPr>
                <w:rFonts w:ascii="Arial" w:hAnsi="Arial" w:cs="Arial"/>
                <w:b/>
              </w:rPr>
            </w:pPr>
            <w:r>
              <w:rPr>
                <w:rFonts w:cs="Arial" w:ascii="Arial" w:hAnsi="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user"/>
              <w:widowControl w:val="false"/>
              <w:tabs>
                <w:tab w:val="clear" w:pos="709"/>
                <w:tab w:val="left" w:pos="284" w:leader="none"/>
              </w:tabs>
              <w:jc w:val="center"/>
              <w:rPr>
                <w:rFonts w:ascii="Arial" w:hAnsi="Arial" w:cs="Arial"/>
              </w:rPr>
            </w:pPr>
            <w:r>
              <w:rPr>
                <w:rFonts w:cs="Arial" w:ascii="Arial" w:hAnsi="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user"/>
              <w:widowControl w:val="false"/>
              <w:tabs>
                <w:tab w:val="clear" w:pos="709"/>
                <w:tab w:val="left" w:pos="284" w:leader="none"/>
              </w:tabs>
              <w:jc w:val="center"/>
              <w:rPr>
                <w:rFonts w:ascii="Arial" w:hAnsi="Arial" w:cs="Arial"/>
                <w:b/>
              </w:rPr>
            </w:pPr>
            <w:r>
              <w:rPr>
                <w:rFonts w:cs="Arial" w:ascii="Arial" w:hAnsi="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Contedodatabelauser"/>
              <w:widowControl w:val="false"/>
              <w:tabs>
                <w:tab w:val="clear" w:pos="709"/>
                <w:tab w:val="left" w:pos="284" w:leader="none"/>
              </w:tabs>
              <w:jc w:val="center"/>
              <w:rPr>
                <w:rFonts w:ascii="Arial" w:hAnsi="Arial" w:cs="Arial"/>
                <w:b/>
              </w:rPr>
            </w:pPr>
            <w:r>
              <w:rPr>
                <w:rFonts w:cs="Arial" w:ascii="Arial" w:hAnsi="Arial"/>
                <w:b/>
              </w:rPr>
              <w:t>Valor Total</w:t>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color w:val="auto"/>
        </w:rPr>
      </w:pPr>
      <w:r>
        <w:rPr>
          <w:color w:val="auto"/>
        </w:rPr>
        <w:t>Nº Conta Corrente</w:t>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BodyTextIndent"/>
        <w:widowControl w:val="false"/>
        <w:overflowPunct w:val="true"/>
        <w:spacing w:lineRule="auto" w:line="240"/>
        <w:jc w:val="center"/>
        <w:rPr>
          <w:color w:val="auto"/>
          <w:sz w:val="20"/>
          <w:szCs w:val="20"/>
          <w:lang w:val="pt-BR"/>
        </w:rPr>
      </w:pPr>
      <w:r>
        <w:rPr>
          <w:color w:val="auto"/>
          <w:sz w:val="20"/>
          <w:szCs w:val="20"/>
          <w:lang w:val="pt-BR"/>
        </w:rPr>
      </w:r>
    </w:p>
    <w:p>
      <w:pPr>
        <w:pStyle w:val="BodyTextIndent"/>
        <w:widowControl w:val="false"/>
        <w:overflowPunct w:val="false"/>
        <w:spacing w:lineRule="auto" w:line="240"/>
        <w:jc w:val="center"/>
        <w:rPr>
          <w:color w:val="auto"/>
          <w:sz w:val="20"/>
          <w:szCs w:val="20"/>
          <w:lang w:val="pt-BR"/>
        </w:rPr>
      </w:pPr>
      <w:r>
        <w:rPr>
          <w:color w:val="auto"/>
          <w:sz w:val="20"/>
          <w:szCs w:val="20"/>
          <w:lang w:val="pt-BR"/>
        </w:rPr>
      </w:r>
    </w:p>
    <w:p>
      <w:pPr>
        <w:pStyle w:val="Normal"/>
        <w:jc w:val="both"/>
        <w:rPr>
          <w:rFonts w:ascii="Arial" w:hAnsi="Arial" w:cs="Arial"/>
        </w:rPr>
      </w:pPr>
      <w:r>
        <w:rPr>
          <w:rFonts w:cs="Arial" w:ascii="Arial" w:hAnsi="Arial"/>
        </w:rPr>
      </w:r>
    </w:p>
    <w:sectPr>
      <w:headerReference w:type="even" r:id="rId8"/>
      <w:headerReference w:type="default" r:id="rId9"/>
      <w:headerReference w:type="first" r:id="rId10"/>
      <w:footerReference w:type="even" r:id="rId11"/>
      <w:footerReference w:type="default" r:id="rId12"/>
      <w:footerReference w:type="first" r:id="rId13"/>
      <w:type w:val="nextPage"/>
      <w:pgSz w:w="11906" w:h="16838"/>
      <w:pgMar w:left="1134" w:right="850" w:gutter="0" w:header="1146" w:top="1418" w:footer="420" w:bottom="568"/>
      <w:pgNumType w:fmt="decimal"/>
      <w:formProt w:val="false"/>
      <w:textDirection w:val="lrTb"/>
      <w:docGrid w:type="default" w:linePitch="600" w:charSpace="6553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Tahoma">
    <w:charset w:val="00"/>
    <w:family w:val="roman"/>
    <w:pitch w:val="variable"/>
  </w:font>
  <w:font w:name="Arial MT">
    <w:charset w:val="00"/>
    <w:family w:val="roman"/>
    <w:pitch w:val="variable"/>
  </w:font>
  <w:font w:name="Arial">
    <w:charset w:val="01"/>
    <w:family w:val="swiss"/>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user"/>
      <w:jc w:val="center"/>
      <w:rPr>
        <w:rFonts w:ascii="Arial" w:hAnsi="Arial" w:cs="Arial"/>
        <w:b/>
        <w:sz w:val="16"/>
      </w:rPr>
    </w:pPr>
    <w:r>
      <w:rPr>
        <w:rFonts w:cs="Arial" w:ascii="Arial" w:hAnsi="Arial"/>
        <w:color w:val="000000"/>
        <w:sz w:val="16"/>
      </w:rPr>
      <w:t xml:space="preserve">Dispensa Eletrônica nº </w:t>
    </w:r>
    <w:r>
      <w:rPr>
        <w:rFonts w:cs="Arial" w:ascii="Arial" w:hAnsi="Arial"/>
        <w:color w:val="000000"/>
        <w:sz w:val="16"/>
      </w:rPr>
      <w:t>34</w:t>
    </w:r>
    <w:r>
      <w:rPr>
        <w:rFonts w:cs="Arial" w:ascii="Arial" w:hAnsi="Arial"/>
        <w:color w:val="000000"/>
        <w:sz w:val="16"/>
        <w:shd w:fill="auto" w:val="clear"/>
      </w:rPr>
      <w:t>/</w:t>
    </w:r>
    <w:r>
      <w:rPr>
        <w:rFonts w:cs="Arial" w:ascii="Arial" w:hAnsi="Arial"/>
        <w:color w:val="000000"/>
        <w:sz w:val="16"/>
      </w:rPr>
      <w:t xml:space="preserve">2025 - Página </w:t>
    </w:r>
    <w:r>
      <w:rPr>
        <w:rFonts w:cs="Arial" w:ascii="Arial" w:hAnsi="Arial"/>
        <w:b/>
        <w:color w:val="000000"/>
        <w:sz w:val="16"/>
      </w:rPr>
      <w:fldChar w:fldCharType="begin"/>
    </w:r>
    <w:r>
      <w:rPr>
        <w:sz w:val="16"/>
        <w:b/>
        <w:rFonts w:cs="Arial" w:ascii="Arial" w:hAnsi="Arial"/>
        <w:color w:val="000000"/>
      </w:rPr>
      <w:instrText xml:space="preserve"> PAGE </w:instrText>
    </w:r>
    <w:r>
      <w:rPr>
        <w:sz w:val="16"/>
        <w:b/>
        <w:rFonts w:cs="Arial" w:ascii="Arial" w:hAnsi="Arial"/>
        <w:color w:val="000000"/>
      </w:rPr>
      <w:fldChar w:fldCharType="separate"/>
    </w:r>
    <w:r>
      <w:rPr>
        <w:sz w:val="16"/>
        <w:b/>
        <w:rFonts w:cs="Arial" w:ascii="Arial" w:hAnsi="Arial"/>
        <w:color w:val="000000"/>
      </w:rPr>
      <w:t>12</w:t>
    </w:r>
    <w:r>
      <w:rPr>
        <w:sz w:val="16"/>
        <w:b/>
        <w:rFonts w:cs="Arial" w:ascii="Arial" w:hAnsi="Arial"/>
        <w:color w:val="000000"/>
      </w:rPr>
      <w:fldChar w:fldCharType="end"/>
    </w:r>
    <w:r>
      <w:rPr>
        <w:rFonts w:cs="Arial" w:ascii="Arial" w:hAnsi="Arial"/>
        <w:color w:val="000000"/>
        <w:sz w:val="16"/>
      </w:rPr>
      <w:t xml:space="preserve"> de </w:t>
    </w:r>
    <w:r>
      <w:rPr>
        <w:rFonts w:cs="Arial" w:ascii="Arial" w:hAnsi="Arial"/>
        <w:b/>
        <w:color w:val="000000"/>
        <w:sz w:val="16"/>
      </w:rPr>
      <w:fldChar w:fldCharType="begin"/>
    </w:r>
    <w:r>
      <w:rPr>
        <w:sz w:val="16"/>
        <w:b/>
        <w:rFonts w:cs="Arial" w:ascii="Arial" w:hAnsi="Arial"/>
        <w:color w:val="000000"/>
      </w:rPr>
      <w:instrText xml:space="preserve"> NUMPAGES </w:instrText>
    </w:r>
    <w:r>
      <w:rPr>
        <w:sz w:val="16"/>
        <w:b/>
        <w:rFonts w:cs="Arial" w:ascii="Arial" w:hAnsi="Arial"/>
        <w:color w:val="000000"/>
      </w:rPr>
      <w:fldChar w:fldCharType="separate"/>
    </w:r>
    <w:r>
      <w:rPr>
        <w:sz w:val="16"/>
        <w:b/>
        <w:rFonts w:cs="Arial" w:ascii="Arial" w:hAnsi="Arial"/>
        <w:color w:val="000000"/>
      </w:rPr>
      <w:t>12</w:t>
    </w:r>
    <w:r>
      <w:rPr>
        <w:sz w:val="16"/>
        <w:b/>
        <w:rFonts w:cs="Arial" w:ascii="Arial" w:hAnsi="Arial"/>
        <w:color w:val="000000"/>
      </w:rPr>
      <w:fldChar w:fldCharType="end"/>
    </w:r>
  </w:p>
  <w:p>
    <w:pPr>
      <w:pStyle w:val="Normal"/>
      <w:jc w:val="center"/>
      <w:rPr/>
    </w:pPr>
    <w:r>
      <w:rPr/>
    </w:r>
  </w:p>
  <w:p>
    <w:pPr>
      <w:pStyle w:val="Normal"/>
      <w:jc w:val="center"/>
      <w:rPr/>
    </w:pPr>
    <w:r>
      <w:rPr/>
      <w:drawing>
        <wp:anchor behindDoc="1" distT="0" distB="0" distL="114300" distR="114300" simplePos="0" locked="0" layoutInCell="0" allowOverlap="1" relativeHeight="49">
          <wp:simplePos x="0" y="0"/>
          <wp:positionH relativeFrom="column">
            <wp:posOffset>3422015</wp:posOffset>
          </wp:positionH>
          <wp:positionV relativeFrom="paragraph">
            <wp:posOffset>294640</wp:posOffset>
          </wp:positionV>
          <wp:extent cx="7440930" cy="617220"/>
          <wp:effectExtent l="0" t="0" r="0" b="0"/>
          <wp:wrapSquare wrapText="bothSides"/>
          <wp:docPr id="5"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
                  <pic:cNvPicPr>
                    <a:picLocks noChangeAspect="1" noChangeArrowheads="1"/>
                  </pic:cNvPicPr>
                </pic:nvPicPr>
                <pic:blipFill>
                  <a:blip r:embed="rId1"/>
                  <a:stretch>
                    <a:fillRect/>
                  </a:stretch>
                </pic:blipFill>
                <pic:spPr bwMode="auto">
                  <a:xfrm>
                    <a:off x="0" y="0"/>
                    <a:ext cx="7440930" cy="617220"/>
                  </a:xfrm>
                  <a:prstGeom prst="rect">
                    <a:avLst/>
                  </a:prstGeom>
                  <a:noFill/>
                </pic:spPr>
              </pic:pic>
            </a:graphicData>
          </a:graphic>
        </wp:anchor>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user"/>
      <w:jc w:val="center"/>
      <w:rPr>
        <w:rFonts w:ascii="Arial" w:hAnsi="Arial" w:cs="Arial"/>
        <w:b/>
        <w:sz w:val="16"/>
      </w:rPr>
    </w:pPr>
    <w:r>
      <w:rPr>
        <w:rFonts w:cs="Arial" w:ascii="Arial" w:hAnsi="Arial"/>
        <w:color w:val="000000"/>
        <w:sz w:val="16"/>
      </w:rPr>
      <w:t xml:space="preserve">Dispensa Eletrônica nº </w:t>
    </w:r>
    <w:r>
      <w:rPr>
        <w:rFonts w:cs="Arial" w:ascii="Arial" w:hAnsi="Arial"/>
        <w:color w:val="000000"/>
        <w:sz w:val="16"/>
      </w:rPr>
      <w:t>34</w:t>
    </w:r>
    <w:r>
      <w:rPr>
        <w:rFonts w:cs="Arial" w:ascii="Arial" w:hAnsi="Arial"/>
        <w:color w:val="000000"/>
        <w:sz w:val="16"/>
        <w:shd w:fill="auto" w:val="clear"/>
      </w:rPr>
      <w:t>/</w:t>
    </w:r>
    <w:r>
      <w:rPr>
        <w:rFonts w:cs="Arial" w:ascii="Arial" w:hAnsi="Arial"/>
        <w:color w:val="000000"/>
        <w:sz w:val="16"/>
      </w:rPr>
      <w:t xml:space="preserve">2025 - Página </w:t>
    </w:r>
    <w:r>
      <w:rPr>
        <w:rFonts w:cs="Arial" w:ascii="Arial" w:hAnsi="Arial"/>
        <w:b/>
        <w:color w:val="000000"/>
        <w:sz w:val="16"/>
      </w:rPr>
      <w:fldChar w:fldCharType="begin"/>
    </w:r>
    <w:r>
      <w:rPr>
        <w:sz w:val="16"/>
        <w:b/>
        <w:rFonts w:cs="Arial" w:ascii="Arial" w:hAnsi="Arial"/>
        <w:color w:val="000000"/>
      </w:rPr>
      <w:instrText xml:space="preserve"> PAGE </w:instrText>
    </w:r>
    <w:r>
      <w:rPr>
        <w:sz w:val="16"/>
        <w:b/>
        <w:rFonts w:cs="Arial" w:ascii="Arial" w:hAnsi="Arial"/>
        <w:color w:val="000000"/>
      </w:rPr>
      <w:fldChar w:fldCharType="separate"/>
    </w:r>
    <w:r>
      <w:rPr>
        <w:sz w:val="16"/>
        <w:b/>
        <w:rFonts w:cs="Arial" w:ascii="Arial" w:hAnsi="Arial"/>
        <w:color w:val="000000"/>
      </w:rPr>
      <w:t>12</w:t>
    </w:r>
    <w:r>
      <w:rPr>
        <w:sz w:val="16"/>
        <w:b/>
        <w:rFonts w:cs="Arial" w:ascii="Arial" w:hAnsi="Arial"/>
        <w:color w:val="000000"/>
      </w:rPr>
      <w:fldChar w:fldCharType="end"/>
    </w:r>
    <w:r>
      <w:rPr>
        <w:rFonts w:cs="Arial" w:ascii="Arial" w:hAnsi="Arial"/>
        <w:color w:val="000000"/>
        <w:sz w:val="16"/>
      </w:rPr>
      <w:t xml:space="preserve"> de </w:t>
    </w:r>
    <w:r>
      <w:rPr>
        <w:rFonts w:cs="Arial" w:ascii="Arial" w:hAnsi="Arial"/>
        <w:b/>
        <w:color w:val="000000"/>
        <w:sz w:val="16"/>
      </w:rPr>
      <w:fldChar w:fldCharType="begin"/>
    </w:r>
    <w:r>
      <w:rPr>
        <w:sz w:val="16"/>
        <w:b/>
        <w:rFonts w:cs="Arial" w:ascii="Arial" w:hAnsi="Arial"/>
        <w:color w:val="000000"/>
      </w:rPr>
      <w:instrText xml:space="preserve"> NUMPAGES </w:instrText>
    </w:r>
    <w:r>
      <w:rPr>
        <w:sz w:val="16"/>
        <w:b/>
        <w:rFonts w:cs="Arial" w:ascii="Arial" w:hAnsi="Arial"/>
        <w:color w:val="000000"/>
      </w:rPr>
      <w:fldChar w:fldCharType="separate"/>
    </w:r>
    <w:r>
      <w:rPr>
        <w:sz w:val="16"/>
        <w:b/>
        <w:rFonts w:cs="Arial" w:ascii="Arial" w:hAnsi="Arial"/>
        <w:color w:val="000000"/>
      </w:rPr>
      <w:t>12</w:t>
    </w:r>
    <w:r>
      <w:rPr>
        <w:sz w:val="16"/>
        <w:b/>
        <w:rFonts w:cs="Arial" w:ascii="Arial" w:hAnsi="Arial"/>
        <w:color w:val="000000"/>
      </w:rPr>
      <w:fldChar w:fldCharType="end"/>
    </w:r>
  </w:p>
  <w:p>
    <w:pPr>
      <w:pStyle w:val="Normal"/>
      <w:jc w:val="center"/>
      <w:rPr/>
    </w:pPr>
    <w:r>
      <w:rPr/>
    </w:r>
  </w:p>
  <w:p>
    <w:pPr>
      <w:pStyle w:val="Normal"/>
      <w:jc w:val="center"/>
      <w:rPr/>
    </w:pPr>
    <w:r>
      <w:rPr/>
      <w:drawing>
        <wp:anchor behindDoc="1" distT="0" distB="0" distL="114300" distR="114300" simplePos="0" locked="0" layoutInCell="0" allowOverlap="1" relativeHeight="49">
          <wp:simplePos x="0" y="0"/>
          <wp:positionH relativeFrom="column">
            <wp:posOffset>3422015</wp:posOffset>
          </wp:positionH>
          <wp:positionV relativeFrom="paragraph">
            <wp:posOffset>294640</wp:posOffset>
          </wp:positionV>
          <wp:extent cx="7440930" cy="617220"/>
          <wp:effectExtent l="0" t="0" r="0" b="0"/>
          <wp:wrapSquare wrapText="bothSides"/>
          <wp:docPr id="6"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 descr=""/>
                  <pic:cNvPicPr>
                    <a:picLocks noChangeAspect="1" noChangeArrowheads="1"/>
                  </pic:cNvPicPr>
                </pic:nvPicPr>
                <pic:blipFill>
                  <a:blip r:embed="rId1"/>
                  <a:stretch>
                    <a:fillRect/>
                  </a:stretch>
                </pic:blipFill>
                <pic:spPr bwMode="auto">
                  <a:xfrm>
                    <a:off x="0" y="0"/>
                    <a:ext cx="7440930" cy="617220"/>
                  </a:xfrm>
                  <a:prstGeom prst="rect">
                    <a:avLst/>
                  </a:prstGeom>
                  <a:noFill/>
                </pic:spPr>
              </pic:pic>
            </a:graphicData>
          </a:graphic>
        </wp:anchor>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114300" distR="114300" simplePos="0" locked="0" layoutInCell="0" allowOverlap="1" relativeHeight="13">
          <wp:simplePos x="0" y="0"/>
          <wp:positionH relativeFrom="column">
            <wp:posOffset>-175895</wp:posOffset>
          </wp:positionH>
          <wp:positionV relativeFrom="paragraph">
            <wp:posOffset>-701040</wp:posOffset>
          </wp:positionV>
          <wp:extent cx="1470660" cy="822325"/>
          <wp:effectExtent l="0" t="0" r="0" b="0"/>
          <wp:wrapTopAndBottom/>
          <wp:docPr id="1" name="Imagem 1017054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descr=""/>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mc:AlternateContent>
        <mc:Choice Requires="wps">
          <w:drawing>
            <wp:anchor behindDoc="1" distT="0" distB="0" distL="0" distR="0" simplePos="0" locked="0" layoutInCell="0" allowOverlap="1" relativeHeight="36" wp14:anchorId="2575256A">
              <wp:simplePos x="0" y="0"/>
              <wp:positionH relativeFrom="page">
                <wp:posOffset>2332990</wp:posOffset>
              </wp:positionH>
              <wp:positionV relativeFrom="page">
                <wp:posOffset>199390</wp:posOffset>
              </wp:positionV>
              <wp:extent cx="4272280" cy="715645"/>
              <wp:effectExtent l="0" t="0" r="0" b="0"/>
              <wp:wrapNone/>
              <wp:docPr id="2" name="Textbox 3"/>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fillRef idx="0"/>
                      <a:effectRef idx="0"/>
                      <a:fontRef idx="minor"/>
                    </wps:style>
                    <wps:txbx>
                      <w:txbxContent>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ind w:hanging="0" w:right="217"/>
                            <w:jc w:val="center"/>
                            <w:rPr>
                              <w:color w:val="000000"/>
                            </w:rPr>
                          </w:pPr>
                          <w:r>
                            <w:rPr>
                              <w:rFonts w:ascii="Book Antiqua" w:hAnsi="Book Antiqua"/>
                              <w:b w:val="false"/>
                              <w:bCs w:val="false"/>
                              <w:color w:val="000000"/>
                              <w:sz w:val="24"/>
                              <w:szCs w:val="24"/>
                            </w:rPr>
                            <w:t>Divisão de Compras</w:t>
                          </w:r>
                        </w:p>
                      </w:txbxContent>
                    </wps:txbx>
                    <wps:bodyPr lIns="0" rIns="0" tIns="0" bIns="0" anchor="t">
                      <a:noAutofit/>
                    </wps:bodyPr>
                  </wps:wsp>
                </a:graphicData>
              </a:graphic>
            </wp:anchor>
          </w:drawing>
        </mc:Choice>
        <mc:Fallback>
          <w:pict>
            <v:rect id="shape_0" ID="Textbox 3" path="m0,0l-2147483645,0l-2147483645,-2147483646l0,-2147483646xe" stroked="f" o:allowincell="f" style="position:absolute;margin-left:183.7pt;margin-top:15.7pt;width:336.35pt;height:56.3pt;mso-wrap-style:square;v-text-anchor:top;mso-position-horizontal-relative:page;mso-position-vertical-relative:page" wp14:anchorId="2575256A">
              <v:fill o:detectmouseclick="t" on="false"/>
              <v:stroke color="#3465a4" joinstyle="round" endcap="flat"/>
              <v:textbox>
                <w:txbxContent>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ind w:hanging="0" w:right="217"/>
                      <w:jc w:val="center"/>
                      <w:rPr>
                        <w:color w:val="000000"/>
                      </w:rPr>
                    </w:pPr>
                    <w:r>
                      <w:rPr>
                        <w:rFonts w:ascii="Book Antiqua" w:hAnsi="Book Antiqua"/>
                        <w:b w:val="false"/>
                        <w:bCs w:val="false"/>
                        <w:color w:val="000000"/>
                        <w:sz w:val="24"/>
                        <w:szCs w:val="24"/>
                      </w:rPr>
                      <w:t>Divisão de Compras</w:t>
                    </w:r>
                  </w:p>
                </w:txbxContent>
              </v:textbox>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114300" distR="114300" simplePos="0" locked="0" layoutInCell="0" allowOverlap="1" relativeHeight="13">
          <wp:simplePos x="0" y="0"/>
          <wp:positionH relativeFrom="column">
            <wp:posOffset>-175895</wp:posOffset>
          </wp:positionH>
          <wp:positionV relativeFrom="paragraph">
            <wp:posOffset>-701040</wp:posOffset>
          </wp:positionV>
          <wp:extent cx="1470660" cy="822325"/>
          <wp:effectExtent l="0" t="0" r="0" b="0"/>
          <wp:wrapTopAndBottom/>
          <wp:docPr id="3" name="Imagem 1017054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01705409" descr=""/>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mc:AlternateContent>
        <mc:Choice Requires="wps">
          <w:drawing>
            <wp:anchor behindDoc="1" distT="0" distB="0" distL="0" distR="0" simplePos="0" locked="0" layoutInCell="0" allowOverlap="1" relativeHeight="36" wp14:anchorId="2575256A">
              <wp:simplePos x="0" y="0"/>
              <wp:positionH relativeFrom="page">
                <wp:posOffset>2332990</wp:posOffset>
              </wp:positionH>
              <wp:positionV relativeFrom="page">
                <wp:posOffset>199390</wp:posOffset>
              </wp:positionV>
              <wp:extent cx="4272280" cy="715645"/>
              <wp:effectExtent l="0" t="0" r="0" b="0"/>
              <wp:wrapNone/>
              <wp:docPr id="4" name="Textbox 3"/>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fillRef idx="0"/>
                      <a:effectRef idx="0"/>
                      <a:fontRef idx="minor"/>
                    </wps:style>
                    <wps:txbx>
                      <w:txbxContent>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ind w:hanging="0" w:right="217"/>
                            <w:jc w:val="center"/>
                            <w:rPr>
                              <w:color w:val="000000"/>
                            </w:rPr>
                          </w:pPr>
                          <w:r>
                            <w:rPr>
                              <w:rFonts w:ascii="Book Antiqua" w:hAnsi="Book Antiqua"/>
                              <w:b w:val="false"/>
                              <w:bCs w:val="false"/>
                              <w:color w:val="000000"/>
                              <w:sz w:val="24"/>
                              <w:szCs w:val="24"/>
                            </w:rPr>
                            <w:t>Divisão de Compras</w:t>
                          </w:r>
                        </w:p>
                      </w:txbxContent>
                    </wps:txbx>
                    <wps:bodyPr lIns="0" rIns="0" tIns="0" bIns="0" anchor="t">
                      <a:noAutofit/>
                    </wps:bodyPr>
                  </wps:wsp>
                </a:graphicData>
              </a:graphic>
            </wp:anchor>
          </w:drawing>
        </mc:Choice>
        <mc:Fallback>
          <w:pict>
            <v:rect id="shape_0" ID="Textbox 3" path="m0,0l-2147483645,0l-2147483645,-2147483646l0,-2147483646xe" stroked="f" o:allowincell="f" style="position:absolute;margin-left:183.7pt;margin-top:15.7pt;width:336.35pt;height:56.3pt;mso-wrap-style:square;v-text-anchor:top;mso-position-horizontal-relative:page;mso-position-vertical-relative:page" wp14:anchorId="2575256A">
              <v:fill o:detectmouseclick="t" on="false"/>
              <v:stroke color="#3465a4" joinstyle="round" endcap="flat"/>
              <v:textbox>
                <w:txbxContent>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ind w:hanging="0" w:right="217"/>
                      <w:jc w:val="center"/>
                      <w:rPr>
                        <w:color w:val="000000"/>
                      </w:rPr>
                    </w:pPr>
                    <w:r>
                      <w:rPr>
                        <w:rFonts w:ascii="Book Antiqua" w:hAnsi="Book Antiqua"/>
                        <w:b w:val="false"/>
                        <w:bCs w:val="false"/>
                        <w:color w:val="000000"/>
                        <w:sz w:val="24"/>
                        <w:szCs w:val="24"/>
                      </w:rPr>
                      <w:t>Divisão de Compras</w:t>
                    </w:r>
                  </w:p>
                </w:txbxContent>
              </v:textbox>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2">
    <w:lvl w:ilvl="0">
      <w:start w:val="1"/>
      <w:numFmt w:val="none"/>
      <w:suff w:val="nothing"/>
      <w:lvlText w:val=""/>
      <w:lvlJc w:val="left"/>
      <w:pPr>
        <w:tabs>
          <w:tab w:val="num" w:pos="0"/>
        </w:tabs>
        <w:ind w:left="0" w:hanging="0"/>
      </w:pPr>
      <w:rPr>
        <w:sz w:val="20"/>
        <w:b/>
        <w:rFonts w:ascii="Arial" w:hAnsi="Arial"/>
      </w:rPr>
    </w:lvl>
    <w:lvl w:ilvl="1">
      <w:start w:val="1"/>
      <w:numFmt w:val="none"/>
      <w:suff w:val="nothing"/>
      <w:lvlText w:val=""/>
      <w:lvlJc w:val="left"/>
      <w:pPr>
        <w:tabs>
          <w:tab w:val="num" w:pos="0"/>
        </w:tabs>
        <w:ind w:left="0" w:hanging="0"/>
      </w:pPr>
      <w:rPr>
        <w:sz w:val="20"/>
        <w:b/>
        <w:rFonts w:ascii="Arial" w:hAnsi="Arial"/>
      </w:rPr>
    </w:lvl>
    <w:lvl w:ilvl="2">
      <w:start w:val="1"/>
      <w:numFmt w:val="none"/>
      <w:suff w:val="nothing"/>
      <w:lvlText w:val=""/>
      <w:lvlJc w:val="left"/>
      <w:pPr>
        <w:tabs>
          <w:tab w:val="num" w:pos="0"/>
        </w:tabs>
        <w:ind w:left="0" w:hanging="0"/>
      </w:pPr>
      <w:rPr>
        <w:sz w:val="20"/>
        <w:b/>
        <w:rFonts w:ascii="Arial" w:hAnsi="Arial"/>
      </w:rPr>
    </w:lvl>
    <w:lvl w:ilvl="3">
      <w:start w:val="1"/>
      <w:numFmt w:val="none"/>
      <w:suff w:val="nothing"/>
      <w:lvlText w:val=""/>
      <w:lvlJc w:val="left"/>
      <w:pPr>
        <w:tabs>
          <w:tab w:val="num" w:pos="0"/>
        </w:tabs>
        <w:ind w:left="0" w:hanging="0"/>
      </w:pPr>
      <w:rPr>
        <w:sz w:val="20"/>
        <w:b/>
        <w:rFonts w:ascii="Arial" w:hAnsi="Arial"/>
      </w:rPr>
    </w:lvl>
    <w:lvl w:ilvl="4">
      <w:start w:val="1"/>
      <w:numFmt w:val="none"/>
      <w:suff w:val="nothing"/>
      <w:lvlText w:val=""/>
      <w:lvlJc w:val="left"/>
      <w:pPr>
        <w:tabs>
          <w:tab w:val="num" w:pos="0"/>
        </w:tabs>
        <w:ind w:left="0" w:hanging="0"/>
      </w:pPr>
      <w:rPr>
        <w:sz w:val="20"/>
        <w:b/>
        <w:rFonts w:ascii="Arial" w:hAnsi="Arial"/>
      </w:rPr>
    </w:lvl>
    <w:lvl w:ilvl="5">
      <w:start w:val="1"/>
      <w:numFmt w:val="none"/>
      <w:suff w:val="nothing"/>
      <w:lvlText w:val=""/>
      <w:lvlJc w:val="left"/>
      <w:pPr>
        <w:tabs>
          <w:tab w:val="num" w:pos="0"/>
        </w:tabs>
        <w:ind w:left="0" w:hanging="0"/>
      </w:pPr>
      <w:rPr>
        <w:sz w:val="20"/>
        <w:b/>
        <w:rFonts w:ascii="Arial" w:hAnsi="Arial"/>
      </w:rPr>
    </w:lvl>
    <w:lvl w:ilvl="6">
      <w:start w:val="1"/>
      <w:numFmt w:val="none"/>
      <w:suff w:val="nothing"/>
      <w:lvlText w:val=""/>
      <w:lvlJc w:val="left"/>
      <w:pPr>
        <w:tabs>
          <w:tab w:val="num" w:pos="0"/>
        </w:tabs>
        <w:ind w:left="0" w:hanging="0"/>
      </w:pPr>
      <w:rPr>
        <w:sz w:val="20"/>
        <w:b/>
        <w:rFonts w:ascii="Arial" w:hAnsi="Arial"/>
      </w:rPr>
    </w:lvl>
    <w:lvl w:ilvl="7">
      <w:start w:val="1"/>
      <w:numFmt w:val="none"/>
      <w:suff w:val="nothing"/>
      <w:lvlText w:val=""/>
      <w:lvlJc w:val="left"/>
      <w:pPr>
        <w:tabs>
          <w:tab w:val="num" w:pos="0"/>
        </w:tabs>
        <w:ind w:left="0" w:hanging="0"/>
      </w:pPr>
      <w:rPr>
        <w:sz w:val="20"/>
        <w:b/>
        <w:rFonts w:ascii="Arial" w:hAnsi="Arial"/>
      </w:rPr>
    </w:lvl>
    <w:lvl w:ilvl="8">
      <w:start w:val="1"/>
      <w:numFmt w:val="none"/>
      <w:suff w:val="nothing"/>
      <w:lvlText w:val=""/>
      <w:lvlJc w:val="left"/>
      <w:pPr>
        <w:tabs>
          <w:tab w:val="num" w:pos="0"/>
        </w:tabs>
        <w:ind w:left="0" w:hanging="0"/>
      </w:pPr>
      <w:rPr>
        <w:sz w:val="20"/>
        <w:b/>
        <w:rFonts w:ascii="Arial" w:hAnsi="Arial"/>
      </w:rPr>
    </w:lvl>
  </w:abstractNum>
  <w:abstractNum w:abstractNumId="1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3"/>
    <w:lvlOverride w:ilvl="0">
      <w:startOverride w:val="1"/>
    </w:lvlOverride>
  </w:num>
  <w:num w:numId="25">
    <w:abstractNumId w:val="3"/>
    <w:lvlOverride w:ilvl="0">
      <w:lvl w:ilvl="0">
        <w:start w:val="1"/>
        <w:numFmt w:val="none"/>
        <w:suff w:val="nothing"/>
        <w:lvlText w:val=""/>
        <w:lvlJc w:val="left"/>
        <w:pPr>
          <w:tabs>
            <w:tab w:val="num" w:pos="0"/>
          </w:tabs>
          <w:ind w:left="0" w:hanging="0"/>
        </w:pPr>
        <w:rPr>
          <w:sz w:val="20"/>
          <w:b/>
          <w:rFonts w:ascii="Arial" w:hAnsi="Arial"/>
        </w:rPr>
      </w:lvl>
      <w:startOverride w:val="1"/>
    </w:lvlOverride>
    <w:lvlOverride w:ilvl="0">
      <w:startOverride w:val="1"/>
    </w:lvlOverride>
    <w:lvlOverride w:ilvl="1">
      <w:lvl w:ilvl="1">
        <w:start w:val="1"/>
        <w:numFmt w:val="none"/>
        <w:suff w:val="nothing"/>
        <w:lvlText w:val=""/>
        <w:lvlJc w:val="left"/>
        <w:pPr>
          <w:tabs>
            <w:tab w:val="num" w:pos="0"/>
          </w:tabs>
          <w:ind w:left="0" w:hanging="0"/>
        </w:pPr>
        <w:rPr>
          <w:sz w:val="20"/>
          <w:b/>
          <w:rFonts w:ascii="Arial" w:hAnsi="Arial"/>
        </w:rPr>
      </w:lvl>
    </w:lvlOverride>
    <w:lvlOverride w:ilvl="1">
      <w:startOverride w:val="1"/>
    </w:lvlOverride>
    <w:lvlOverride w:ilvl="2">
      <w:lvl w:ilvl="2">
        <w:start w:val="1"/>
        <w:numFmt w:val="none"/>
        <w:suff w:val="nothing"/>
        <w:lvlText w:val=""/>
        <w:lvlJc w:val="left"/>
        <w:pPr>
          <w:tabs>
            <w:tab w:val="num" w:pos="0"/>
          </w:tabs>
          <w:ind w:left="0" w:hanging="0"/>
        </w:pPr>
        <w:rPr>
          <w:sz w:val="20"/>
          <w:b/>
          <w:rFonts w:ascii="Arial" w:hAnsi="Arial"/>
        </w:rPr>
      </w:lvl>
    </w:lvlOverride>
    <w:lvlOverride w:ilvl="2">
      <w:startOverride w:val="1"/>
    </w:lvlOverride>
    <w:lvlOverride w:ilvl="3">
      <w:lvl w:ilvl="3">
        <w:start w:val="1"/>
        <w:numFmt w:val="none"/>
        <w:suff w:val="nothing"/>
        <w:lvlText w:val=""/>
        <w:lvlJc w:val="left"/>
        <w:pPr>
          <w:tabs>
            <w:tab w:val="num" w:pos="0"/>
          </w:tabs>
          <w:ind w:left="0" w:hanging="0"/>
        </w:pPr>
        <w:rPr>
          <w:sz w:val="20"/>
          <w:b/>
          <w:rFonts w:ascii="Arial" w:hAnsi="Arial"/>
        </w:rPr>
      </w:lvl>
    </w:lvlOverride>
    <w:lvlOverride w:ilvl="3">
      <w:startOverride w:val="1"/>
    </w:lvlOverride>
    <w:lvlOverride w:ilvl="4">
      <w:lvl w:ilvl="4">
        <w:start w:val="1"/>
        <w:numFmt w:val="none"/>
        <w:suff w:val="nothing"/>
        <w:lvlText w:val=""/>
        <w:lvlJc w:val="left"/>
        <w:pPr>
          <w:tabs>
            <w:tab w:val="num" w:pos="0"/>
          </w:tabs>
          <w:ind w:left="0" w:hanging="0"/>
        </w:pPr>
        <w:rPr>
          <w:sz w:val="20"/>
          <w:b/>
          <w:rFonts w:ascii="Arial" w:hAnsi="Arial"/>
        </w:rPr>
      </w:lvl>
    </w:lvlOverride>
    <w:lvlOverride w:ilvl="4">
      <w:startOverride w:val="1"/>
    </w:lvlOverride>
    <w:lvlOverride w:ilvl="5">
      <w:lvl w:ilvl="5">
        <w:start w:val="1"/>
        <w:numFmt w:val="none"/>
        <w:suff w:val="nothing"/>
        <w:lvlText w:val=""/>
        <w:lvlJc w:val="left"/>
        <w:pPr>
          <w:tabs>
            <w:tab w:val="num" w:pos="0"/>
          </w:tabs>
          <w:ind w:left="0" w:hanging="0"/>
        </w:pPr>
        <w:rPr>
          <w:sz w:val="20"/>
          <w:b/>
          <w:rFonts w:ascii="Arial" w:hAnsi="Arial"/>
        </w:rPr>
      </w:lvl>
    </w:lvlOverride>
    <w:lvlOverride w:ilvl="5">
      <w:startOverride w:val="1"/>
    </w:lvlOverride>
    <w:lvlOverride w:ilvl="6">
      <w:lvl w:ilvl="6">
        <w:start w:val="1"/>
        <w:numFmt w:val="none"/>
        <w:suff w:val="nothing"/>
        <w:lvlText w:val=""/>
        <w:lvlJc w:val="left"/>
        <w:pPr>
          <w:tabs>
            <w:tab w:val="num" w:pos="0"/>
          </w:tabs>
          <w:ind w:left="0" w:hanging="0"/>
        </w:pPr>
        <w:rPr>
          <w:sz w:val="20"/>
          <w:b/>
          <w:rFonts w:ascii="Arial" w:hAnsi="Arial"/>
        </w:rPr>
      </w:lvl>
    </w:lvlOverride>
    <w:lvlOverride w:ilvl="6">
      <w:startOverride w:val="1"/>
    </w:lvlOverride>
    <w:lvlOverride w:ilvl="7">
      <w:lvl w:ilvl="7">
        <w:start w:val="1"/>
        <w:numFmt w:val="none"/>
        <w:suff w:val="nothing"/>
        <w:lvlText w:val=""/>
        <w:lvlJc w:val="left"/>
        <w:pPr>
          <w:tabs>
            <w:tab w:val="num" w:pos="0"/>
          </w:tabs>
          <w:ind w:left="0" w:hanging="0"/>
        </w:pPr>
        <w:rPr>
          <w:sz w:val="20"/>
          <w:b/>
          <w:rFonts w:ascii="Arial" w:hAnsi="Arial"/>
        </w:rPr>
      </w:lvl>
    </w:lvlOverride>
    <w:lvlOverride w:ilvl="7">
      <w:startOverride w:val="1"/>
    </w:lvlOverride>
    <w:lvlOverride w:ilvl="8">
      <w:lvl w:ilvl="8">
        <w:start w:val="1"/>
        <w:numFmt w:val="none"/>
        <w:suff w:val="nothing"/>
        <w:lvlText w:val=""/>
        <w:lvlJc w:val="left"/>
        <w:pPr>
          <w:tabs>
            <w:tab w:val="num" w:pos="0"/>
          </w:tabs>
          <w:ind w:left="0" w:hanging="0"/>
        </w:pPr>
        <w:rPr>
          <w:sz w:val="20"/>
          <w:b/>
          <w:rFonts w:ascii="Arial" w:hAnsi="Arial"/>
        </w:rPr>
      </w:lvl>
    </w:lvlOverride>
  </w:num>
  <w:num w:numId="26">
    <w:abstractNumId w:val="13"/>
    <w:lvlOverride w:ilvl="0">
      <w:startOverride w:val="1"/>
    </w:lvlOverride>
  </w:num>
  <w:num w:numId="27">
    <w:abstractNumId w:val="13"/>
    <w:lvlOverride w:ilvl="0">
      <w:startOverride w:val="1"/>
    </w:lvlOverride>
  </w:num>
  <w:num w:numId="28">
    <w:abstractNumId w:val="13"/>
    <w:lvlOverride w:ilvl="0">
      <w:startOverride w:val="1"/>
    </w:lvlOverride>
  </w:num>
  <w:num w:numId="29">
    <w:abstractNumId w:val="13"/>
    <w:lvlOverride w:ilvl="0">
      <w:startOverride w:val="1"/>
    </w:lvlOverride>
  </w:num>
  <w:num w:numId="30">
    <w:abstractNumId w:val="13"/>
    <w:lvlOverride w:ilvl="0">
      <w:startOverride w:val="1"/>
    </w:lvlOverride>
  </w:num>
  <w:num w:numId="31">
    <w:abstractNumId w:val="13"/>
    <w:lvlOverride w:ilvl="0">
      <w:startOverride w:val="1"/>
    </w:lvlOverride>
  </w:num>
  <w:num w:numId="32">
    <w:abstractNumId w:val="13"/>
    <w:lvlOverride w:ilvl="0">
      <w:startOverride w:val="1"/>
    </w:lvlOverride>
  </w:num>
  <w:num w:numId="33">
    <w:abstractNumId w:val="13"/>
    <w:lvlOverride w:ilvl="0">
      <w:startOverride w:val="1"/>
    </w:lvlOverride>
  </w:num>
  <w:num w:numId="34">
    <w:abstractNumId w:val="13"/>
    <w:lvlOverride w:ilvl="0">
      <w:startOverride w:val="1"/>
    </w:lvlOverride>
  </w:num>
  <w:num w:numId="35">
    <w:abstractNumId w:val="13"/>
    <w:lvlOverride w:ilvl="0">
      <w:startOverride w:val="1"/>
    </w:lvlOverride>
  </w:num>
</w:numbering>
</file>

<file path=word/settings.xml><?xml version="1.0" encoding="utf-8"?>
<w:settings xmlns:w="http://schemas.openxmlformats.org/wordprocessingml/2006/main">
  <w:zoom w:percent="100"/>
  <w:displayBackgroundShape/>
  <w:defaultTabStop w:val="709"/>
  <w:autoHyphenation w:val="true"/>
  <w:hyphenationZone w:val="425"/>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9" w:semiHidden="0" w:unhideWhenUsed="0" w:qFormat="1"/>
    <w:lsdException w:name="heading 4" w:uiPriority="9" w:semiHidden="0" w:unhideWhenUsed="0" w:qFormat="1"/>
    <w:lsdException w:name="heading 5" w:uiPriority="0" w:semiHidden="0" w:unhideWhenUsed="0" w:qFormat="1"/>
    <w:lsdException w:name="heading 6" w:uiPriority="9" w:semiHidden="0" w:unhideWhenUsed="0" w:qFormat="1"/>
    <w:lsdException w:name="heading 7" w:uiPriority="9" w:semiHidden="0" w:unhideWhenUsed="0" w:qFormat="1"/>
    <w:lsdException w:name="heading 8" w:uiPriority="0" w:semiHidden="0" w:unhideWhenUsed="0" w:qFormat="1"/>
    <w:lsdException w:name="heading 9" w:uiPriority="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Normal (Web)" w:uiPriority="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82568"/>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Heading1">
    <w:name w:val="heading 1"/>
    <w:basedOn w:val="Normal"/>
    <w:next w:val="Normal"/>
    <w:qFormat/>
    <w:pPr>
      <w:keepNext w:val="true"/>
      <w:tabs>
        <w:tab w:val="clear" w:pos="709"/>
        <w:tab w:val="left" w:pos="0" w:leader="none"/>
      </w:tabs>
      <w:ind w:hanging="432" w:left="432"/>
      <w:jc w:val="center"/>
      <w:outlineLvl w:val="0"/>
    </w:pPr>
    <w:rPr>
      <w:rFonts w:ascii="Arial" w:hAnsi="Arial" w:cs="Arial"/>
      <w:b/>
      <w:bCs/>
      <w:sz w:val="32"/>
      <w:szCs w:val="32"/>
      <w:lang w:val="x-none"/>
    </w:rPr>
  </w:style>
  <w:style w:type="paragraph" w:styleId="Heading2">
    <w:name w:val="heading 2"/>
    <w:basedOn w:val="Normal"/>
    <w:next w:val="Normal"/>
    <w:qFormat/>
    <w:pPr>
      <w:keepNext w:val="true"/>
      <w:tabs>
        <w:tab w:val="clear" w:pos="709"/>
        <w:tab w:val="left" w:pos="0" w:leader="none"/>
      </w:tabs>
      <w:ind w:hanging="576" w:left="576"/>
      <w:jc w:val="center"/>
      <w:outlineLvl w:val="1"/>
    </w:pPr>
    <w:rPr>
      <w:rFonts w:ascii="Arial" w:hAnsi="Arial" w:cs="Arial"/>
      <w:b/>
      <w:bCs/>
      <w:sz w:val="24"/>
      <w:szCs w:val="24"/>
      <w:lang w:val="x-none"/>
    </w:rPr>
  </w:style>
  <w:style w:type="paragraph" w:styleId="Heading3">
    <w:name w:val="heading 3"/>
    <w:basedOn w:val="Normal"/>
    <w:next w:val="Normal"/>
    <w:qFormat/>
    <w:pPr>
      <w:keepNext w:val="true"/>
      <w:tabs>
        <w:tab w:val="clear" w:pos="709"/>
        <w:tab w:val="left" w:pos="0" w:leader="none"/>
      </w:tabs>
      <w:ind w:hanging="720" w:left="720"/>
      <w:jc w:val="center"/>
      <w:outlineLvl w:val="2"/>
    </w:pPr>
    <w:rPr>
      <w:rFonts w:ascii="Arial" w:hAnsi="Arial" w:cs="Arial"/>
      <w:b/>
      <w:bCs/>
      <w:caps/>
      <w:sz w:val="22"/>
      <w:szCs w:val="22"/>
      <w:lang w:val="x-none"/>
    </w:rPr>
  </w:style>
  <w:style w:type="paragraph" w:styleId="Heading4">
    <w:name w:val="heading 4"/>
    <w:basedOn w:val="Normal"/>
    <w:next w:val="Normal"/>
    <w:qFormat/>
    <w:pPr>
      <w:keepNext w:val="true"/>
      <w:tabs>
        <w:tab w:val="clear" w:pos="709"/>
        <w:tab w:val="left" w:pos="0" w:leader="none"/>
      </w:tabs>
      <w:ind w:hanging="864" w:left="864"/>
      <w:jc w:val="center"/>
      <w:outlineLvl w:val="3"/>
    </w:pPr>
    <w:rPr>
      <w:rFonts w:ascii="Arial" w:hAnsi="Arial" w:cs="Arial"/>
      <w:b/>
      <w:bCs/>
      <w:color w:val="000000"/>
      <w:sz w:val="72"/>
      <w:szCs w:val="72"/>
      <w:lang w:val="x-none"/>
    </w:rPr>
  </w:style>
  <w:style w:type="paragraph" w:styleId="Heading5">
    <w:name w:val="heading 5"/>
    <w:basedOn w:val="Normal"/>
    <w:next w:val="Normal"/>
    <w:qFormat/>
    <w:pPr>
      <w:keepNext w:val="true"/>
      <w:keepLines/>
      <w:tabs>
        <w:tab w:val="clear" w:pos="709"/>
        <w:tab w:val="left" w:pos="0" w:leader="none"/>
      </w:tabs>
      <w:ind w:hanging="1008" w:left="1008"/>
      <w:jc w:val="center"/>
      <w:outlineLvl w:val="4"/>
    </w:pPr>
    <w:rPr>
      <w:b/>
      <w:sz w:val="28"/>
      <w:lang w:val="x-none"/>
    </w:rPr>
  </w:style>
  <w:style w:type="paragraph" w:styleId="Heading6">
    <w:name w:val="heading 6"/>
    <w:basedOn w:val="Normal"/>
    <w:next w:val="Normal"/>
    <w:qFormat/>
    <w:pPr>
      <w:keepNext w:val="true"/>
      <w:tabs>
        <w:tab w:val="clear" w:pos="709"/>
        <w:tab w:val="left" w:pos="0" w:leader="none"/>
      </w:tabs>
      <w:ind w:hanging="1152" w:left="1152"/>
      <w:jc w:val="center"/>
      <w:outlineLvl w:val="5"/>
    </w:pPr>
    <w:rPr>
      <w:rFonts w:ascii="Arial" w:hAnsi="Arial" w:cs="Arial"/>
      <w:b/>
      <w:bCs/>
      <w:color w:val="0000FF"/>
      <w:lang w:val="x-none"/>
    </w:rPr>
  </w:style>
  <w:style w:type="paragraph" w:styleId="Heading7">
    <w:name w:val="heading 7"/>
    <w:basedOn w:val="Normal"/>
    <w:next w:val="Normal"/>
    <w:qFormat/>
    <w:pPr>
      <w:keepNext w:val="true"/>
      <w:tabs>
        <w:tab w:val="clear" w:pos="709"/>
        <w:tab w:val="left" w:pos="0" w:leader="none"/>
      </w:tabs>
      <w:ind w:hanging="0" w:left="561"/>
      <w:jc w:val="both"/>
      <w:outlineLvl w:val="6"/>
    </w:pPr>
    <w:rPr>
      <w:rFonts w:ascii="Arial" w:hAnsi="Arial" w:cs="Arial"/>
      <w:b/>
      <w:bCs/>
      <w:sz w:val="22"/>
      <w:szCs w:val="22"/>
    </w:rPr>
  </w:style>
  <w:style w:type="paragraph" w:styleId="Heading8">
    <w:name w:val="heading 8"/>
    <w:basedOn w:val="Normal"/>
    <w:next w:val="Normal"/>
    <w:link w:val="Ttulo8Char"/>
    <w:qFormat/>
    <w:pPr>
      <w:keepNext w:val="true"/>
      <w:tabs>
        <w:tab w:val="clear" w:pos="709"/>
        <w:tab w:val="left" w:pos="0" w:leader="none"/>
      </w:tabs>
      <w:ind w:firstLine="561"/>
      <w:jc w:val="both"/>
      <w:outlineLvl w:val="7"/>
    </w:pPr>
    <w:rPr>
      <w:rFonts w:ascii="Arial" w:hAnsi="Arial"/>
      <w:b/>
      <w:bCs/>
      <w:sz w:val="22"/>
      <w:szCs w:val="22"/>
      <w:lang w:val="x-none"/>
    </w:rPr>
  </w:style>
  <w:style w:type="paragraph" w:styleId="Heading9">
    <w:name w:val="heading 9"/>
    <w:basedOn w:val="Normal"/>
    <w:next w:val="Normal"/>
    <w:qFormat/>
    <w:pPr>
      <w:keepNext w:val="true"/>
      <w:tabs>
        <w:tab w:val="clear" w:pos="709"/>
        <w:tab w:val="left" w:pos="0" w:leader="none"/>
      </w:tabs>
      <w:ind w:firstLine="561"/>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1" w:customStyle="1">
    <w:name w:val="Hyperlink1"/>
    <w:qFormat/>
    <w:rPr>
      <w:color w:val="0000FF"/>
      <w:u w:val="single"/>
    </w:rPr>
  </w:style>
  <w:style w:type="character" w:styleId="PageNumber">
    <w:name w:val="page number"/>
    <w:basedOn w:val="Fontepargpadro1"/>
    <w:qFormat/>
    <w:rPr/>
  </w:style>
  <w:style w:type="character" w:styleId="Strong">
    <w:name w:val="Strong"/>
    <w:qFormat/>
    <w:rPr>
      <w:b/>
      <w:bCs/>
    </w:rPr>
  </w:style>
  <w:style w:type="character" w:styleId="FollowedHyperlink">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CommentReference">
    <w:name w:val="annotation reference"/>
    <w:unhideWhenUsed/>
    <w:qFormat/>
    <w:rsid w:val="00b01366"/>
    <w:rPr>
      <w:sz w:val="16"/>
      <w:szCs w:val="16"/>
    </w:rPr>
  </w:style>
  <w:style w:type="character" w:styleId="TextodecomentrioChar" w:customStyle="1">
    <w:name w:val="Texto de comentário Char"/>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character" w:styleId="UnresolvedMention" w:customStyle="1">
    <w:name w:val="Unresolved Mention"/>
    <w:basedOn w:val="DefaultParagraphFont"/>
    <w:uiPriority w:val="99"/>
    <w:semiHidden/>
    <w:unhideWhenUsed/>
    <w:qFormat/>
    <w:rsid w:val="009a3613"/>
    <w:rPr>
      <w:color w:val="605E5C"/>
      <w:shd w:fill="E1DFDD" w:val="clear"/>
    </w:rPr>
  </w:style>
  <w:style w:type="character" w:styleId="Hyperlink">
    <w:name w:val="Hyperlink"/>
    <w:basedOn w:val="DefaultParagraphFont"/>
    <w:unhideWhenUsed/>
    <w:rsid w:val="00dc4724"/>
    <w:rPr>
      <w:color w:themeColor="hyperlink" w:val="0563C1"/>
      <w:u w:val="single"/>
    </w:rPr>
  </w:style>
  <w:style w:type="character" w:styleId="Fontepargpadro20" w:customStyle="1">
    <w:name w:val="Fonte parág. padrão20"/>
    <w:qFormat/>
    <w:rsid w:val="00863310"/>
    <w:rPr/>
  </w:style>
  <w:style w:type="character" w:styleId="Marcadores" w:customStyle="1">
    <w:name w:val="Marcadores"/>
    <w:qFormat/>
    <w:rPr>
      <w:rFonts w:ascii="OpenSymbol" w:hAnsi="OpenSymbol" w:eastAsia="OpenSymbol" w:cs="OpenSymbol"/>
    </w:rPr>
  </w:style>
  <w:style w:type="paragraph" w:styleId="Ttulo">
    <w:name w:val="Título"/>
    <w:basedOn w:val="Normal"/>
    <w:next w:val="BodyText"/>
    <w:qFormat/>
    <w:pPr>
      <w:keepNext w:val="true"/>
      <w:spacing w:before="240" w:after="120"/>
    </w:pPr>
    <w:rPr>
      <w:rFonts w:ascii="Liberation Sans" w:hAnsi="Liberation Sans" w:eastAsia="Microsoft YaHei" w:cs="Arial Unicode MS"/>
      <w:sz w:val="28"/>
      <w:szCs w:val="28"/>
    </w:rPr>
  </w:style>
  <w:style w:type="paragraph" w:styleId="BodyText">
    <w:name w:val="Body Text"/>
    <w:basedOn w:val="Normal"/>
    <w:pPr>
      <w:jc w:val="both"/>
    </w:pPr>
    <w:rPr>
      <w:rFonts w:ascii="Arial" w:hAnsi="Arial" w:cs="Arial"/>
      <w:sz w:val="22"/>
      <w:szCs w:val="22"/>
      <w:lang w:val="x-none"/>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Unicode MS"/>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customStyle="1">
    <w:name w:val="Índice (user)"/>
    <w:basedOn w:val="Normal"/>
    <w:qFormat/>
    <w:pPr>
      <w:suppressLineNumbers/>
    </w:pPr>
    <w:rPr>
      <w:rFonts w:cs="Mangal"/>
    </w:rPr>
  </w:style>
  <w:style w:type="paragraph" w:styleId="Title">
    <w:name w:val="Title"/>
    <w:basedOn w:val="Ttulo21"/>
    <w:next w:val="BodyText"/>
    <w:qFormat/>
    <w:pPr/>
    <w:rPr/>
  </w:style>
  <w:style w:type="paragraph" w:styleId="caption1">
    <w:name w:val="caption1"/>
    <w:basedOn w:val="Normal"/>
    <w:qFormat/>
    <w:pPr>
      <w:suppressLineNumbers/>
      <w:spacing w:before="120" w:after="120"/>
    </w:pPr>
    <w:rPr>
      <w:rFonts w:cs="Mangal"/>
      <w:i/>
      <w:iCs/>
      <w:sz w:val="24"/>
      <w:szCs w:val="24"/>
    </w:rPr>
  </w:style>
  <w:style w:type="paragraph" w:styleId="Ttulo21" w:customStyle="1">
    <w:name w:val="Título21"/>
    <w:basedOn w:val="Ttulo20"/>
    <w:next w:val="BodyText"/>
    <w:qFormat/>
    <w:pPr/>
    <w:rPr>
      <w:sz w:val="56"/>
      <w:szCs w:val="56"/>
    </w:rPr>
  </w:style>
  <w:style w:type="paragraph" w:styleId="Ttulo20" w:customStyle="1">
    <w:name w:val="Título20"/>
    <w:basedOn w:val="Normal"/>
    <w:next w:val="Subtitle"/>
    <w:qFormat/>
    <w:pPr>
      <w:jc w:val="center"/>
      <w:textAlignment w:val="baseline"/>
    </w:pPr>
    <w:rPr>
      <w:b/>
      <w:bCs/>
      <w:sz w:val="28"/>
      <w:szCs w:val="28"/>
      <w:lang w:val="x-none"/>
    </w:rPr>
  </w:style>
  <w:style w:type="paragraph" w:styleId="Ttulo19" w:customStyle="1">
    <w:name w:val="Título19"/>
    <w:basedOn w:val="Normal"/>
    <w:next w:val="BodyText"/>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BodyText"/>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BodyText"/>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BodyText"/>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BodyText"/>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BodyText"/>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BodyText"/>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BodyText"/>
    <w:qFormat/>
    <w:pPr>
      <w:keepNext w:val="true"/>
      <w:spacing w:before="240" w:after="120"/>
    </w:pPr>
    <w:rPr>
      <w:rFonts w:ascii="Arial" w:hAnsi="Arial" w:eastAsia="Microsoft YaHei" w:cs="Mangal"/>
      <w:sz w:val="28"/>
      <w:szCs w:val="28"/>
    </w:rPr>
  </w:style>
  <w:style w:type="paragraph" w:styleId="Ttulo11" w:customStyle="1">
    <w:name w:val="Título11"/>
    <w:basedOn w:val="Normal"/>
    <w:next w:val="BodyText"/>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BodyText"/>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 w:customStyle="1">
    <w:name w:val="Título9"/>
    <w:basedOn w:val="Normal"/>
    <w:next w:val="BodyText"/>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 w:customStyle="1">
    <w:name w:val="Título8"/>
    <w:basedOn w:val="Normal"/>
    <w:next w:val="BodyText"/>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 w:customStyle="1">
    <w:name w:val="Título7"/>
    <w:basedOn w:val="Normal"/>
    <w:next w:val="BodyText"/>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 w:customStyle="1">
    <w:name w:val="Título6"/>
    <w:basedOn w:val="Normal"/>
    <w:next w:val="BodyText"/>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 w:customStyle="1">
    <w:name w:val="Título5"/>
    <w:basedOn w:val="Normal"/>
    <w:next w:val="BodyText"/>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 w:customStyle="1">
    <w:name w:val="Título4"/>
    <w:basedOn w:val="Normal"/>
    <w:next w:val="BodyText"/>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 w:customStyle="1">
    <w:name w:val="Título3"/>
    <w:basedOn w:val="Normal"/>
    <w:next w:val="BodyText"/>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customStyle="1">
    <w:name w:val="Cabeçalho e Rodapé"/>
    <w:basedOn w:val="Normal"/>
    <w:qFormat/>
    <w:pPr/>
    <w:rPr/>
  </w:style>
  <w:style w:type="paragraph" w:styleId="Cabealhoerodap1">
    <w:name w:val="Cabeçalho e rodapé1"/>
    <w:basedOn w:val="Normal"/>
    <w:qFormat/>
    <w:pPr/>
    <w:rPr/>
  </w:style>
  <w:style w:type="paragraph" w:styleId="Header">
    <w:name w:val="header"/>
    <w:basedOn w:val="Normal"/>
    <w:pPr>
      <w:tabs>
        <w:tab w:val="clear" w:pos="709"/>
        <w:tab w:val="center" w:pos="4419" w:leader="none"/>
        <w:tab w:val="right" w:pos="8838" w:leader="none"/>
      </w:tabs>
    </w:pPr>
    <w:rPr/>
  </w:style>
  <w:style w:type="paragraph" w:styleId="Footer">
    <w:name w:val="footer"/>
    <w:basedOn w:val="Normal"/>
    <w:pPr>
      <w:tabs>
        <w:tab w:val="clear" w:pos="709"/>
        <w:tab w:val="center" w:pos="4419" w:leader="none"/>
        <w:tab w:val="right" w:pos="8838" w:leader="none"/>
      </w:tabs>
    </w:pPr>
    <w:rPr/>
  </w:style>
  <w:style w:type="paragraph" w:styleId="BodyTextIndent">
    <w:name w:val="Body Text Indent"/>
    <w:basedOn w:val="Normal"/>
    <w:pPr>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hanging="284" w:left="993"/>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hanging="284" w:left="284"/>
      <w:jc w:val="both"/>
    </w:pPr>
    <w:rPr>
      <w:rFonts w:ascii="Arial" w:hAnsi="Arial" w:cs="Arial"/>
      <w:color w:val="000000"/>
    </w:rPr>
  </w:style>
  <w:style w:type="paragraph" w:styleId="Subtitle">
    <w:name w:val="Subtitle"/>
    <w:basedOn w:val="Normal"/>
    <w:next w:val="BodyText"/>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hanging="284" w:left="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hanging="284" w:left="993"/>
      <w:jc w:val="both"/>
    </w:pPr>
    <w:rPr>
      <w:rFonts w:ascii="Arial" w:hAnsi="Arial" w:cs="Arial"/>
      <w:color w:val="000000"/>
    </w:rPr>
  </w:style>
  <w:style w:type="paragraph" w:styleId="Ttulo1" w:customStyle="1">
    <w:name w:val="Título1"/>
    <w:basedOn w:val="Normal"/>
    <w:next w:val="BodyText"/>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hanging="0" w:left="72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tabs>
        <w:tab w:val="clear" w:pos="709"/>
        <w:tab w:val="left" w:pos="851" w:leader="none"/>
      </w:tabs>
      <w:spacing w:lineRule="auto" w:line="264" w:before="0" w:after="180"/>
      <w:ind w:hanging="851" w:left="851"/>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hanging="851" w:left="851"/>
      <w:jc w:val="both"/>
    </w:pPr>
    <w:rPr>
      <w:b/>
      <w:bCs/>
      <w:sz w:val="24"/>
      <w:szCs w:val="24"/>
    </w:rPr>
  </w:style>
  <w:style w:type="paragraph" w:styleId="Recuodecorpodetexto23" w:customStyle="1">
    <w:name w:val="Recuo de corpo de texto 23"/>
    <w:basedOn w:val="Normal"/>
    <w:qFormat/>
    <w:pPr>
      <w:spacing w:before="120" w:after="0"/>
      <w:ind w:hanging="284" w:left="993"/>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 w:customStyle="1">
    <w:name w:val="Título2"/>
    <w:basedOn w:val="Normal"/>
    <w:next w:val="BodyText"/>
    <w:qFormat/>
    <w:pPr>
      <w:keepNext w:val="true"/>
      <w:spacing w:before="240" w:after="120"/>
    </w:pPr>
    <w:rPr>
      <w:rFonts w:ascii="Arial" w:hAnsi="Arial" w:eastAsia="Lucida Sans Unicode" w:cs="Tahoma"/>
      <w:sz w:val="28"/>
      <w:szCs w:val="28"/>
    </w:rPr>
  </w:style>
  <w:style w:type="paragraph" w:styleId="Contedodatabelauser" w:customStyle="1">
    <w:name w:val="Conteúdo da tabela (user)"/>
    <w:basedOn w:val="Normal"/>
    <w:qFormat/>
    <w:pPr>
      <w:suppressLineNumbers/>
    </w:pPr>
    <w:rPr/>
  </w:style>
  <w:style w:type="paragraph" w:styleId="Ttulodatabela" w:customStyle="1">
    <w:name w:val="Título da tabela"/>
    <w:basedOn w:val="Contedodatabelauser"/>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BodyText"/>
    <w:qFormat/>
    <w:pPr/>
    <w:rPr/>
  </w:style>
  <w:style w:type="paragraph" w:styleId="Ttulodetabelauser" w:customStyle="1">
    <w:name w:val="Título de tabela (user)"/>
    <w:basedOn w:val="Contedodatabelauser"/>
    <w:qFormat/>
    <w:pPr>
      <w:jc w:val="center"/>
    </w:pPr>
    <w:rPr>
      <w:b/>
      <w:bCs/>
    </w:rPr>
  </w:style>
  <w:style w:type="paragraph" w:styleId="Contedodoquadrouser" w:customStyle="1">
    <w:name w:val="Conteúdo do quadro (user)"/>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hanging="0" w:left="283"/>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val="pt-BR" w:eastAsia="zh-CN" w:bidi="ar-SA"/>
    </w:rPr>
  </w:style>
  <w:style w:type="paragraph" w:styleId="Citaes" w:customStyle="1">
    <w:name w:val="Citações"/>
    <w:basedOn w:val="Normal"/>
    <w:qFormat/>
    <w:pPr>
      <w:spacing w:before="0" w:after="283"/>
      <w:ind w:hanging="0" w:left="567" w:right="567"/>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CommentText">
    <w:name w:val="annotation text"/>
    <w:basedOn w:val="Normal"/>
    <w:link w:val="TextodecomentrioChar"/>
    <w:unhideWhenUsed/>
    <w:qFormat/>
    <w:rsid w:val="00b01366"/>
    <w:pPr/>
    <w:rPr/>
  </w:style>
  <w:style w:type="paragraph" w:styleId="annotationsubject">
    <w:name w:val="annotation subject"/>
    <w:basedOn w:val="CommentText"/>
    <w:next w:val="CommentText"/>
    <w:link w:val="AssuntodocomentrioChar"/>
    <w:uiPriority w:val="99"/>
    <w:semiHidden/>
    <w:unhideWhenUsed/>
    <w:qFormat/>
    <w:rsid w:val="00b01366"/>
    <w:pPr/>
    <w:rPr>
      <w:b/>
      <w:bCs/>
    </w:rPr>
  </w:style>
  <w:style w:type="paragraph" w:styleId="Nivel01" w:customStyle="1">
    <w:name w:val="Nivel 01"/>
    <w:basedOn w:val="Heading1"/>
    <w:next w:val="Normal"/>
    <w:link w:val="Nivel01Char"/>
    <w:qFormat/>
    <w:rsid w:val="00ed126a"/>
    <w:pPr>
      <w:keepLines/>
      <w:tabs>
        <w:tab w:val="left" w:pos="0" w:leader="none"/>
        <w:tab w:val="left" w:pos="567" w:leader="none"/>
      </w:tabs>
      <w:suppressAutoHyphens w:val="false"/>
      <w:spacing w:before="240" w:after="0"/>
      <w:ind w:hanging="360" w:left="360"/>
      <w:jc w:val="both"/>
    </w:pPr>
    <w:rPr>
      <w:rFonts w:eastAsia="MS Gothic"/>
      <w:kern w:val="0"/>
      <w:sz w:val="20"/>
      <w:szCs w:val="20"/>
      <w:lang w:val="pt-BR" w:eastAsia="pt-BR"/>
    </w:rPr>
  </w:style>
  <w:style w:type="paragraph" w:styleId="Nivel2" w:customStyle="1">
    <w:name w:val="Nivel 2"/>
    <w:basedOn w:val="Normal"/>
    <w:link w:val="Nivel2Char"/>
    <w:qFormat/>
    <w:rsid w:val="00ed126a"/>
    <w:pPr>
      <w:tabs>
        <w:tab w:val="clear" w:pos="709"/>
        <w:tab w:val="left" w:pos="0" w:leader="none"/>
      </w:tabs>
      <w:suppressAutoHyphens w:val="false"/>
      <w:spacing w:lineRule="auto" w:line="276" w:before="120" w:after="120"/>
      <w:ind w:hanging="432" w:left="4969"/>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tabs>
        <w:tab w:val="clear" w:pos="709"/>
        <w:tab w:val="left" w:pos="0" w:leader="none"/>
      </w:tabs>
      <w:suppressAutoHyphens w:val="false"/>
      <w:spacing w:lineRule="auto" w:line="276" w:before="120" w:after="120"/>
      <w:ind w:hanging="504" w:left="3198"/>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ind w:hanging="0" w:left="851"/>
    </w:pPr>
    <w:rPr>
      <w:color w:val="auto"/>
    </w:rPr>
  </w:style>
  <w:style w:type="paragraph" w:styleId="Nivel5" w:customStyle="1">
    <w:name w:val="Nivel 5"/>
    <w:basedOn w:val="Nivel4"/>
    <w:qFormat/>
    <w:rsid w:val="00ed126a"/>
    <w:pPr>
      <w:ind w:hanging="0" w:left="1276"/>
    </w:pPr>
    <w:rPr/>
  </w:style>
  <w:style w:type="paragraph" w:styleId="Pa5" w:customStyle="1">
    <w:name w:val="Pa5"/>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4" w:customStyle="1">
    <w:name w:val="Pa4"/>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6" w:customStyle="1">
    <w:name w:val="Pa6"/>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TableParagraph" w:customStyle="1">
    <w:name w:val="Table Paragraph"/>
    <w:basedOn w:val="Normal"/>
    <w:uiPriority w:val="1"/>
    <w:qFormat/>
    <w:rsid w:val="00a32f70"/>
    <w:pPr>
      <w:widowControl w:val="false"/>
      <w:suppressAutoHyphens w:val="false"/>
    </w:pPr>
    <w:rPr>
      <w:rFonts w:ascii="Arial MT" w:hAnsi="Arial MT" w:eastAsia="Arial MT" w:cs="Arial MT"/>
      <w:kern w:val="0"/>
      <w:sz w:val="22"/>
      <w:szCs w:val="22"/>
      <w:lang w:val="pt-PT" w:eastAsia="en-US"/>
    </w:rPr>
  </w:style>
  <w:style w:type="paragraph" w:styleId="Contedodoquadro">
    <w:name w:val="Conteúdo do quadro"/>
    <w:basedOn w:val="Normal"/>
    <w:qFormat/>
    <w:pPr/>
    <w:rPr/>
  </w:style>
  <w:style w:type="numbering" w:styleId="Semlista" w:default="1">
    <w:name w:val="Sem lista"/>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mailto:notafiscal@piracicaba.sp.gov.br" TargetMode="External"/><Relationship Id="rId7" Type="http://schemas.openxmlformats.org/officeDocument/2006/relationships/hyperlink" Target="https://bnccompras.com/"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Relationship Id="rId18" Type="http://schemas.openxmlformats.org/officeDocument/2006/relationships/customXml" Target="../customXml/item1.xml"/><Relationship Id="rId19" Type="http://schemas.openxmlformats.org/officeDocument/2006/relationships/customXml" Target="../customXml/item2.xml"/><Relationship Id="rId20" Type="http://schemas.openxmlformats.org/officeDocument/2006/relationships/customXml" Target="../customXml/item3.xml"/><Relationship Id="rId21"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word/_rels/footer3.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79235B4D-0EA0-455B-979B-80C4BEDCC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Application>LibreOffice/24.8.6.2$Windows_X86_64 LibreOffice_project/6d98ba145e9a8a39fc57bcc76981d1fb1316c60c</Application>
  <AppVersion>15.0000</AppVersion>
  <Pages>12</Pages>
  <Words>5138</Words>
  <Characters>29680</Characters>
  <CharactersWithSpaces>34560</CharactersWithSpaces>
  <Paragraphs>283</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2024-04-24T16:52:00Z</dcterms:created>
  <dc:creator>Thiago Luiz Araujo Santos</dc:creator>
  <dc:description/>
  <dc:language>pt-BR</dc:language>
  <cp:lastModifiedBy/>
  <cp:lastPrinted>2023-08-30T16:56:00Z</cp:lastPrinted>
  <dcterms:modified xsi:type="dcterms:W3CDTF">2025-05-08T14:03:45Z</dcterms:modified>
  <cp:revision>44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