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sz w:val="20"/>
          <w:szCs w:val="20"/>
          <w:lang w:val="pt-BR"/>
        </w:rPr>
      </w:pPr>
      <w:r>
        <w:rPr>
          <w:b/>
          <w:sz w:val="20"/>
          <w:szCs w:val="20"/>
        </w:rPr>
        <w:t xml:space="preserve">EDITAL DE PREGÃO ELETRÔNICO </w:t>
      </w:r>
      <w:r>
        <w:rPr>
          <w:b/>
          <w:sz w:val="20"/>
          <w:szCs w:val="20"/>
          <w:lang w:val="pt-BR"/>
        </w:rPr>
        <w:t>nº 160/2025</w:t>
      </w:r>
      <w:r>
        <w:rPr>
          <w:b/>
          <w:sz w:val="20"/>
          <w:szCs w:val="20"/>
        </w:rPr>
        <w:t xml:space="preserve"> </w:t>
      </w:r>
    </w:p>
    <w:p>
      <w:pPr>
        <w:pStyle w:val="BodyTextIndent"/>
        <w:widowControl w:val="false"/>
        <w:overflowPunct w:val="true"/>
        <w:spacing w:lineRule="auto" w:line="240"/>
        <w:rPr>
          <w:b/>
          <w:sz w:val="20"/>
          <w:szCs w:val="20"/>
          <w:lang w:val="pt-BR"/>
        </w:rPr>
      </w:pPr>
      <w:r>
        <w:rPr>
          <w:b/>
          <w:sz w:val="20"/>
          <w:szCs w:val="20"/>
          <w:lang w:val="pt-BR"/>
        </w:rPr>
      </w:r>
    </w:p>
    <w:p>
      <w:pPr>
        <w:pStyle w:val="BodyTextIndent"/>
        <w:widowControl w:val="false"/>
        <w:overflowPunct w:val="true"/>
        <w:spacing w:lineRule="auto" w:line="240"/>
        <w:jc w:val="center"/>
        <w:rPr>
          <w:b/>
          <w:sz w:val="20"/>
          <w:szCs w:val="20"/>
          <w:lang w:val="pt-BR"/>
        </w:rPr>
      </w:pPr>
      <w:r>
        <w:rPr>
          <w:b/>
          <w:sz w:val="20"/>
          <w:szCs w:val="20"/>
          <w:lang w:val="pt-BR"/>
        </w:rPr>
        <w:t>TERMO DE REFERÊNCIA</w:t>
      </w:r>
    </w:p>
    <w:p>
      <w:pPr>
        <w:pStyle w:val="BodyTextIndent"/>
        <w:widowControl w:val="false"/>
        <w:overflowPunct w:val="true"/>
        <w:spacing w:lineRule="auto" w:line="240"/>
        <w:rPr>
          <w:b/>
          <w:sz w:val="20"/>
          <w:szCs w:val="20"/>
          <w:lang w:val="pt-BR"/>
        </w:rPr>
      </w:pPr>
      <w:r>
        <w:rPr>
          <w:b/>
          <w:sz w:val="20"/>
          <w:szCs w:val="20"/>
          <w:lang w:val="pt-BR"/>
        </w:rPr>
      </w:r>
    </w:p>
    <w:p>
      <w:pPr>
        <w:pStyle w:val="BodyTextIndent"/>
        <w:widowControl w:val="false"/>
        <w:shd w:val="clear" w:color="auto" w:fill="DDDDDD"/>
        <w:overflowPunct w:val="true"/>
        <w:spacing w:lineRule="auto" w:line="240"/>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4"/>
        </w:numPr>
        <w:tabs>
          <w:tab w:val="clear" w:pos="709"/>
          <w:tab w:val="left" w:pos="284" w:leader="none"/>
        </w:tabs>
        <w:overflowPunct w:val="tru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96.268/2025</w:t>
      </w:r>
    </w:p>
    <w:p>
      <w:pPr>
        <w:pStyle w:val="BodyTextIndent"/>
        <w:widowControl w:val="false"/>
        <w:numPr>
          <w:ilvl w:val="0"/>
          <w:numId w:val="4"/>
        </w:numPr>
        <w:tabs>
          <w:tab w:val="clear" w:pos="709"/>
          <w:tab w:val="left" w:pos="284" w:leader="none"/>
        </w:tabs>
        <w:overflowPunct w:val="tru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05/08/2025 - 08 </w:t>
      </w:r>
      <w:r>
        <w:rPr>
          <w:b/>
          <w:sz w:val="20"/>
          <w:szCs w:val="20"/>
        </w:rPr>
        <w:t>horas</w:t>
      </w:r>
      <w:r>
        <w:rPr>
          <w:b/>
          <w:sz w:val="20"/>
          <w:szCs w:val="20"/>
          <w:lang w:val="pt-BR"/>
        </w:rPr>
        <w:t>;</w:t>
      </w:r>
    </w:p>
    <w:p>
      <w:pPr>
        <w:pStyle w:val="BodyTextIndent"/>
        <w:widowControl w:val="false"/>
        <w:numPr>
          <w:ilvl w:val="0"/>
          <w:numId w:val="4"/>
        </w:numPr>
        <w:tabs>
          <w:tab w:val="clear" w:pos="709"/>
          <w:tab w:val="left" w:pos="284" w:leader="none"/>
        </w:tabs>
        <w:overflowPunct w:val="tru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05/08/2025</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4"/>
        </w:numPr>
        <w:tabs>
          <w:tab w:val="clear" w:pos="709"/>
          <w:tab w:val="left" w:pos="284" w:leader="none"/>
        </w:tabs>
        <w:overflowPunct w:val="true"/>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true"/>
        <w:spacing w:lineRule="auto" w:line="240"/>
        <w:ind w:firstLine="561"/>
        <w:jc w:val="left"/>
        <w:rPr>
          <w:b/>
          <w:bCs/>
          <w:sz w:val="20"/>
          <w:szCs w:val="20"/>
        </w:rPr>
      </w:pPr>
      <w:r>
        <w:rPr>
          <w:b/>
          <w:bCs/>
          <w:sz w:val="20"/>
          <w:szCs w:val="20"/>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43"/>
        </w:numPr>
        <w:tabs>
          <w:tab w:val="clear" w:pos="709"/>
          <w:tab w:val="left" w:pos="284" w:leader="none"/>
        </w:tabs>
        <w:jc w:val="both"/>
        <w:rPr>
          <w:rFonts w:ascii="Arial" w:hAnsi="Arial" w:cs="Arial"/>
        </w:rPr>
      </w:pPr>
      <w:r>
        <w:rPr>
          <w:rFonts w:cs="Arial" w:ascii="Arial" w:hAnsi="Arial"/>
        </w:rPr>
        <w:t>Objeto:</w:t>
      </w:r>
      <w:r>
        <w:rPr>
          <w:rFonts w:cs="Arial" w:ascii="Arial" w:hAnsi="Arial"/>
          <w:b/>
        </w:rPr>
        <w:t xml:space="preserve"> Prestação de Serviços de Interprete da Língua Espanhola </w:t>
      </w:r>
    </w:p>
    <w:p>
      <w:pPr>
        <w:pStyle w:val="Normal"/>
        <w:numPr>
          <w:ilvl w:val="0"/>
          <w:numId w:val="44"/>
        </w:numPr>
        <w:tabs>
          <w:tab w:val="clear" w:pos="709"/>
          <w:tab w:val="left" w:pos="284" w:leader="none"/>
        </w:tabs>
        <w:jc w:val="both"/>
        <w:rPr>
          <w:rFonts w:ascii="Arial" w:hAnsi="Arial" w:cs="Arial"/>
        </w:rPr>
      </w:pPr>
      <w:r>
        <w:rPr>
          <w:rFonts w:cs="Arial" w:ascii="Arial" w:hAnsi="Arial"/>
        </w:rPr>
        <w:t>Unidade Requisitante: Secretaria Municipal de Cultura</w:t>
      </w:r>
    </w:p>
    <w:p>
      <w:pPr>
        <w:pStyle w:val="Normal"/>
        <w:numPr>
          <w:ilvl w:val="0"/>
          <w:numId w:val="45"/>
        </w:numPr>
        <w:tabs>
          <w:tab w:val="clear" w:pos="709"/>
          <w:tab w:val="left" w:pos="284" w:leader="none"/>
        </w:tabs>
        <w:jc w:val="both"/>
        <w:rPr>
          <w:rFonts w:ascii="Arial" w:hAnsi="Arial" w:cs="Arial"/>
        </w:rPr>
      </w:pPr>
      <w:r>
        <w:rPr>
          <w:rFonts w:cs="Arial" w:ascii="Arial" w:hAnsi="Arial"/>
        </w:rPr>
        <w:t>Fonte de recursos: 1   12011  13392002121170000  0101011000 339039</w:t>
      </w:r>
    </w:p>
    <w:p>
      <w:pPr>
        <w:pStyle w:val="Normal"/>
        <w:numPr>
          <w:ilvl w:val="0"/>
          <w:numId w:val="46"/>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 xml:space="preserve">R$ 9.383,33 </w:t>
      </w:r>
      <w:r>
        <w:rPr>
          <w:rFonts w:cs="Arial" w:ascii="Arial" w:hAnsi="Arial"/>
        </w:rPr>
        <w:t xml:space="preserve">(Nove mil, trezentos e oitenta e três Reais e trinta e três </w:t>
      </w:r>
      <w:r>
        <w:rPr>
          <w:rFonts w:cs="Arial" w:ascii="Arial" w:hAnsi="Arial"/>
          <w:color w:val="000000"/>
        </w:rPr>
        <w:t xml:space="preserve">centavos); </w:t>
      </w:r>
    </w:p>
    <w:p>
      <w:pPr>
        <w:pStyle w:val="Normal"/>
        <w:numPr>
          <w:ilvl w:val="0"/>
          <w:numId w:val="47"/>
        </w:numPr>
        <w:tabs>
          <w:tab w:val="clear" w:pos="709"/>
          <w:tab w:val="left" w:pos="284" w:leader="none"/>
        </w:tabs>
        <w:jc w:val="both"/>
        <w:rPr>
          <w:rFonts w:ascii="Arial" w:hAnsi="Arial" w:cs="Arial"/>
          <w:color w:themeColor="accent1" w:val="4472C4"/>
        </w:rPr>
      </w:pPr>
      <w:r>
        <w:rPr>
          <w:rFonts w:cs="Arial" w:ascii="Arial" w:hAnsi="Arial"/>
        </w:rPr>
        <w:t>Prazo de vigência do contrato: Até o término dos serviços, com início previsto para o dia 22 de agosto e término no dia 31 de agosto de 2025.</w:t>
      </w:r>
    </w:p>
    <w:p>
      <w:pPr>
        <w:pStyle w:val="Normal"/>
        <w:ind w:firstLine="561"/>
        <w:rPr>
          <w:rFonts w:ascii="Arial" w:hAnsi="Arial" w:cs="Arial"/>
        </w:rPr>
      </w:pPr>
      <w:r>
        <w:rPr>
          <w:rFonts w:cs="Arial" w:ascii="Arial" w:hAnsi="Arial"/>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5"/>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5"/>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5"/>
        </w:numPr>
        <w:tabs>
          <w:tab w:val="clear" w:pos="709"/>
          <w:tab w:val="left" w:pos="284" w:leader="none"/>
        </w:tabs>
        <w:jc w:val="both"/>
        <w:rPr>
          <w:rFonts w:ascii="Arial" w:hAnsi="Arial" w:cs="Arial"/>
          <w:b/>
        </w:rPr>
      </w:pPr>
      <w:r>
        <w:rPr>
          <w:rFonts w:cs="Arial" w:ascii="Arial" w:hAnsi="Arial"/>
          <w:b/>
          <w:bCs/>
        </w:rPr>
        <w:t>A participação nesta licitação é exclusiva de Microempresas e Empresas de Pequeno Porte.</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48"/>
        </w:numPr>
        <w:tabs>
          <w:tab w:val="clear" w:pos="709"/>
          <w:tab w:val="left" w:pos="284" w:leader="none"/>
        </w:tabs>
        <w:jc w:val="both"/>
        <w:rPr>
          <w:rFonts w:ascii="Arial" w:hAnsi="Arial" w:cs="Arial"/>
        </w:rPr>
      </w:pPr>
      <w:r>
        <w:rPr>
          <w:rFonts w:cs="Arial" w:ascii="Arial" w:hAnsi="Arial"/>
        </w:rPr>
        <w:t xml:space="preserve">Prazo de validade: </w:t>
      </w:r>
      <w:r>
        <w:rPr>
          <w:rFonts w:cs="Arial" w:ascii="Arial" w:hAnsi="Arial"/>
          <w:b/>
        </w:rPr>
        <w:t>90 (noventa) dias</w:t>
      </w:r>
      <w:r>
        <w:rPr>
          <w:rFonts w:cs="Arial" w:ascii="Arial" w:hAnsi="Arial"/>
        </w:rPr>
        <w:t>;</w:t>
      </w:r>
    </w:p>
    <w:p>
      <w:pPr>
        <w:pStyle w:val="Normal"/>
        <w:numPr>
          <w:ilvl w:val="0"/>
          <w:numId w:val="49"/>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50"/>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expresso em moeda corrente nacional </w:t>
      </w:r>
    </w:p>
    <w:p>
      <w:pPr>
        <w:pStyle w:val="Normal"/>
        <w:numPr>
          <w:ilvl w:val="0"/>
          <w:numId w:val="51"/>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sz w:val="5"/>
          <w:szCs w:val="5"/>
        </w:rPr>
      </w:pPr>
      <w:r>
        <w:rPr>
          <w:rFonts w:eastAsia="Arial" w:cs="Arial" w:ascii="Arial" w:hAnsi="Arial"/>
          <w:sz w:val="5"/>
          <w:szCs w:val="5"/>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965"/>
        <w:gridCol w:w="735"/>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Item</w:t>
            </w:r>
          </w:p>
        </w:tc>
        <w:tc>
          <w:tcPr>
            <w:tcW w:w="965"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Quant.</w:t>
            </w:r>
          </w:p>
        </w:tc>
        <w:tc>
          <w:tcPr>
            <w:tcW w:w="735"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center"/>
              <w:rPr>
                <w:rFonts w:ascii="Arial" w:hAnsi="Arial" w:cs="Arial"/>
                <w:kern w:val="2"/>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1</w:t>
            </w:r>
          </w:p>
        </w:tc>
        <w:tc>
          <w:tcPr>
            <w:tcW w:w="965"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rPr>
              <w:t>10</w:t>
            </w:r>
          </w:p>
        </w:tc>
        <w:tc>
          <w:tcPr>
            <w:tcW w:w="735"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rPr>
              <w:t>Dias</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cs="Arial" w:ascii="Arial" w:hAnsi="Arial"/>
              </w:rPr>
              <w:t>Prestação de serviços de intérprete da língua espanhola</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52"/>
        </w:numPr>
        <w:tabs>
          <w:tab w:val="clear" w:pos="709"/>
          <w:tab w:val="left" w:pos="284" w:leader="none"/>
        </w:tabs>
        <w:jc w:val="both"/>
        <w:rPr>
          <w:rFonts w:ascii="Arial" w:hAnsi="Arial" w:eastAsia="Arial" w:cs="Arial"/>
        </w:rPr>
      </w:pPr>
      <w:r>
        <w:rPr>
          <w:rFonts w:cs="Arial" w:ascii="Arial" w:hAnsi="Arial"/>
        </w:rPr>
        <w:t>Descritivo técnico:</w:t>
      </w:r>
    </w:p>
    <w:p>
      <w:pPr>
        <w:pStyle w:val="Normal"/>
        <w:tabs>
          <w:tab w:val="clear" w:pos="709"/>
          <w:tab w:val="left" w:pos="284" w:leader="none"/>
        </w:tabs>
        <w:jc w:val="both"/>
        <w:rPr>
          <w:rFonts w:ascii="Arial" w:hAnsi="Arial" w:eastAsia="Arial" w:cs="Arial"/>
          <w:b/>
        </w:rPr>
      </w:pPr>
      <w:r>
        <w:rPr>
          <w:rFonts w:eastAsia="Arial" w:cs="Arial" w:ascii="Arial" w:hAnsi="Arial"/>
          <w:b/>
        </w:rPr>
        <w:t>Item 01:</w:t>
      </w:r>
    </w:p>
    <w:p>
      <w:pPr>
        <w:pStyle w:val="Normal"/>
        <w:tabs>
          <w:tab w:val="clear" w:pos="709"/>
          <w:tab w:val="left" w:pos="284" w:leader="none"/>
        </w:tabs>
        <w:jc w:val="both"/>
        <w:rPr>
          <w:rFonts w:ascii="Arial" w:hAnsi="Arial" w:eastAsia="Arial" w:cs="Arial"/>
        </w:rPr>
      </w:pPr>
      <w:r>
        <w:rPr>
          <w:rFonts w:eastAsia="Arial" w:cs="Arial" w:ascii="Arial" w:hAnsi="Arial"/>
        </w:rPr>
        <w:t xml:space="preserve">Serviço de tradução e intérprete da língua espanhola e acompanhamento de 2 (dois) jurados de premiação estrangeiros e 1 (um) brasileiro do 52º Salão Internacional de Humor de Piracicaba durante a permanência dos mesmos no Brasil (10 dias), conforme roteiro a ser especificado pela contratante no período de 22/08/2025 a 31/08/2025. </w:t>
      </w:r>
    </w:p>
    <w:p>
      <w:pPr>
        <w:pStyle w:val="Normal"/>
        <w:jc w:val="both"/>
        <w:rPr>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5. DA SUBCONTRATAÇÃO:</w:t>
      </w:r>
    </w:p>
    <w:p>
      <w:pPr>
        <w:pStyle w:val="Normal"/>
        <w:jc w:val="both"/>
        <w:rPr>
          <w:rFonts w:ascii="Arial" w:hAnsi="Arial" w:cs="Arial"/>
          <w:b/>
        </w:rPr>
      </w:pPr>
      <w:r>
        <w:rPr>
          <w:rFonts w:cs="Arial" w:ascii="Arial" w:hAnsi="Arial"/>
          <w:b/>
        </w:rPr>
        <w:t xml:space="preserve">a) </w:t>
      </w:r>
      <w:r>
        <w:rPr>
          <w:rFonts w:cs="Arial" w:ascii="Arial" w:hAnsi="Arial"/>
        </w:rPr>
        <w:t>Não é admitida a subcontratação do objeto contratual.</w:t>
      </w:r>
      <w:r>
        <w:rPr>
          <w:rFonts w:cs="Arial" w:ascii="Arial" w:hAnsi="Arial"/>
          <w:b/>
        </w:rPr>
        <w:t xml:space="preserve"> </w:t>
      </w:r>
    </w:p>
    <w:p>
      <w:pPr>
        <w:pStyle w:val="Normal"/>
        <w:jc w:val="both"/>
        <w:rPr>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6. DA EXECUÇÃO DOS SERVIÇOS</w:t>
      </w:r>
    </w:p>
    <w:p>
      <w:pPr>
        <w:pStyle w:val="Normal"/>
        <w:tabs>
          <w:tab w:val="clear" w:pos="709"/>
          <w:tab w:val="left" w:pos="284" w:leader="none"/>
        </w:tabs>
        <w:jc w:val="both"/>
        <w:rPr>
          <w:rFonts w:ascii="Arial" w:hAnsi="Arial" w:cs="Arial"/>
        </w:rPr>
      </w:pPr>
      <w:r>
        <w:rPr>
          <w:rFonts w:cs="Arial" w:ascii="Arial" w:hAnsi="Arial"/>
          <w:b/>
        </w:rPr>
        <w:t>a)</w:t>
      </w:r>
      <w:r>
        <w:rPr>
          <w:rFonts w:cs="Arial" w:ascii="Arial" w:hAnsi="Arial"/>
        </w:rPr>
        <w:t xml:space="preserve"> Prazo da execução dos serviços: Os serviços deverão ser executados pelo período contemplado de 22 a 31 de agosto de 2025, após emissão da Ordem de Serviço emitida pela Unidade Requisitante.</w:t>
      </w:r>
    </w:p>
    <w:p>
      <w:pPr>
        <w:pStyle w:val="Normal"/>
        <w:tabs>
          <w:tab w:val="clear" w:pos="709"/>
          <w:tab w:val="left" w:pos="284" w:leader="none"/>
        </w:tabs>
        <w:jc w:val="both"/>
        <w:rPr>
          <w:rFonts w:ascii="Arial" w:hAnsi="Arial" w:cs="Arial"/>
        </w:rPr>
      </w:pPr>
      <w:r>
        <w:rPr>
          <w:rFonts w:cs="Arial" w:ascii="Arial" w:hAnsi="Arial"/>
          <w:b/>
        </w:rPr>
        <w:t>b)</w:t>
      </w:r>
      <w:r>
        <w:rPr>
          <w:rFonts w:cs="Arial" w:ascii="Arial" w:hAnsi="Arial"/>
        </w:rPr>
        <w:t xml:space="preserve"> Local e horário para execução dos serviços: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b/>
        </w:rPr>
      </w:pPr>
      <w:r>
        <w:rPr>
          <w:rFonts w:cs="Arial" w:ascii="Arial" w:hAnsi="Arial"/>
          <w:b/>
        </w:rPr>
        <w:t>Av. Dr. Maurice Allain, n° 454, bairro: Vila Rezende – Parque Engenho Central</w:t>
      </w:r>
    </w:p>
    <w:p>
      <w:pPr>
        <w:pStyle w:val="Normal"/>
        <w:tabs>
          <w:tab w:val="clear" w:pos="709"/>
          <w:tab w:val="left" w:pos="284" w:leader="none"/>
        </w:tabs>
        <w:jc w:val="both"/>
        <w:rPr>
          <w:rFonts w:ascii="Arial" w:hAnsi="Arial" w:cs="Arial"/>
          <w:b/>
        </w:rPr>
      </w:pPr>
      <w:r>
        <w:rPr>
          <w:rFonts w:cs="Arial" w:ascii="Arial" w:hAnsi="Arial"/>
          <w:b/>
        </w:rPr>
        <w:t>Os horários dos serviços a serem prestados serão de acordo com o roteiro a ser especificado</w:t>
      </w:r>
    </w:p>
    <w:p>
      <w:pPr>
        <w:pStyle w:val="Normal"/>
        <w:tabs>
          <w:tab w:val="clear" w:pos="709"/>
          <w:tab w:val="left" w:pos="284" w:leader="none"/>
        </w:tabs>
        <w:jc w:val="both"/>
        <w:rPr>
          <w:rFonts w:ascii="Arial" w:hAnsi="Arial" w:cs="Arial"/>
          <w:b/>
        </w:rPr>
      </w:pPr>
      <w:r>
        <w:rPr>
          <w:rFonts w:cs="Arial" w:ascii="Arial" w:hAnsi="Arial"/>
          <w:b/>
        </w:rPr>
        <w:t>pelo Contratante para a Contratada</w:t>
      </w:r>
    </w:p>
    <w:p>
      <w:pPr>
        <w:pStyle w:val="Normal"/>
        <w:tabs>
          <w:tab w:val="clear" w:pos="709"/>
          <w:tab w:val="left" w:pos="284" w:leader="none"/>
        </w:tabs>
        <w:jc w:val="both"/>
        <w:rPr>
          <w:rFonts w:ascii="Arial" w:hAnsi="Arial" w:cs="Arial"/>
          <w:b/>
        </w:rPr>
      </w:pPr>
      <w:r>
        <w:rPr>
          <w:rFonts w:cs="Arial" w:ascii="Arial" w:hAnsi="Arial"/>
          <w:b/>
        </w:rPr>
      </w:r>
    </w:p>
    <w:p>
      <w:pPr>
        <w:pStyle w:val="ListParagraph"/>
        <w:numPr>
          <w:ilvl w:val="0"/>
          <w:numId w:val="5"/>
        </w:numPr>
        <w:tabs>
          <w:tab w:val="clear" w:pos="709"/>
          <w:tab w:val="left" w:pos="284" w:leader="none"/>
        </w:tabs>
        <w:jc w:val="both"/>
        <w:rPr>
          <w:rFonts w:ascii="Arial" w:hAnsi="Arial" w:cs="Arial"/>
          <w:sz w:val="20"/>
          <w:szCs w:val="20"/>
        </w:rPr>
      </w:pPr>
      <w:r>
        <w:rPr>
          <w:rFonts w:cs="Arial" w:ascii="Arial" w:hAnsi="Arial"/>
          <w:sz w:val="20"/>
          <w:szCs w:val="20"/>
        </w:rPr>
        <w:t>Diante da ausência não comunicada ou não justificada do intérprete no momento da prestação de serviços, a Contratada deverá providenciar a sua reposição em até 24 (vinte e quatro) horas para não haver a descontinuidade na cobertura do serviço.</w:t>
      </w:r>
    </w:p>
    <w:p>
      <w:pPr>
        <w:pStyle w:val="ListParagraph"/>
        <w:numPr>
          <w:ilvl w:val="0"/>
          <w:numId w:val="0"/>
        </w:numPr>
        <w:tabs>
          <w:tab w:val="clear" w:pos="709"/>
          <w:tab w:val="left" w:pos="284" w:leader="none"/>
        </w:tabs>
        <w:ind w:hanging="0" w:left="0"/>
        <w:jc w:val="both"/>
        <w:rPr>
          <w:rFonts w:ascii="Arial" w:hAnsi="Arial" w:cs="Arial"/>
          <w:sz w:val="20"/>
          <w:szCs w:val="20"/>
        </w:rPr>
      </w:pPr>
      <w:r>
        <w:rPr>
          <w:rFonts w:cs="Arial" w:ascii="Arial" w:hAnsi="Arial"/>
          <w:sz w:val="20"/>
          <w:szCs w:val="20"/>
        </w:rPr>
      </w:r>
    </w:p>
    <w:p>
      <w:pPr>
        <w:pStyle w:val="Normal"/>
        <w:numPr>
          <w:ilvl w:val="0"/>
          <w:numId w:val="5"/>
        </w:numPr>
        <w:tabs>
          <w:tab w:val="clear" w:pos="709"/>
          <w:tab w:val="left" w:pos="284" w:leader="none"/>
        </w:tabs>
        <w:jc w:val="both"/>
        <w:rPr>
          <w:rFonts w:ascii="Arial" w:hAnsi="Arial" w:cs="Arial"/>
        </w:rPr>
      </w:pPr>
      <w:r>
        <w:rPr>
          <w:rFonts w:cs="Arial" w:ascii="Arial" w:hAnsi="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3">
        <w:r>
          <w:rPr>
            <w:rStyle w:val="Hyperlink"/>
            <w:rFonts w:cs="Arial" w:ascii="Arial" w:hAnsi="Arial"/>
          </w:rPr>
          <w:t>https://piracicaba.sp.gov.br/wp-content/uploads/2024/07/Tutorial-Memorial-de-Segurantha-no-Sem-Papel.pdf</w:t>
        </w:r>
      </w:hyperlink>
      <w:r>
        <w:rPr>
          <w:rFonts w:cs="Arial" w:ascii="Arial" w:hAnsi="Arial"/>
        </w:rPr>
        <w:t>, para assegurar a plena execução do contrato.</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Style w:val="Fontepargpadro1"/>
          <w:rFonts w:cs="Arial" w:ascii="Arial" w:hAnsi="Arial"/>
          <w:b/>
        </w:rPr>
        <w:t>f)</w:t>
      </w:r>
      <w:r>
        <w:rPr>
          <w:rStyle w:val="Fontepargpadro1"/>
          <w:rFonts w:cs="Arial" w:ascii="Arial" w:hAnsi="Arial"/>
        </w:rPr>
        <w:t xml:space="preserve"> 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r>
        <w:rPr>
          <w:rFonts w:cs="Arial" w:ascii="Arial" w:hAnsi="Arial"/>
        </w:rPr>
        <w:t>.</w:t>
        <w:br/>
      </w:r>
    </w:p>
    <w:p>
      <w:pPr>
        <w:pStyle w:val="Normal"/>
        <w:shd w:val="clear" w:color="auto" w:fill="CCCCCC"/>
        <w:ind w:firstLine="561"/>
        <w:rPr>
          <w:rFonts w:ascii="Arial" w:hAnsi="Arial" w:cs="Arial"/>
        </w:rPr>
      </w:pPr>
      <w:r>
        <w:rPr>
          <w:rFonts w:cs="Arial" w:ascii="Arial" w:hAnsi="Arial"/>
          <w:b/>
          <w:bCs/>
        </w:rPr>
        <w:t>7. DA VISITA TÉCNICA</w:t>
      </w:r>
    </w:p>
    <w:p>
      <w:pPr>
        <w:pStyle w:val="Normal"/>
        <w:numPr>
          <w:ilvl w:val="0"/>
          <w:numId w:val="7"/>
        </w:numPr>
        <w:tabs>
          <w:tab w:val="clear" w:pos="709"/>
          <w:tab w:val="left" w:pos="284" w:leader="none"/>
        </w:tabs>
        <w:jc w:val="both"/>
        <w:rPr>
          <w:rFonts w:ascii="Arial" w:hAnsi="Arial" w:cs="Arial"/>
        </w:rPr>
      </w:pPr>
      <w:r>
        <w:rPr>
          <w:rFonts w:cs="Arial" w:ascii="Arial" w:hAnsi="Arial"/>
        </w:rPr>
        <w:t xml:space="preserve">As empresas interessadas poderão realizar visita técnica nos locais onde serão executados os serviços, de forma que tenham conhecimento pleno das condições técnicas para a sua efetiva realização. </w:t>
      </w:r>
    </w:p>
    <w:p>
      <w:pPr>
        <w:pStyle w:val="Normal"/>
        <w:numPr>
          <w:ilvl w:val="0"/>
          <w:numId w:val="7"/>
        </w:numPr>
        <w:tabs>
          <w:tab w:val="clear" w:pos="709"/>
          <w:tab w:val="left" w:pos="284" w:leader="none"/>
        </w:tabs>
        <w:jc w:val="both"/>
        <w:rPr>
          <w:rFonts w:ascii="Arial" w:hAnsi="Arial" w:cs="Arial"/>
        </w:rPr>
      </w:pPr>
      <w:r>
        <w:rPr>
          <w:rFonts w:cs="Arial" w:ascii="Arial" w:hAnsi="Arial"/>
        </w:rPr>
        <w:t xml:space="preserve">A visita técnica é facultativa e será realizada em horário de expediente, por representante devidamente credenciado pela empresa interessada, devendo ser agendada por meio do telefone (19) 3412-3773 ou e-mail </w:t>
      </w:r>
      <w:hyperlink r:id="rId4">
        <w:r>
          <w:rPr>
            <w:rStyle w:val="Hyperlink"/>
            <w:rFonts w:cs="Arial" w:ascii="Arial" w:hAnsi="Arial"/>
          </w:rPr>
          <w:t>semacnaa@gmail.com</w:t>
        </w:r>
      </w:hyperlink>
      <w:r>
        <w:rPr>
          <w:rFonts w:cs="Arial" w:ascii="Arial" w:hAnsi="Arial"/>
        </w:rPr>
        <w:t>,  com o(a) Sr.(a) José de Arimateia Silva Junior, de forma que tenham conhecimento pleno das condições técnicas para a sua efetiva realização.</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8. DO FORNECIMENTO DE INFORMAÇÕES:</w:t>
      </w:r>
    </w:p>
    <w:p>
      <w:pPr>
        <w:pStyle w:val="Normal"/>
        <w:numPr>
          <w:ilvl w:val="0"/>
          <w:numId w:val="9"/>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5">
        <w:r>
          <w:rPr>
            <w:rStyle w:val="Hyperlink"/>
            <w:rFonts w:cs="Arial" w:ascii="Arial" w:hAnsi="Arial"/>
          </w:rPr>
          <w:t>https://bnccompras.com</w:t>
        </w:r>
      </w:hyperlink>
      <w:r>
        <w:rPr>
          <w:rFonts w:cs="Arial" w:ascii="Arial" w:hAnsi="Arial"/>
        </w:rPr>
        <w:t xml:space="preserve"> </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8"/>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8"/>
        </w:numPr>
        <w:tabs>
          <w:tab w:val="clear" w:pos="709"/>
          <w:tab w:val="left" w:pos="284" w:leader="none"/>
          <w:tab w:val="left" w:pos="426" w:leader="none"/>
        </w:tabs>
        <w:jc w:val="both"/>
        <w:rPr/>
      </w:pPr>
      <w:r>
        <w:rPr>
          <w:rFonts w:cs="Arial" w:ascii="Arial" w:hAnsi="Arial"/>
          <w:color w:val="000000"/>
        </w:rPr>
        <w:t>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numPr>
          <w:ilvl w:val="1"/>
          <w:numId w:val="8"/>
        </w:numPr>
        <w:tabs>
          <w:tab w:val="clear" w:pos="709"/>
          <w:tab w:val="left" w:pos="284" w:leader="none"/>
          <w:tab w:val="left" w:pos="426" w:leader="none"/>
        </w:tabs>
        <w:jc w:val="both"/>
        <w:rPr/>
      </w:pPr>
      <w:r>
        <w:rPr>
          <w:rFonts w:cs="Arial" w:ascii="Arial" w:hAnsi="Arial"/>
          <w:color w:val="000000"/>
        </w:rPr>
        <w:t xml:space="preserve">Certidão de regularidade de débito para com o Fundo de Garantia por Tempo de Serviço (FGTS); </w:t>
      </w:r>
    </w:p>
    <w:p>
      <w:pPr>
        <w:pStyle w:val="Normal"/>
        <w:numPr>
          <w:ilvl w:val="1"/>
          <w:numId w:val="8"/>
        </w:numPr>
        <w:tabs>
          <w:tab w:val="clear" w:pos="709"/>
          <w:tab w:val="left" w:pos="284" w:leader="none"/>
          <w:tab w:val="left" w:pos="426" w:leader="none"/>
        </w:tabs>
        <w:jc w:val="both"/>
        <w:rPr/>
      </w:pPr>
      <w:r>
        <w:rPr>
          <w:rFonts w:cs="Arial" w:ascii="Arial" w:hAnsi="Arial"/>
          <w:color w:val="000000"/>
        </w:rPr>
        <w:t>Certidão Negativa de Débitos Trabalhistas ou Positiva de Débitos Trabalhistas com Efeito de Negativa.</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ListParagraph"/>
        <w:spacing w:lineRule="auto" w:line="240" w:before="0" w:after="0"/>
        <w:ind w:left="567"/>
        <w:jc w:val="both"/>
        <w:rPr>
          <w:rFonts w:ascii="Arial" w:hAnsi="Arial" w:cs="Arial"/>
        </w:rPr>
      </w:pPr>
      <w:r>
        <w:rPr>
          <w:rFonts w:cs="Arial" w:ascii="Arial" w:hAnsi="Arial"/>
        </w:rPr>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0"/>
        </w:numPr>
        <w:tabs>
          <w:tab w:val="clear" w:pos="709"/>
          <w:tab w:val="left" w:pos="284" w:leader="none"/>
          <w:tab w:val="left" w:pos="426" w:leader="none"/>
        </w:tabs>
        <w:ind w:hanging="0" w:left="0"/>
        <w:jc w:val="both"/>
        <w:rPr>
          <w:rFonts w:ascii="Arial" w:hAnsi="Arial" w:cs="Arial"/>
        </w:rPr>
      </w:pPr>
      <w:r>
        <w:rPr>
          <w:rFonts w:cs="Arial" w:ascii="Arial" w:hAnsi="Arial"/>
        </w:rPr>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10. ANEXOS:</w:t>
      </w:r>
    </w:p>
    <w:p>
      <w:pPr>
        <w:pStyle w:val="Normal"/>
        <w:numPr>
          <w:ilvl w:val="0"/>
          <w:numId w:val="53"/>
        </w:numPr>
        <w:tabs>
          <w:tab w:val="clear" w:pos="709"/>
          <w:tab w:val="left" w:pos="284" w:leader="none"/>
        </w:tabs>
        <w:jc w:val="both"/>
        <w:rPr>
          <w:rFonts w:ascii="Arial" w:hAnsi="Arial" w:cs="Arial"/>
        </w:rPr>
      </w:pPr>
      <w:r>
        <w:rPr>
          <w:rFonts w:cs="Arial" w:ascii="Arial" w:hAnsi="Arial"/>
        </w:rPr>
        <w:t>Faz(em) parte integrante e indissociável deste Termo de Referência, o(s) seguinte(s) anexo(s):</w:t>
      </w:r>
    </w:p>
    <w:p>
      <w:pPr>
        <w:pStyle w:val="Normal"/>
        <w:numPr>
          <w:ilvl w:val="1"/>
          <w:numId w:val="54"/>
        </w:numPr>
        <w:tabs>
          <w:tab w:val="clear" w:pos="709"/>
          <w:tab w:val="left" w:pos="284" w:leader="none"/>
        </w:tabs>
        <w:jc w:val="both"/>
        <w:rPr>
          <w:rFonts w:ascii="Arial" w:hAnsi="Arial" w:cs="Arial"/>
        </w:rPr>
      </w:pPr>
      <w:r>
        <w:rPr>
          <w:rFonts w:cs="Arial" w:ascii="Arial" w:hAnsi="Arial"/>
        </w:rPr>
        <w:t>Memorial de Segurança.</w:t>
      </w:r>
    </w:p>
    <w:p>
      <w:pPr>
        <w:pStyle w:val="Normal"/>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t>Piracicaba, 18 de julho de 2025.</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center"/>
        <w:rPr>
          <w:rFonts w:ascii="Arial" w:hAnsi="Arial"/>
        </w:rPr>
      </w:pPr>
      <w:r>
        <w:rPr>
          <w:rFonts w:cs="Arial" w:ascii="Arial" w:hAnsi="Arial"/>
          <w:b/>
        </w:rPr>
        <w:t>Larissa Palomo Monferdini</w:t>
      </w:r>
    </w:p>
    <w:p>
      <w:pPr>
        <w:pStyle w:val="Normal"/>
        <w:jc w:val="center"/>
        <w:rPr>
          <w:rFonts w:ascii="Arial" w:hAnsi="Arial"/>
        </w:rPr>
      </w:pPr>
      <w:r>
        <w:rPr>
          <w:rFonts w:ascii="Arial" w:hAnsi="Arial"/>
          <w:b/>
        </w:rPr>
        <w:t>Chefe de Setor</w:t>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r>
        <w:br w:type="page"/>
      </w:r>
    </w:p>
    <w:p>
      <w:pPr>
        <w:pStyle w:val="Heading2"/>
        <w:numPr>
          <w:ilvl w:val="1"/>
          <w:numId w:val="1"/>
        </w:numPr>
        <w:tabs>
          <w:tab w:val="clear" w:pos="709"/>
        </w:tabs>
        <w:spacing w:before="0" w:after="0"/>
        <w:ind w:hanging="0" w:left="0"/>
        <w:rPr>
          <w:sz w:val="22"/>
        </w:rPr>
      </w:pPr>
      <w:r>
        <w:rPr>
          <w:sz w:val="22"/>
        </w:rPr>
      </w:r>
    </w:p>
    <w:p>
      <w:pPr>
        <w:pStyle w:val="Heading2"/>
        <w:numPr>
          <w:ilvl w:val="1"/>
          <w:numId w:val="1"/>
        </w:numPr>
        <w:tabs>
          <w:tab w:val="clear" w:pos="709"/>
        </w:tabs>
        <w:ind w:hanging="0" w:left="0"/>
        <w:rPr>
          <w:sz w:val="22"/>
        </w:rPr>
      </w:pPr>
      <w:r>
        <w:rPr>
          <w:szCs w:val="28"/>
        </w:rPr>
        <w:t>REGULAMENTO GERAL</w:t>
      </w:r>
    </w:p>
    <w:p>
      <w:pPr>
        <w:pStyle w:val="BodyText"/>
        <w:jc w:val="center"/>
        <w:rPr>
          <w:sz w:val="20"/>
          <w:lang w:val="pt-BR"/>
        </w:rPr>
      </w:pPr>
      <w:r>
        <w:rPr>
          <w:sz w:val="20"/>
          <w:lang w:val="pt-BR"/>
        </w:rPr>
      </w:r>
    </w:p>
    <w:p>
      <w:pPr>
        <w:pStyle w:val="Normal"/>
        <w:jc w:val="center"/>
        <w:rPr>
          <w:rFonts w:ascii="Arial" w:hAnsi="Arial" w:cs="Arial"/>
          <w:sz w:val="22"/>
          <w:szCs w:val="24"/>
        </w:rPr>
      </w:pPr>
      <w:r>
        <w:rPr>
          <w:rFonts w:cs="Arial" w:ascii="Arial" w:hAnsi="Arial"/>
          <w:sz w:val="22"/>
          <w:szCs w:val="24"/>
        </w:rPr>
        <w:t>Pregão Eletrônico - Serviços</w:t>
      </w:r>
    </w:p>
    <w:p>
      <w:pPr>
        <w:pStyle w:val="Normal"/>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7">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4.1. </w:t>
      </w:r>
      <w:r>
        <w:rPr>
          <w:rFonts w:cs="Arial" w:ascii="Arial" w:hAnsi="Arial"/>
        </w:rPr>
        <w:t>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5.2. A participação neste Pregão é exclusiva de empresas classificadas como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kern w:val="2"/>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5.4. No caso de participação de consórcios, deverá ser observado o atendimento às condições previstas no artigo 15 da Lei Federal nº 14.133/21 e, em especial, às seguintes regras: </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5.4.1. Comprovação do compromisso público ou particular de constituição do consórcio, subscrito pelos consorciados;</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5.4.2. Indicação da empresa líder do consórcio, que será responsável por sua representação perante a Administração;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5.4.3. Admissão, para efeito de habilitação técnica, do somatório dos quantitativos de cada consorciado e, para efeito de habilitação econômico-financeira, do somatório dos valores de cada consorciado;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5.4.4. Responsabilidade solidária dos integrantes pelos atos praticados em consórcio, tanto na fase de licitação quanto na de execução do contrato.</w:t>
      </w:r>
    </w:p>
    <w:p>
      <w:pPr>
        <w:pStyle w:val="Normal"/>
        <w:ind w:firstLine="426"/>
        <w:jc w:val="both"/>
        <w:rPr>
          <w:rFonts w:ascii="Arial" w:hAnsi="Arial" w:cs="Arial"/>
        </w:rPr>
      </w:pPr>
      <w:r>
        <w:rPr>
          <w:rFonts w:cs="Arial" w:ascii="Arial" w:hAnsi="Arial"/>
        </w:rPr>
      </w:r>
    </w:p>
    <w:p>
      <w:pPr>
        <w:pStyle w:val="Normal"/>
        <w:ind w:firstLine="426"/>
        <w:jc w:val="both"/>
        <w:rPr>
          <w:rFonts w:ascii="Arial" w:hAnsi="Arial" w:cs="Arial"/>
        </w:rPr>
      </w:pPr>
      <w:r>
        <w:rPr>
          <w:rFonts w:cs="Arial" w:ascii="Arial" w:hAnsi="Arial"/>
        </w:rPr>
        <w:t xml:space="preserve">5.4.5. Procuração das consorciadas, outorgando à empresa líder poderes para representá-las perante a Contratante, em juízo ou fora dele. </w:t>
      </w:r>
    </w:p>
    <w:p>
      <w:pPr>
        <w:pStyle w:val="Normal"/>
        <w:ind w:firstLine="426"/>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5.4.6. É vedada a participação de empresa consorciada no presente certame, através de mais de um consórcio ou isoladamente.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8">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tabs>
          <w:tab w:val="clear" w:pos="709"/>
          <w:tab w:val="left" w:pos="284" w:leader="none"/>
        </w:tabs>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6.5.</w:t>
      </w:r>
      <w:r>
        <w:rPr>
          <w:rFonts w:cs="Arial" w:ascii="Arial" w:hAnsi="Arial"/>
        </w:rPr>
        <w:t xml:space="preserve"> 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rPr>
      </w:pPr>
      <w:r>
        <w:rPr>
          <w:rFonts w:cs="Arial" w:ascii="Arial" w:hAnsi="Arial"/>
        </w:rPr>
      </w:r>
    </w:p>
    <w:p>
      <w:pPr>
        <w:pStyle w:val="Heading9"/>
        <w:numPr>
          <w:ilvl w:val="8"/>
          <w:numId w:val="1"/>
        </w:numPr>
        <w:ind w:firstLine="284" w:left="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9">
        <w:r>
          <w:rPr>
            <w:rStyle w:val="Hyperlink"/>
            <w:rFonts w:cs="Arial" w:ascii="Arial" w:hAnsi="Arial"/>
          </w:rPr>
          <w:t>https://bnccompras.com</w:t>
        </w:r>
      </w:hyperlink>
      <w:r>
        <w:rPr>
          <w:rFonts w:cs="Arial" w:ascii="Arial" w:hAnsi="Arial"/>
        </w:rPr>
        <w:t>, observados data e horário limite estabelecidos neste Edital.</w:t>
      </w:r>
    </w:p>
    <w:p>
      <w:pPr>
        <w:pStyle w:val="BodyTextIndent"/>
        <w:tabs>
          <w:tab w:val="clear" w:pos="709"/>
          <w:tab w:val="left" w:pos="284" w:leader="none"/>
        </w:tabs>
        <w:overflowPunct w:val="true"/>
        <w:spacing w:lineRule="auto" w:line="240"/>
        <w:ind w:firstLine="284"/>
        <w:textAlignment w:val="auto"/>
        <w:rPr>
          <w:color w:val="auto"/>
          <w:sz w:val="20"/>
          <w:szCs w:val="20"/>
          <w:lang w:val="pt-BR"/>
        </w:rPr>
      </w:pPr>
      <w:r>
        <w:rPr>
          <w:color w:val="auto"/>
          <w:sz w:val="20"/>
          <w:szCs w:val="20"/>
          <w:lang w:val="pt-BR"/>
        </w:rPr>
      </w:r>
    </w:p>
    <w:p>
      <w:pPr>
        <w:pStyle w:val="BodyTextIndent"/>
        <w:tabs>
          <w:tab w:val="clear" w:pos="709"/>
          <w:tab w:val="left" w:pos="284" w:leader="none"/>
        </w:tabs>
        <w:overflowPunct w:val="true"/>
        <w:spacing w:lineRule="auto" w:line="240"/>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pPr>
        <w:pStyle w:val="BodyTextIndent"/>
        <w:tabs>
          <w:tab w:val="clear" w:pos="709"/>
          <w:tab w:val="left" w:pos="284" w:leader="none"/>
        </w:tabs>
        <w:overflowPunct w:val="true"/>
        <w:spacing w:lineRule="auto" w:line="240"/>
        <w:ind w:firstLine="284"/>
        <w:textAlignment w:val="auto"/>
        <w:rPr>
          <w:color w:val="auto"/>
          <w:sz w:val="20"/>
          <w:szCs w:val="20"/>
        </w:rPr>
      </w:pPr>
      <w:r>
        <w:rPr>
          <w:color w:val="auto"/>
          <w:sz w:val="20"/>
          <w:szCs w:val="20"/>
        </w:rPr>
      </w:r>
    </w:p>
    <w:p>
      <w:pPr>
        <w:pStyle w:val="BodyTextIndent"/>
        <w:tabs>
          <w:tab w:val="clear" w:pos="709"/>
          <w:tab w:val="left" w:pos="284" w:leader="none"/>
        </w:tabs>
        <w:overflowPunct w:val="true"/>
        <w:spacing w:lineRule="auto" w:line="240"/>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BodyTextIndent"/>
        <w:tabs>
          <w:tab w:val="clear" w:pos="709"/>
          <w:tab w:val="left" w:pos="284" w:leader="none"/>
        </w:tabs>
        <w:overflowPunct w:val="true"/>
        <w:spacing w:lineRule="auto" w:line="240"/>
        <w:ind w:firstLine="284"/>
        <w:textAlignment w:val="auto"/>
        <w:rPr>
          <w:color w:val="auto"/>
          <w:sz w:val="20"/>
          <w:szCs w:val="20"/>
          <w:lang w:val="pt-BR"/>
        </w:rPr>
      </w:pPr>
      <w:r>
        <w:rPr>
          <w:color w:val="auto"/>
          <w:sz w:val="20"/>
          <w:szCs w:val="20"/>
          <w:lang w:val="pt-BR"/>
        </w:rPr>
      </w:r>
    </w:p>
    <w:p>
      <w:pPr>
        <w:pStyle w:val="BodyTextIndent"/>
        <w:overflowPunct w:val="true"/>
        <w:spacing w:lineRule="auto" w:line="240"/>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pPr>
        <w:pStyle w:val="BodyTextIndent"/>
        <w:overflowPunct w:val="true"/>
        <w:spacing w:lineRule="auto" w:line="240"/>
        <w:ind w:firstLine="284"/>
        <w:textAlignment w:val="auto"/>
        <w:rPr>
          <w:color w:val="auto"/>
          <w:sz w:val="20"/>
          <w:szCs w:val="20"/>
        </w:rPr>
      </w:pPr>
      <w:r>
        <w:rPr>
          <w:color w:val="auto"/>
          <w:sz w:val="20"/>
          <w:szCs w:val="20"/>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 xml:space="preserve">8.1. </w:t>
      </w:r>
      <w:r>
        <w:rPr>
          <w:rFonts w:cs="Arial" w:ascii="Arial" w:hAnsi="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8.2. </w:t>
      </w:r>
      <w:r>
        <w:rPr>
          <w:rFonts w:cs="Arial" w:ascii="Arial" w:hAnsi="Arial"/>
        </w:rPr>
        <w:t>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8.3.</w:t>
      </w:r>
      <w:r>
        <w:rPr>
          <w:rFonts w:cs="Arial" w:ascii="Arial" w:hAnsi="Arial"/>
        </w:rPr>
        <w:t xml:space="preserve"> As licitantes deverão declarar sua condição de Microempresa ou Empresa de Pequeno Porte, ao selecionar se são ou não beneficiárias da Lei Complementar n.º 123/2006 alterada pela Lei Complementar nº 147/2014.</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8.5.</w:t>
      </w:r>
      <w:r>
        <w:rPr>
          <w:rFonts w:cs="Arial" w:ascii="Arial" w:hAnsi="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8.7.</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8.7.1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8.7.2. A proposta readequada deverá seguir o modelo disponível no Anexo IV deste edital.</w:t>
      </w:r>
    </w:p>
    <w:p>
      <w:pPr>
        <w:pStyle w:val="Normal"/>
        <w:numPr>
          <w:ilvl w:val="0"/>
          <w:numId w:val="1"/>
        </w:numPr>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8.8.</w:t>
      </w:r>
      <w:r>
        <w:rPr>
          <w:rFonts w:cs="Arial" w:ascii="Arial" w:hAnsi="Arial"/>
        </w:rPr>
        <w:t xml:space="preserve"> O licitante poderá suprir ou sanear eventuais omissões ou falhas relativas ao cumprimento dos requisitos do item 8.7.,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8.9.</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pPr>
      <w:r>
        <w:rPr/>
      </w:r>
    </w:p>
    <w:p>
      <w:pPr>
        <w:pStyle w:val="Heading8"/>
        <w:numPr>
          <w:ilvl w:val="7"/>
          <w:numId w:val="55"/>
        </w:numPr>
        <w:ind w:firstLine="284" w:left="0"/>
        <w:rPr>
          <w:caps/>
          <w:kern w:val="2"/>
          <w:sz w:val="20"/>
          <w:szCs w:val="20"/>
        </w:rPr>
      </w:pPr>
      <w:r>
        <w:rPr>
          <w:caps/>
          <w:sz w:val="20"/>
          <w:szCs w:val="20"/>
        </w:rPr>
        <w:t>9</w:t>
      </w:r>
      <w:r>
        <w:rPr>
          <w:caps/>
          <w:sz w:val="20"/>
          <w:szCs w:val="20"/>
          <w:lang w:val="pt-BR"/>
        </w:rPr>
        <w:t>.</w:t>
      </w:r>
      <w:r>
        <w:rPr>
          <w:caps/>
          <w:sz w:val="20"/>
          <w:szCs w:val="20"/>
        </w:rPr>
        <w:t xml:space="preserve"> ENVIO DA DOCUMENTAÇÃO DE HABILITAÇÃO </w:t>
      </w:r>
    </w:p>
    <w:p>
      <w:pPr>
        <w:pStyle w:val="Normal"/>
        <w:ind w:firstLine="284"/>
        <w:rPr>
          <w:b/>
        </w:rPr>
      </w:pPr>
      <w:r>
        <w:rPr>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9.2.1. </w:t>
      </w:r>
      <w:r>
        <w:rPr>
          <w:rFonts w:cs="Arial" w:ascii="Arial" w:hAnsi="Arial"/>
        </w:rPr>
        <w:t>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bCs/>
        </w:rPr>
      </w:pPr>
      <w:r>
        <w:rPr>
          <w:rFonts w:cs="Arial" w:ascii="Arial" w:hAnsi="Arial"/>
          <w:bCs/>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9.3.1.</w:t>
      </w:r>
      <w:r>
        <w:rPr>
          <w:rFonts w:cs="Arial" w:ascii="Arial" w:hAnsi="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9.3.2.</w:t>
      </w:r>
      <w:r>
        <w:rPr>
          <w:rFonts w:cs="Arial" w:ascii="Arial" w:hAnsi="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9.4.</w:t>
      </w:r>
      <w:r>
        <w:rPr>
          <w:rFonts w:cs="Arial" w:ascii="Arial" w:hAnsi="Arial"/>
        </w:rPr>
        <w:t xml:space="preserve"> Os documentos que compõem a habilitação do licitante melhor classificado somente serão disponibilizados para avaliação do pregoeiro e para acesso público após o encerramento do envio de lances.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9.5.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color w:val="00B050"/>
        </w:rPr>
      </w:pPr>
      <w:r>
        <w:rPr>
          <w:rFonts w:cs="Arial" w:ascii="Arial" w:hAnsi="Arial"/>
          <w:color w:val="00B050"/>
        </w:rPr>
      </w:r>
    </w:p>
    <w:p>
      <w:pPr>
        <w:pStyle w:val="Normal"/>
        <w:ind w:firstLine="284"/>
        <w:jc w:val="both"/>
        <w:rPr>
          <w:rFonts w:ascii="Arial" w:hAnsi="Arial" w:cs="Arial"/>
        </w:rPr>
      </w:pPr>
      <w:r>
        <w:rPr>
          <w:rFonts w:cs="Arial" w:ascii="Arial" w:hAnsi="Arial"/>
          <w:b/>
          <w:bCs/>
        </w:rPr>
        <w:t>9.5.2.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rPr>
      </w:pPr>
      <w:r>
        <w:rPr>
          <w:rFonts w:cs="Arial" w:ascii="Arial" w:hAnsi="Arial"/>
        </w:rPr>
      </w:r>
    </w:p>
    <w:p>
      <w:pPr>
        <w:pStyle w:val="Heading8"/>
        <w:numPr>
          <w:ilvl w:val="7"/>
          <w:numId w:val="56"/>
        </w:numPr>
        <w:ind w:firstLine="284" w:left="0"/>
        <w:rPr/>
      </w:pPr>
      <w:r>
        <w:rPr>
          <w:caps/>
          <w:sz w:val="20"/>
          <w:szCs w:val="20"/>
        </w:rPr>
        <w:t>10</w:t>
      </w:r>
      <w:r>
        <w:rPr>
          <w:caps/>
          <w:sz w:val="20"/>
          <w:szCs w:val="20"/>
          <w:lang w:val="pt-BR"/>
        </w:rPr>
        <w:t>.</w:t>
      </w:r>
      <w:r>
        <w:rPr>
          <w:caps/>
          <w:sz w:val="20"/>
          <w:szCs w:val="20"/>
        </w:rPr>
        <w:t xml:space="preserve"> abertura</w:t>
      </w:r>
    </w:p>
    <w:p>
      <w:pPr>
        <w:pStyle w:val="Normal"/>
        <w:ind w:firstLine="284"/>
        <w:jc w:val="both"/>
        <w:rPr>
          <w:rFonts w:ascii="Arial" w:hAnsi="Arial" w:cs="Arial"/>
          <w:sz w:val="22"/>
        </w:rPr>
      </w:pPr>
      <w:r>
        <w:rPr>
          <w:rFonts w:cs="Arial" w:ascii="Arial" w:hAnsi="Arial"/>
          <w:sz w:val="22"/>
        </w:rPr>
      </w:r>
    </w:p>
    <w:p>
      <w:pPr>
        <w:pStyle w:val="Normal"/>
        <w:numPr>
          <w:ilvl w:val="0"/>
          <w:numId w:val="57"/>
        </w:numPr>
        <w:ind w:firstLine="284" w:left="0"/>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58"/>
        </w:numPr>
        <w:ind w:firstLine="284" w:left="0"/>
        <w:jc w:val="both"/>
        <w:rPr>
          <w:rFonts w:ascii="Arial" w:hAnsi="Arial" w:cs="Arial"/>
          <w:sz w:val="22"/>
        </w:rPr>
      </w:pPr>
      <w:r>
        <w:rPr>
          <w:rFonts w:cs="Arial" w:ascii="Arial" w:hAnsi="Arial"/>
          <w:sz w:val="22"/>
        </w:rPr>
      </w:r>
    </w:p>
    <w:p>
      <w:pPr>
        <w:pStyle w:val="Normal"/>
        <w:numPr>
          <w:ilvl w:val="0"/>
          <w:numId w:val="59"/>
        </w:numPr>
        <w:ind w:firstLine="284" w:left="0"/>
        <w:jc w:val="both"/>
        <w:rPr>
          <w:rFonts w:ascii="Arial" w:hAnsi="Arial" w:cs="Arial"/>
        </w:rPr>
      </w:pPr>
      <w:r>
        <w:rPr>
          <w:rFonts w:cs="Arial" w:ascii="Arial" w:hAnsi="Arial"/>
          <w:b/>
          <w:bCs/>
        </w:rPr>
        <w:t xml:space="preserve">10.2. </w:t>
      </w:r>
      <w:r>
        <w:rPr>
          <w:rFonts w:cs="Arial" w:ascii="Arial" w:hAnsi="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60"/>
        </w:numPr>
        <w:ind w:firstLine="284" w:left="0"/>
        <w:jc w:val="both"/>
        <w:rPr>
          <w:rFonts w:ascii="Arial" w:hAnsi="Arial" w:cs="Arial"/>
          <w:sz w:val="22"/>
        </w:rPr>
      </w:pPr>
      <w:r>
        <w:rPr>
          <w:rFonts w:cs="Arial" w:ascii="Arial" w:hAnsi="Arial"/>
          <w:sz w:val="22"/>
        </w:rPr>
      </w:r>
    </w:p>
    <w:p>
      <w:pPr>
        <w:pStyle w:val="Normal"/>
        <w:numPr>
          <w:ilvl w:val="0"/>
          <w:numId w:val="61"/>
        </w:numPr>
        <w:tabs>
          <w:tab w:val="clear" w:pos="709"/>
          <w:tab w:val="left" w:pos="284" w:leader="none"/>
        </w:tabs>
        <w:ind w:firstLine="284" w:left="0"/>
        <w:jc w:val="both"/>
        <w:rPr>
          <w:rFonts w:ascii="Arial" w:hAnsi="Arial" w:cs="Arial"/>
        </w:rPr>
      </w:pPr>
      <w:r>
        <w:rPr>
          <w:rFonts w:cs="Arial" w:ascii="Arial" w:hAnsi="Arial"/>
          <w:b/>
          <w:bCs/>
        </w:rPr>
        <w:t>10.2.1.</w:t>
      </w:r>
      <w:r>
        <w:rPr>
          <w:rFonts w:cs="Arial" w:ascii="Arial" w:hAnsi="Arial"/>
        </w:rPr>
        <w:t xml:space="preserve"> Não serão aceitos dois ou mais lances de mesmo valor, prevalecendo aquele que for recebido e registrado em primeiro lugar.</w:t>
      </w:r>
    </w:p>
    <w:p>
      <w:pPr>
        <w:pStyle w:val="Normal"/>
        <w:numPr>
          <w:ilvl w:val="0"/>
          <w:numId w:val="62"/>
        </w:numPr>
        <w:ind w:firstLine="284" w:left="0"/>
        <w:jc w:val="both"/>
        <w:rPr>
          <w:rFonts w:ascii="Arial" w:hAnsi="Arial" w:cs="Arial"/>
          <w:sz w:val="22"/>
        </w:rPr>
      </w:pPr>
      <w:r>
        <w:rPr>
          <w:rFonts w:cs="Arial" w:ascii="Arial" w:hAnsi="Arial"/>
          <w:sz w:val="22"/>
        </w:rPr>
      </w:r>
    </w:p>
    <w:p>
      <w:pPr>
        <w:pStyle w:val="Normal"/>
        <w:numPr>
          <w:ilvl w:val="0"/>
          <w:numId w:val="63"/>
        </w:numPr>
        <w:tabs>
          <w:tab w:val="clear" w:pos="709"/>
          <w:tab w:val="left" w:pos="284" w:leader="none"/>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64"/>
        </w:numPr>
        <w:ind w:firstLine="284" w:left="0"/>
        <w:jc w:val="both"/>
        <w:rPr>
          <w:rFonts w:ascii="Arial" w:hAnsi="Arial" w:cs="Arial"/>
          <w:sz w:val="22"/>
        </w:rPr>
      </w:pPr>
      <w:r>
        <w:rPr>
          <w:rFonts w:cs="Arial" w:ascii="Arial" w:hAnsi="Arial"/>
          <w:sz w:val="22"/>
        </w:rPr>
      </w:r>
    </w:p>
    <w:p>
      <w:pPr>
        <w:pStyle w:val="Normal"/>
        <w:numPr>
          <w:ilvl w:val="0"/>
          <w:numId w:val="65"/>
        </w:numPr>
        <w:ind w:firstLine="284" w:left="0"/>
        <w:jc w:val="both"/>
        <w:rPr>
          <w:rFonts w:ascii="Arial" w:hAnsi="Arial" w:cs="Arial"/>
        </w:rPr>
      </w:pPr>
      <w:r>
        <w:rPr>
          <w:rFonts w:cs="Arial" w:ascii="Arial" w:hAnsi="Arial"/>
          <w:b/>
          <w:bCs/>
        </w:rPr>
        <w:t>10.3.</w:t>
      </w:r>
      <w:r>
        <w:rPr>
          <w:rFonts w:cs="Arial" w:ascii="Arial" w:hAnsi="Arial"/>
        </w:rPr>
        <w:t xml:space="preserve"> Durante o transcurso da sessão pública, as licitantes serão informadas, em tempo real, do valor do menor lance registrado. O sistema eletrônico não identificará a autora dos lances às demais licitantes.</w:t>
      </w:r>
    </w:p>
    <w:p>
      <w:pPr>
        <w:pStyle w:val="Normal"/>
        <w:numPr>
          <w:ilvl w:val="0"/>
          <w:numId w:val="66"/>
        </w:numPr>
        <w:ind w:firstLine="284" w:left="0"/>
        <w:jc w:val="both"/>
        <w:rPr>
          <w:rFonts w:ascii="Arial" w:hAnsi="Arial" w:cs="Arial"/>
          <w:sz w:val="22"/>
        </w:rPr>
      </w:pPr>
      <w:r>
        <w:rPr>
          <w:rFonts w:cs="Arial" w:ascii="Arial" w:hAnsi="Arial"/>
          <w:sz w:val="22"/>
        </w:rPr>
      </w:r>
    </w:p>
    <w:p>
      <w:pPr>
        <w:pStyle w:val="Normal"/>
        <w:numPr>
          <w:ilvl w:val="0"/>
          <w:numId w:val="67"/>
        </w:numPr>
        <w:ind w:firstLine="284" w:left="0"/>
        <w:jc w:val="both"/>
        <w:rPr>
          <w:rFonts w:ascii="Arial" w:hAnsi="Arial" w:cs="Arial"/>
        </w:rPr>
      </w:pPr>
      <w:r>
        <w:rPr>
          <w:rFonts w:cs="Arial" w:ascii="Arial" w:hAnsi="Arial"/>
          <w:b/>
          <w:bCs/>
        </w:rPr>
        <w:t>10.4.</w:t>
      </w:r>
      <w:r>
        <w:rPr>
          <w:rFonts w:cs="Arial" w:ascii="Arial" w:hAnsi="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68"/>
        </w:numPr>
        <w:ind w:firstLine="284" w:left="0"/>
        <w:jc w:val="both"/>
        <w:rPr>
          <w:rFonts w:ascii="Arial" w:hAnsi="Arial" w:cs="Arial"/>
          <w:sz w:val="22"/>
        </w:rPr>
      </w:pPr>
      <w:r>
        <w:rPr>
          <w:rFonts w:cs="Arial" w:ascii="Arial" w:hAnsi="Arial"/>
          <w:sz w:val="22"/>
        </w:rPr>
      </w:r>
    </w:p>
    <w:p>
      <w:pPr>
        <w:pStyle w:val="BodyText"/>
        <w:numPr>
          <w:ilvl w:val="0"/>
          <w:numId w:val="69"/>
        </w:numPr>
        <w:ind w:firstLine="284" w:left="0"/>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pPr>
        <w:pStyle w:val="BodyText"/>
        <w:numPr>
          <w:ilvl w:val="0"/>
          <w:numId w:val="70"/>
        </w:numPr>
        <w:ind w:firstLine="284" w:left="0"/>
        <w:rPr>
          <w:szCs w:val="20"/>
        </w:rPr>
      </w:pPr>
      <w:r>
        <w:rPr>
          <w:szCs w:val="20"/>
        </w:rPr>
      </w:r>
    </w:p>
    <w:p>
      <w:pPr>
        <w:pStyle w:val="BodyText"/>
        <w:numPr>
          <w:ilvl w:val="0"/>
          <w:numId w:val="71"/>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6</w:t>
      </w:r>
      <w:r>
        <w:rPr>
          <w:b/>
          <w:bCs/>
          <w:sz w:val="20"/>
          <w:szCs w:val="20"/>
        </w:rPr>
        <w:t>.</w:t>
      </w:r>
      <w:r>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pPr>
        <w:pStyle w:val="BodyText"/>
        <w:numPr>
          <w:ilvl w:val="0"/>
          <w:numId w:val="72"/>
        </w:numPr>
        <w:ind w:firstLine="284" w:left="0"/>
        <w:rPr>
          <w:szCs w:val="20"/>
        </w:rPr>
      </w:pPr>
      <w:r>
        <w:rPr>
          <w:szCs w:val="20"/>
        </w:rPr>
      </w:r>
    </w:p>
    <w:p>
      <w:pPr>
        <w:pStyle w:val="BodyText"/>
        <w:numPr>
          <w:ilvl w:val="0"/>
          <w:numId w:val="73"/>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7</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t>Agente de Contratação</w:t>
      </w:r>
      <w:r>
        <w:rPr>
          <w:sz w:val="20"/>
          <w:szCs w:val="20"/>
        </w:rPr>
        <w:t xml:space="preserve"> poderá negociar com a licitante para que seja obtido menor preço.</w:t>
      </w:r>
    </w:p>
    <w:p>
      <w:pPr>
        <w:pStyle w:val="BodyText"/>
        <w:numPr>
          <w:ilvl w:val="0"/>
          <w:numId w:val="74"/>
        </w:numPr>
        <w:ind w:firstLine="284" w:left="0"/>
        <w:rPr>
          <w:szCs w:val="20"/>
        </w:rPr>
      </w:pPr>
      <w:r>
        <w:rPr>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sz w:val="22"/>
        </w:rPr>
      </w:pPr>
      <w:r>
        <w:rPr>
          <w:rFonts w:cs="Arial" w:ascii="Arial" w:hAnsi="Arial"/>
          <w:b/>
          <w:bCs/>
          <w:sz w:val="22"/>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sz w:val="22"/>
        </w:rPr>
      </w:pPr>
      <w:r>
        <w:rPr>
          <w:rFonts w:cs="Arial" w:ascii="Arial" w:hAnsi="Arial"/>
          <w:sz w:val="22"/>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sz w:val="22"/>
        </w:rPr>
      </w:pPr>
      <w:r>
        <w:rPr>
          <w:rFonts w:cs="Arial" w:ascii="Arial" w:hAnsi="Arial"/>
          <w:sz w:val="22"/>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sz w:val="22"/>
        </w:rPr>
      </w:pPr>
      <w:r>
        <w:rPr>
          <w:rFonts w:cs="Arial" w:ascii="Arial" w:hAnsi="Arial"/>
          <w:sz w:val="22"/>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jc w:val="both"/>
        <w:rPr>
          <w:rFonts w:ascii="Arial" w:hAnsi="Arial" w:cs="Arial"/>
          <w:b/>
          <w:bCs/>
          <w:sz w:val="22"/>
        </w:rPr>
      </w:pPr>
      <w:r>
        <w:rPr>
          <w:rFonts w:cs="Arial" w:ascii="Arial" w:hAnsi="Arial"/>
          <w:b/>
          <w:bCs/>
          <w:sz w:val="22"/>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10">
        <w:r>
          <w:rPr>
            <w:rStyle w:val="Style"/>
            <w:rFonts w:cs="Arial" w:ascii="Arial" w:hAnsi="Arial"/>
          </w:rPr>
          <w:t>Lei nº 14.133, de 2021</w:t>
        </w:r>
      </w:hyperlink>
      <w:r>
        <w:rPr>
          <w:rFonts w:cs="Arial" w:ascii="Arial" w:hAnsi="Arial"/>
        </w:rPr>
        <w:t>, devendo protocolar o pedido até 03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bookmarkStart w:id="3"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4" w:name="_Ref114668139"/>
      <w:bookmarkStart w:id="5"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6" w:name="_Ref114668249"/>
      <w:bookmarkStart w:id="7"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7"/>
    </w:p>
    <w:p>
      <w:pPr>
        <w:pStyle w:val="Normal"/>
        <w:ind w:firstLine="284"/>
        <w:jc w:val="both"/>
        <w:rPr>
          <w:rFonts w:ascii="Arial" w:hAnsi="Arial" w:cs="Arial"/>
        </w:rPr>
      </w:pPr>
      <w:r>
        <w:rPr>
          <w:rFonts w:cs="Arial" w:ascii="Arial" w:hAnsi="Arial"/>
        </w:rPr>
      </w:r>
      <w:bookmarkStart w:id="8" w:name="_Ref114668245"/>
      <w:bookmarkStart w:id="9"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9"/>
    </w:p>
    <w:p>
      <w:pPr>
        <w:pStyle w:val="Normal"/>
        <w:ind w:firstLine="284"/>
        <w:jc w:val="both"/>
        <w:rPr>
          <w:rFonts w:ascii="Arial" w:hAnsi="Arial" w:cs="Arial"/>
        </w:rPr>
      </w:pPr>
      <w:r>
        <w:rPr>
          <w:rFonts w:cs="Arial" w:ascii="Arial" w:hAnsi="Arial"/>
        </w:rPr>
      </w:r>
      <w:bookmarkStart w:id="10" w:name="_Ref114668247"/>
      <w:bookmarkStart w:id="11"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1"/>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2" w:name="_Ref114668251"/>
      <w:bookmarkStart w:id="13"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3"/>
    </w:p>
    <w:p>
      <w:pPr>
        <w:pStyle w:val="Normal"/>
        <w:ind w:firstLine="284"/>
        <w:jc w:val="both"/>
        <w:rPr>
          <w:rFonts w:ascii="Arial" w:hAnsi="Arial" w:cs="Arial"/>
        </w:rPr>
      </w:pPr>
      <w:r>
        <w:rPr>
          <w:rFonts w:cs="Arial" w:ascii="Arial" w:hAnsi="Arial"/>
        </w:rPr>
      </w:r>
      <w:bookmarkStart w:id="14" w:name="_Ref114668252"/>
      <w:bookmarkStart w:id="15"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0"/>
      <w:bookmarkEnd w:id="15"/>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11">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sz w:val="18"/>
        </w:rPr>
      </w:pPr>
      <w:r>
        <w:rPr>
          <w:rFonts w:cs="Arial" w:ascii="Arial" w:hAnsi="Arial"/>
          <w:sz w:val="18"/>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14.1.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14.1.2.</w:t>
      </w:r>
      <w:r>
        <w:rPr>
          <w:rFonts w:cs="Arial" w:ascii="Arial" w:hAnsi="Arial"/>
        </w:rPr>
        <w:t xml:space="preserve"> E-mail para envio da NF-e: </w:t>
      </w:r>
      <w:hyperlink r:id="rId12">
        <w:r>
          <w:rPr>
            <w:rStyle w:val="Hyperlink"/>
            <w:rFonts w:cs="Arial" w:ascii="Arial" w:hAnsi="Arial"/>
            <w:color w:val="auto"/>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14.2.</w:t>
      </w:r>
      <w:r>
        <w:rPr>
          <w:rFonts w:cs="Arial" w:ascii="Arial" w:hAnsi="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15. FORMALIZAÇÃO DO INSTRUMENTO CONTRATUAL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15.1.</w:t>
      </w:r>
      <w:r>
        <w:rPr>
          <w:rFonts w:cs="Arial" w:ascii="Arial" w:hAnsi="Arial"/>
        </w:rPr>
        <w:t xml:space="preserve"> Homologada a licitação pela autoridade competente, a PREFEITURA MUNICIPAL DE PIRACICABA firmará contrato específico com a ADJUDICATÁRIA visando à execução do objeto desta licitação.</w:t>
      </w:r>
    </w:p>
    <w:p>
      <w:pPr>
        <w:pStyle w:val="Normal"/>
        <w:ind w:firstLine="284"/>
        <w:jc w:val="both"/>
        <w:rPr>
          <w:rFonts w:ascii="Arial" w:hAnsi="Arial" w:cs="Arial"/>
          <w:highlight w:val="yellow"/>
        </w:rPr>
      </w:pPr>
      <w:r>
        <w:rPr>
          <w:rFonts w:cs="Arial" w:ascii="Arial" w:hAnsi="Arial"/>
          <w:highlight w:val="yellow"/>
        </w:rPr>
      </w:r>
    </w:p>
    <w:p>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pPr>
        <w:pStyle w:val="Normal"/>
        <w:ind w:firstLine="284"/>
        <w:rPr>
          <w:rFonts w:ascii="Arial" w:hAnsi="Arial" w:cs="Arial"/>
        </w:rPr>
      </w:pPr>
      <w:r>
        <w:rPr>
          <w:rFonts w:cs="Arial" w:ascii="Arial" w:hAnsi="Arial"/>
        </w:rPr>
      </w:r>
    </w:p>
    <w:p>
      <w:pPr>
        <w:pStyle w:val="BodyText"/>
        <w:ind w:firstLine="284"/>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pPr>
        <w:pStyle w:val="Corpodetexto31"/>
        <w:ind w:firstLine="284"/>
        <w:rPr>
          <w:color w:val="auto"/>
        </w:rPr>
      </w:pPr>
      <w:r>
        <w:rPr>
          <w:color w:val="auto"/>
        </w:rPr>
      </w:r>
    </w:p>
    <w:p>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pPr>
        <w:pStyle w:val="Corpodetexto31"/>
        <w:ind w:firstLine="284"/>
        <w:rPr>
          <w:color w:val="auto"/>
        </w:rPr>
      </w:pPr>
      <w:r>
        <w:rPr>
          <w:color w:val="auto"/>
        </w:rPr>
      </w:r>
    </w:p>
    <w:p>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pPr>
        <w:pStyle w:val="Corpodetexto31"/>
        <w:ind w:firstLine="284"/>
        <w:rPr>
          <w:color w:val="auto"/>
        </w:rPr>
      </w:pPr>
      <w:r>
        <w:rPr>
          <w:color w:val="auto"/>
        </w:rPr>
      </w:r>
    </w:p>
    <w:p>
      <w:pPr>
        <w:pStyle w:val="Corpodetexto31"/>
        <w:ind w:firstLine="284"/>
        <w:rPr>
          <w:color w:val="auto"/>
        </w:rPr>
      </w:pPr>
      <w:r>
        <w:rPr>
          <w:b/>
          <w:bCs/>
          <w:color w:val="auto"/>
        </w:rPr>
        <w:t>15.6.</w:t>
      </w:r>
      <w:r>
        <w:rPr>
          <w:color w:val="auto"/>
        </w:rPr>
        <w:t xml:space="preserve"> A Contratada fica obrigada a aceitar, nas mesmas condições iniciais, acréscimos ou supressões, do objeto contratual, até o limite de 25% (vinte e cinco por cento) do valor inicial do contrato.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16.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16.1. </w:t>
      </w:r>
      <w:r>
        <w:rPr>
          <w:rFonts w:cs="Arial" w:ascii="Arial" w:hAnsi="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 </w:t>
      </w:r>
      <w:r>
        <w:rPr>
          <w:rFonts w:cs="Arial" w:ascii="Arial" w:hAnsi="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 </w:t>
      </w:r>
      <w:r>
        <w:rPr>
          <w:rFonts w:cs="Arial" w:ascii="Arial" w:hAnsi="Arial"/>
        </w:rPr>
        <w:t>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16.5. </w:t>
      </w:r>
      <w:r>
        <w:rPr>
          <w:rFonts w:cs="Arial" w:ascii="Arial" w:hAnsi="Arial"/>
        </w:rPr>
        <w:t>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16.6. </w:t>
      </w:r>
      <w:r>
        <w:rPr>
          <w:rFonts w:cs="Arial" w:ascii="Arial" w:hAnsi="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16.7. </w:t>
      </w:r>
      <w:r>
        <w:rPr>
          <w:rFonts w:cs="Arial" w:ascii="Arial" w:hAnsi="Arial"/>
        </w:rPr>
        <w:t>As licitantes intimadas para prestar qualquer esclarecimento adicional deverão fazê-lo no prazo determinado pelo Pregoeiro, sob pena de desclassificação/inabilitação.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16.15.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16.16.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p>
    <w:p>
      <w:pPr>
        <w:pStyle w:val="Normal"/>
        <w:tabs>
          <w:tab w:val="clear" w:pos="709"/>
          <w:tab w:val="left" w:pos="284" w:leader="none"/>
        </w:tabs>
        <w:ind w:firstLine="284"/>
        <w:jc w:val="both"/>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9"/>
        <w:gridCol w:w="850"/>
        <w:gridCol w:w="4537"/>
        <w:gridCol w:w="1415"/>
        <w:gridCol w:w="1701"/>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Item</w:t>
            </w:r>
          </w:p>
        </w:tc>
        <w:tc>
          <w:tcPr>
            <w:tcW w:w="849"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kern w:val="2"/>
              </w:rPr>
            </w:pPr>
            <w:r>
              <w:rPr>
                <w:rFonts w:cs="Arial" w:ascii="Arial" w:hAnsi="Arial"/>
                <w:b/>
              </w:rPr>
              <w:t>Unid.</w:t>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kern w:val="2"/>
              </w:rPr>
            </w:pPr>
            <w:r>
              <w:rPr>
                <w:rFonts w:cs="Arial" w:ascii="Arial" w:hAnsi="Arial"/>
                <w:b/>
              </w:rPr>
              <w:t>Descritivo</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true"/>
        <w:spacing w:lineRule="auto" w:line="240"/>
        <w:jc w:val="center"/>
        <w:rPr>
          <w:color w:val="auto"/>
          <w:sz w:val="20"/>
          <w:szCs w:val="20"/>
        </w:rPr>
      </w:pPr>
      <w:r>
        <w:rPr>
          <w:color w:val="auto"/>
          <w:sz w:val="20"/>
          <w:szCs w:val="20"/>
        </w:rPr>
      </w:r>
      <w:r>
        <w:br w:type="page"/>
      </w:r>
    </w:p>
    <w:p>
      <w:pPr>
        <w:pStyle w:val="BodyTextIndent"/>
        <w:widowControl w:val="false"/>
        <w:tabs>
          <w:tab w:val="clear" w:pos="709"/>
          <w:tab w:val="left" w:pos="284" w:leader="none"/>
        </w:tabs>
        <w:overflowPunct w:val="true"/>
        <w:spacing w:lineRule="auto" w:line="240" w:before="0" w:after="0"/>
        <w:jc w:val="center"/>
        <w:rPr>
          <w:b/>
          <w:bCs/>
          <w:color w:val="auto"/>
          <w:sz w:val="20"/>
          <w:szCs w:val="20"/>
          <w:shd w:fill="FFFFFF" w:val="clear"/>
          <w:lang w:val="pt-BR"/>
        </w:rPr>
      </w:pPr>
      <w:r>
        <w:rPr>
          <w:b/>
          <w:color w:val="auto"/>
          <w:sz w:val="20"/>
          <w:szCs w:val="20"/>
        </w:rPr>
        <w:t>ANEXO V</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kern w:val="2"/>
        </w:rPr>
      </w:pPr>
      <w:r>
        <w:rPr>
          <w:rFonts w:cs="Arial" w:ascii="Arial" w:hAnsi="Arial"/>
          <w:b/>
          <w:bCs/>
          <w:kern w:val="2"/>
        </w:rPr>
        <w:t>MINUTA DE CONTRATO OU TERMO EQUIVALENTE</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jc w:val="both"/>
        <w:rPr>
          <w:rFonts w:ascii="Arial" w:hAnsi="Arial" w:cs="Arial"/>
          <w:b/>
          <w:u w:val="single"/>
        </w:rPr>
      </w:pPr>
      <w:r>
        <w:rPr>
          <w:rFonts w:cs="Arial" w:ascii="Arial" w:hAnsi="Arial"/>
          <w:b/>
          <w:u w:val="single"/>
        </w:rPr>
        <w:t>CONTRATO QUE ENTRE SI FAZEM A PREFEITURA DO MUNICÍPIO DE PIRACICABA E ................................................, PARA A PRESTAÇÃO DE SERVIÇOS DE INTÉRPRETE DA LÍNGUA ESPANHOLA.</w:t>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rPr>
      </w:pPr>
      <w:r>
        <w:rPr>
          <w:rFonts w:cs="Arial" w:ascii="Arial" w:hAnsi="Arial"/>
          <w:b/>
        </w:rPr>
        <w:t>Data: ... de ................. de 2025.</w:t>
      </w:r>
    </w:p>
    <w:p>
      <w:pPr>
        <w:pStyle w:val="Normal"/>
        <w:jc w:val="both"/>
        <w:rPr>
          <w:rFonts w:ascii="Arial" w:hAnsi="Arial" w:cs="Arial"/>
          <w:b/>
        </w:rPr>
      </w:pPr>
      <w:r>
        <w:rPr>
          <w:rFonts w:cs="Arial" w:ascii="Arial" w:hAnsi="Arial"/>
          <w:b/>
        </w:rPr>
        <w:t>Prazo: até o término dos serviços (início previsto para o dia 22 de agosto de 2025 e término no dia 31 de agosto de 2025).</w:t>
      </w:r>
    </w:p>
    <w:p>
      <w:pPr>
        <w:pStyle w:val="Normal"/>
        <w:jc w:val="both"/>
        <w:rPr>
          <w:rFonts w:ascii="Arial" w:hAnsi="Arial" w:cs="Arial"/>
        </w:rPr>
      </w:pPr>
      <w:r>
        <w:rPr>
          <w:rFonts w:cs="Arial" w:ascii="Arial" w:hAnsi="Arial"/>
          <w:b/>
        </w:rPr>
        <w:t>Valor: R$ ........ (............).</w:t>
      </w:r>
    </w:p>
    <w:p>
      <w:pPr>
        <w:pStyle w:val="Normal"/>
        <w:jc w:val="both"/>
        <w:rPr>
          <w:rFonts w:ascii="Arial" w:hAnsi="Arial" w:cs="Arial"/>
        </w:rPr>
      </w:pPr>
      <w:r>
        <w:rPr>
          <w:rFonts w:cs="Arial" w:ascii="Arial" w:hAnsi="Arial"/>
          <w:b/>
        </w:rPr>
        <w:t>Processo Administrativo nº 2025/96.268.</w:t>
      </w:r>
    </w:p>
    <w:p>
      <w:pPr>
        <w:pStyle w:val="Normal"/>
        <w:jc w:val="both"/>
        <w:rPr>
          <w:rFonts w:ascii="Arial" w:hAnsi="Arial" w:cs="Arial"/>
        </w:rPr>
      </w:pPr>
      <w:r>
        <w:rPr>
          <w:rFonts w:cs="Arial" w:ascii="Arial" w:hAnsi="Arial"/>
          <w:b/>
        </w:rPr>
        <w:t>Pregão Eletrônico n.º ..../2025.</w:t>
      </w:r>
    </w:p>
    <w:p>
      <w:pPr>
        <w:pStyle w:val="Normal"/>
        <w:jc w:val="both"/>
        <w:rPr>
          <w:rFonts w:ascii="Arial" w:hAnsi="Arial" w:cs="Arial"/>
        </w:rPr>
      </w:pPr>
      <w:r>
        <w:rPr>
          <w:rFonts w:cs="Arial" w:ascii="Arial" w:hAnsi="Arial"/>
          <w:b/>
        </w:rPr>
        <w:t>Contrato n.º …./2025.</w:t>
      </w:r>
    </w:p>
    <w:p>
      <w:pPr>
        <w:pStyle w:val="Normal"/>
        <w:ind w:firstLine="851"/>
        <w:jc w:val="both"/>
        <w:rPr>
          <w:rFonts w:ascii="Arial" w:hAnsi="Arial" w:cs="Arial"/>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1ª - DAS PARTES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w:t>
      </w:r>
      <w:r>
        <w:rPr>
          <w:rFonts w:cs="Arial" w:ascii="Arial" w:hAnsi="Arial"/>
        </w:rPr>
        <w:t xml:space="preserve"> A </w:t>
      </w:r>
      <w:r>
        <w:rPr>
          <w:rFonts w:cs="Arial" w:ascii="Arial" w:hAnsi="Arial"/>
          <w:b/>
        </w:rPr>
        <w:t>PREFEITURA DO MUNICÍPIO DE PIRACICABA</w:t>
      </w:r>
      <w:r>
        <w:rPr>
          <w:rFonts w:cs="Arial" w:ascii="Arial" w:hAnsi="Arial"/>
        </w:rPr>
        <w:t xml:space="preserve">, com sede à Rua Antônio Corrêa Barbosa, n.º 2.233, bairro Chácara Nazareth, nesta cidade e Estado, com CNPJ n.º 46.341.038/0001-29, representada pelo seu Secretário Municipal de Cultura, Sr. </w:t>
      </w:r>
      <w:r>
        <w:rPr>
          <w:rFonts w:cs="Arial" w:ascii="Arial" w:hAnsi="Arial"/>
          <w:b/>
        </w:rPr>
        <w:t>CARLOS ALBERTO LORDELLO BELTRAME</w:t>
      </w:r>
      <w:r>
        <w:rPr>
          <w:rFonts w:cs="Arial" w:ascii="Arial" w:hAnsi="Arial"/>
          <w:shd w:fill="FFFFFF" w:val="clear"/>
        </w:rPr>
        <w:t>, inscrito no CPF nº 017.217.888-67</w:t>
      </w:r>
      <w:r>
        <w:rPr>
          <w:rFonts w:cs="Arial" w:ascii="Arial" w:hAnsi="Arial"/>
        </w:rPr>
        <w:t xml:space="preserve">, adiante, designada, simplesmente, </w:t>
      </w:r>
      <w:r>
        <w:rPr>
          <w:rFonts w:cs="Arial" w:ascii="Arial" w:hAnsi="Arial"/>
          <w:b/>
        </w:rPr>
        <w:t>CONTRATANTE</w:t>
      </w:r>
      <w:r>
        <w:rPr>
          <w:rFonts w:cs="Arial" w:ascii="Arial" w:hAnsi="Arial"/>
        </w:rPr>
        <w:t xml:space="preserve"> e </w:t>
      </w:r>
      <w:r>
        <w:rPr>
          <w:rFonts w:cs="Arial" w:ascii="Arial" w:hAnsi="Arial"/>
          <w:b/>
        </w:rPr>
        <w:t>..........</w:t>
      </w:r>
      <w:r>
        <w:rPr>
          <w:rFonts w:cs="Arial" w:ascii="Arial" w:hAnsi="Arial"/>
        </w:rPr>
        <w:t xml:space="preserve">, com sede à ........, n.º ......., na cidade de ......., inscrita no CNPJ n.º ........, por intermédio de seu(sua) ......, Sr(a). .........., (qualificação completa), inscrito(a) no CPF n.º ......., adiante designada simplesmente </w:t>
      </w:r>
      <w:r>
        <w:rPr>
          <w:rFonts w:cs="Arial" w:ascii="Arial" w:hAnsi="Arial"/>
          <w:b/>
        </w:rPr>
        <w:t>CONTRATADA</w:t>
      </w:r>
      <w:r>
        <w:rPr>
          <w:rFonts w:cs="Arial" w:ascii="Arial" w:hAnsi="Arial"/>
        </w:rPr>
        <w:t>, ajustam o que se segue:</w:t>
      </w:r>
    </w:p>
    <w:p>
      <w:pPr>
        <w:pStyle w:val="Normal"/>
        <w:ind w:firstLine="851"/>
        <w:jc w:val="both"/>
        <w:rPr>
          <w:rFonts w:ascii="Arial" w:hAnsi="Arial" w:cs="Arial"/>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2ª - DO OBJETO</w:t>
            </w:r>
          </w:p>
        </w:tc>
      </w:tr>
    </w:tbl>
    <w:p>
      <w:pPr>
        <w:pStyle w:val="Normal"/>
        <w:ind w:firstLine="851"/>
        <w:jc w:val="both"/>
        <w:rPr>
          <w:rFonts w:ascii="Arial" w:hAnsi="Arial" w:cs="Arial"/>
          <w:b/>
        </w:rPr>
      </w:pPr>
      <w:r>
        <w:rPr>
          <w:rFonts w:cs="Arial" w:ascii="Arial" w:hAnsi="Arial"/>
          <w:b/>
        </w:rPr>
      </w:r>
    </w:p>
    <w:p>
      <w:pPr>
        <w:pStyle w:val="BodyTextIndent"/>
        <w:ind w:firstLine="851"/>
        <w:rPr>
          <w:sz w:val="20"/>
          <w:szCs w:val="20"/>
        </w:rPr>
      </w:pPr>
      <w:r>
        <w:rPr>
          <w:b/>
          <w:sz w:val="20"/>
          <w:szCs w:val="20"/>
        </w:rPr>
        <w:t>2.1. A CONTRATADA se obriga a prestar serviços de intérprete da língua espanhola, conforme descrição detalhada constante do Edital de Pregão Eletrônico nº .../2025, bem como seu Termo de Referência, o qual fica fazendo parte integrante do presente instrumento.</w:t>
      </w:r>
    </w:p>
    <w:p>
      <w:pPr>
        <w:pStyle w:val="Normal"/>
        <w:keepLines/>
        <w:ind w:firstLine="851"/>
        <w:jc w:val="both"/>
        <w:rPr>
          <w:rFonts w:ascii="Arial" w:hAnsi="Arial" w:cs="Arial"/>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rFonts w:ascii="Arial" w:hAnsi="Arial" w:cs="Arial"/>
              </w:rPr>
            </w:pPr>
            <w:r>
              <w:rPr>
                <w:rFonts w:cs="Arial" w:ascii="Arial" w:hAnsi="Arial"/>
                <w:b/>
              </w:rPr>
              <w:t>CLÁUSULA 3ª - DOS RECURSOS FINANCEIROS</w:t>
            </w:r>
          </w:p>
        </w:tc>
      </w:tr>
    </w:tbl>
    <w:p>
      <w:pPr>
        <w:pStyle w:val="BodyTextIndent"/>
        <w:ind w:firstLine="851"/>
        <w:rPr>
          <w:b/>
          <w:sz w:val="20"/>
          <w:szCs w:val="20"/>
        </w:rPr>
      </w:pPr>
      <w:r>
        <w:rPr>
          <w:b/>
          <w:sz w:val="20"/>
          <w:szCs w:val="20"/>
        </w:rPr>
      </w:r>
    </w:p>
    <w:p>
      <w:pPr>
        <w:pStyle w:val="Normal"/>
        <w:ind w:firstLine="851"/>
        <w:jc w:val="both"/>
        <w:rPr>
          <w:rFonts w:ascii="Arial" w:hAnsi="Arial" w:cs="Arial"/>
        </w:rPr>
      </w:pPr>
      <w:r>
        <w:rPr>
          <w:rFonts w:cs="Arial" w:ascii="Arial" w:hAnsi="Arial"/>
          <w:b/>
        </w:rPr>
        <w:t>3.1.</w:t>
      </w:r>
      <w:r>
        <w:rPr>
          <w:rFonts w:cs="Arial" w:ascii="Arial" w:hAnsi="Arial"/>
        </w:rPr>
        <w:t xml:space="preserve"> A despesa supra será atendida pela dotação orçamentária nº 1 12011 13392002121170000 0101011000 339039, constante do exercício de 2025.</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rFonts w:ascii="Arial" w:hAnsi="Arial" w:cs="Arial"/>
              </w:rPr>
            </w:pPr>
            <w:r>
              <w:rPr>
                <w:rFonts w:cs="Arial" w:ascii="Arial" w:hAnsi="Arial"/>
                <w:b/>
              </w:rPr>
              <w:t>CLÁUSULA 4ª – DO SUPORTE LEGAL</w:t>
            </w:r>
          </w:p>
        </w:tc>
      </w:tr>
    </w:tbl>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4.1.</w:t>
      </w:r>
      <w:r>
        <w:rPr>
          <w:rFonts w:cs="Arial" w:ascii="Arial" w:hAnsi="Arial"/>
        </w:rPr>
        <w:t xml:space="preserve"> Este contrato é regulado pelos seguintes dispositivos legais:</w:t>
      </w:r>
    </w:p>
    <w:p>
      <w:pPr>
        <w:pStyle w:val="Normal"/>
        <w:keepLines/>
        <w:ind w:firstLine="851"/>
        <w:jc w:val="both"/>
        <w:rPr>
          <w:rFonts w:ascii="Arial" w:hAnsi="Arial" w:cs="Arial"/>
        </w:rPr>
      </w:pPr>
      <w:r>
        <w:rPr>
          <w:rFonts w:cs="Arial" w:ascii="Arial" w:hAnsi="Arial"/>
          <w:b/>
        </w:rPr>
        <w:t>4.1.1.</w:t>
      </w:r>
      <w:r>
        <w:rPr>
          <w:rFonts w:cs="Arial" w:ascii="Arial" w:hAnsi="Arial"/>
        </w:rPr>
        <w:t xml:space="preserve"> Constituição da República Federativa do Brasil;</w:t>
      </w:r>
    </w:p>
    <w:p>
      <w:pPr>
        <w:pStyle w:val="Normal"/>
        <w:keepLines/>
        <w:ind w:firstLine="851"/>
        <w:jc w:val="both"/>
        <w:rPr>
          <w:rFonts w:ascii="Arial" w:hAnsi="Arial" w:cs="Arial"/>
        </w:rPr>
      </w:pPr>
      <w:r>
        <w:rPr>
          <w:rFonts w:cs="Arial" w:ascii="Arial" w:hAnsi="Arial"/>
          <w:b/>
        </w:rPr>
        <w:t>4.1.2.</w:t>
      </w:r>
      <w:r>
        <w:rPr>
          <w:rFonts w:cs="Arial" w:ascii="Arial" w:hAnsi="Arial"/>
        </w:rPr>
        <w:t xml:space="preserve"> Lei Orgânica do Município de Piracicaba;</w:t>
      </w:r>
    </w:p>
    <w:p>
      <w:pPr>
        <w:pStyle w:val="Normal"/>
        <w:keepLines/>
        <w:ind w:firstLine="851"/>
        <w:jc w:val="both"/>
        <w:rPr>
          <w:rFonts w:ascii="Arial" w:hAnsi="Arial" w:cs="Arial"/>
        </w:rPr>
      </w:pPr>
      <w:r>
        <w:rPr>
          <w:rFonts w:cs="Arial" w:ascii="Arial" w:hAnsi="Arial"/>
          <w:b/>
        </w:rPr>
        <w:t>4.1.3.</w:t>
      </w:r>
      <w:r>
        <w:rPr>
          <w:rFonts w:cs="Arial" w:ascii="Arial" w:hAnsi="Arial"/>
        </w:rPr>
        <w:t xml:space="preserve"> Lei Federal nº 14.133, de 01/04/2021;</w:t>
      </w:r>
    </w:p>
    <w:p>
      <w:pPr>
        <w:pStyle w:val="Normal"/>
        <w:keepLines/>
        <w:ind w:firstLine="851"/>
        <w:jc w:val="both"/>
        <w:rPr>
          <w:rFonts w:ascii="Arial" w:hAnsi="Arial" w:cs="Arial"/>
        </w:rPr>
      </w:pPr>
      <w:r>
        <w:rPr>
          <w:rFonts w:cs="Arial" w:ascii="Arial" w:hAnsi="Arial"/>
          <w:b/>
        </w:rPr>
        <w:t>4.1.4.</w:t>
      </w:r>
      <w:r>
        <w:rPr>
          <w:rFonts w:cs="Arial" w:ascii="Arial" w:hAnsi="Arial"/>
        </w:rPr>
        <w:t xml:space="preserve"> Decreto Municipal nº 17.640, de 30/10/2018;</w:t>
      </w:r>
    </w:p>
    <w:p>
      <w:pPr>
        <w:pStyle w:val="Normal"/>
        <w:keepLines/>
        <w:ind w:firstLine="851"/>
        <w:jc w:val="both"/>
        <w:rPr>
          <w:rFonts w:ascii="Arial" w:hAnsi="Arial" w:cs="Arial"/>
        </w:rPr>
      </w:pPr>
      <w:r>
        <w:rPr>
          <w:rFonts w:cs="Arial" w:ascii="Arial" w:hAnsi="Arial"/>
          <w:b/>
        </w:rPr>
        <w:t>4.1.5.</w:t>
      </w:r>
      <w:r>
        <w:rPr>
          <w:rFonts w:cs="Arial" w:ascii="Arial" w:hAnsi="Arial"/>
        </w:rPr>
        <w:t xml:space="preserve"> Demais disposições legais aplicáveis, inclusive subsidiariamente, os princípios gerais de Direito.</w:t>
      </w:r>
    </w:p>
    <w:p>
      <w:pPr>
        <w:pStyle w:val="Normal"/>
        <w:keepLines/>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5ª - DO PREÇO</w:t>
            </w:r>
          </w:p>
        </w:tc>
      </w:tr>
    </w:tbl>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5.1.</w:t>
      </w:r>
      <w:r>
        <w:rPr>
          <w:rFonts w:cs="Arial" w:ascii="Arial" w:hAnsi="Arial"/>
        </w:rPr>
        <w:t xml:space="preserve"> Pela execução do objeto deste contrato, a </w:t>
      </w:r>
      <w:r>
        <w:rPr>
          <w:rFonts w:cs="Arial" w:ascii="Arial" w:hAnsi="Arial"/>
          <w:b/>
        </w:rPr>
        <w:t xml:space="preserve">CONTRATANTE </w:t>
      </w:r>
      <w:r>
        <w:rPr>
          <w:rFonts w:cs="Arial" w:ascii="Arial" w:hAnsi="Arial"/>
        </w:rPr>
        <w:t xml:space="preserve">pagará à </w:t>
      </w:r>
      <w:r>
        <w:rPr>
          <w:rFonts w:cs="Arial" w:ascii="Arial" w:hAnsi="Arial"/>
          <w:b/>
        </w:rPr>
        <w:t xml:space="preserve">CONTRATADA </w:t>
      </w:r>
      <w:r>
        <w:rPr>
          <w:rFonts w:cs="Arial" w:ascii="Arial" w:hAnsi="Arial"/>
        </w:rPr>
        <w:t xml:space="preserve">a importância de </w:t>
      </w:r>
      <w:r>
        <w:rPr>
          <w:rFonts w:cs="Arial" w:ascii="Arial" w:hAnsi="Arial"/>
          <w:b/>
        </w:rPr>
        <w:t>R$      (...)</w:t>
      </w:r>
      <w:r>
        <w:rPr>
          <w:rFonts w:cs="Arial" w:ascii="Arial" w:hAnsi="Arial"/>
        </w:rPr>
        <w:t>, conforme valores apresentados por esta em sua proposta.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5.2.</w:t>
      </w:r>
      <w:r>
        <w:rPr>
          <w:rFonts w:cs="Arial" w:ascii="Arial" w:hAnsi="Arial"/>
        </w:rPr>
        <w:t xml:space="preserve"> Nos preços propostos já estão inclusos, além dos lucros, todas e quaisquer despesas diretas e indiretas, tais como, transportes e combustível, mão-de-obra para a entrega e o descarregamento no local determinado pela </w:t>
      </w:r>
      <w:r>
        <w:rPr>
          <w:rFonts w:cs="Arial" w:ascii="Arial" w:hAnsi="Arial"/>
          <w:b/>
        </w:rPr>
        <w:t>CONTRATANTE</w:t>
      </w:r>
      <w:r>
        <w:rPr>
          <w:rFonts w:cs="Arial" w:ascii="Arial" w:hAnsi="Arial"/>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rFonts w:ascii="Arial" w:hAnsi="Arial" w:cs="Arial"/>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6ª - DOS PAGAMENTOS</w:t>
            </w:r>
          </w:p>
        </w:tc>
      </w:tr>
    </w:tbl>
    <w:p>
      <w:pPr>
        <w:pStyle w:val="Normal"/>
        <w:ind w:firstLine="851"/>
        <w:jc w:val="both"/>
        <w:rPr>
          <w:rFonts w:ascii="Arial" w:hAnsi="Arial" w:cs="Arial"/>
        </w:rPr>
      </w:pPr>
      <w:r>
        <w:rPr>
          <w:rFonts w:cs="Arial" w:ascii="Arial" w:hAnsi="Arial"/>
        </w:rPr>
      </w:r>
    </w:p>
    <w:p>
      <w:pPr>
        <w:pStyle w:val="Normal"/>
        <w:ind w:firstLine="850"/>
        <w:jc w:val="both"/>
        <w:rPr>
          <w:rFonts w:ascii="Arial" w:hAnsi="Arial" w:cs="Arial"/>
          <w:b/>
        </w:rPr>
      </w:pPr>
      <w:r>
        <w:rPr>
          <w:rFonts w:cs="Arial" w:ascii="Arial" w:hAnsi="Arial"/>
          <w:b/>
        </w:rPr>
        <w:t xml:space="preserve">6.1. </w:t>
      </w:r>
      <w:r>
        <w:rPr>
          <w:rFonts w:cs="Arial" w:ascii="Arial" w:hAnsi="Arial"/>
        </w:rPr>
        <w:t>Anteriormente a realização de pagamentos, a Unidade Requisitante realizará consulta, junto a Secretaria Municipal de Finanças sobre a existência de débitos exigíveis da</w:t>
      </w:r>
      <w:r>
        <w:rPr>
          <w:rFonts w:cs="Arial" w:ascii="Arial" w:hAnsi="Arial"/>
          <w:b/>
        </w:rPr>
        <w:t xml:space="preserve"> CONTRATADA</w:t>
      </w:r>
      <w:r>
        <w:rPr>
          <w:rFonts w:cs="Arial" w:ascii="Arial" w:hAnsi="Arial"/>
        </w:rPr>
        <w:t xml:space="preserve"> com o Município de Piracicaba e caso existam, poderá ser realizada a compensação de valores.</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6.2. </w:t>
      </w:r>
      <w:r>
        <w:rPr>
          <w:rFonts w:cs="Arial" w:ascii="Arial" w:hAnsi="Arial"/>
        </w:rPr>
        <w:t xml:space="preserve">Os pagamentos serão efetuados mediante a apresentação da nota fiscal, acompanhada do atestado de recebimento emitido pela Secretaria Municipal de Cultura, no prazo estipulado pela </w:t>
      </w:r>
      <w:r>
        <w:rPr>
          <w:rFonts w:cs="Arial" w:ascii="Arial" w:hAnsi="Arial"/>
          <w:b/>
        </w:rPr>
        <w:t>CONTRATADA</w:t>
      </w:r>
      <w:r>
        <w:rPr>
          <w:rFonts w:cs="Arial" w:ascii="Arial" w:hAnsi="Arial"/>
        </w:rPr>
        <w:t xml:space="preserve">, contado da data de emissão da nota fiscal e depositados no banco e conta corrente indicados pela </w:t>
      </w:r>
      <w:r>
        <w:rPr>
          <w:rFonts w:cs="Arial" w:ascii="Arial" w:hAnsi="Arial"/>
          <w:b/>
        </w:rPr>
        <w:t>CONTRATADA</w:t>
      </w:r>
      <w:r>
        <w:rPr>
          <w:rFonts w:cs="Arial" w:ascii="Arial" w:hAnsi="Arial"/>
        </w:rPr>
        <w:t xml:space="preserve">. </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6.2.1.</w:t>
      </w:r>
      <w:r>
        <w:rPr>
          <w:rFonts w:cs="Arial" w:ascii="Arial" w:hAnsi="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rPr>
        <w:t xml:space="preserve">E-mail para emissão da NF-e: </w:t>
      </w:r>
      <w:hyperlink r:id="rId13">
        <w:r>
          <w:rPr>
            <w:rStyle w:val="Hyperlink"/>
            <w:rFonts w:cs="Arial" w:ascii="Arial" w:hAnsi="Arial"/>
          </w:rPr>
          <w:t>notafiscal@piracicaba.sp.gov.br</w:t>
        </w:r>
      </w:hyperlink>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6.3. </w:t>
      </w:r>
      <w:r>
        <w:rPr>
          <w:rFonts w:cs="Arial" w:ascii="Arial" w:hAnsi="Arial"/>
        </w:rPr>
        <w:t xml:space="preserve">Com a nota fiscal a </w:t>
      </w:r>
      <w:r>
        <w:rPr>
          <w:rFonts w:cs="Arial" w:ascii="Arial" w:hAnsi="Arial"/>
          <w:b/>
        </w:rPr>
        <w:t>CONTRATADA</w:t>
      </w:r>
      <w:r>
        <w:rPr>
          <w:rFonts w:cs="Arial" w:ascii="Arial" w:hAnsi="Arial"/>
        </w:rPr>
        <w:t xml:space="preserve"> deverá apresentar, ainda: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6.3.1. </w:t>
      </w:r>
      <w:r>
        <w:rPr>
          <w:rFonts w:cs="Arial" w:ascii="Arial" w:hAnsi="Arial"/>
        </w:rPr>
        <w:t>Certidão de Regularidade perante a Fazenda Federal (INSS), com validade em vigor;</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b/>
        </w:rPr>
      </w:pPr>
      <w:r>
        <w:rPr>
          <w:rFonts w:cs="Arial" w:ascii="Arial" w:hAnsi="Arial"/>
          <w:b/>
        </w:rPr>
        <w:t xml:space="preserve">6.3.2. </w:t>
      </w:r>
      <w:r>
        <w:rPr>
          <w:rFonts w:cs="Arial" w:ascii="Arial" w:hAnsi="Arial"/>
        </w:rPr>
        <w:t>Certidão de regularidade do FGTS fornecido pela Caixa Econômica Federal, com validade em vigor;</w:t>
      </w:r>
      <w:r>
        <w:rPr>
          <w:rFonts w:cs="Arial" w:ascii="Arial" w:hAnsi="Arial"/>
          <w:b/>
        </w:rPr>
        <w:t xml:space="preserve"> </w:t>
      </w:r>
    </w:p>
    <w:p>
      <w:pPr>
        <w:pStyle w:val="Normal"/>
        <w:ind w:firstLine="850"/>
        <w:jc w:val="both"/>
        <w:rPr>
          <w:rFonts w:ascii="Arial" w:hAnsi="Arial" w:cs="Arial"/>
          <w:b/>
        </w:rPr>
      </w:pPr>
      <w:r>
        <w:rPr>
          <w:rFonts w:cs="Arial" w:ascii="Arial" w:hAnsi="Arial"/>
          <w:b/>
        </w:rPr>
      </w:r>
    </w:p>
    <w:p>
      <w:pPr>
        <w:pStyle w:val="Normal"/>
        <w:keepLines/>
        <w:ind w:firstLine="850"/>
        <w:jc w:val="both"/>
        <w:rPr>
          <w:rFonts w:ascii="Arial" w:hAnsi="Arial" w:cs="Arial"/>
        </w:rPr>
      </w:pPr>
      <w:r>
        <w:rPr>
          <w:rFonts w:cs="Arial" w:ascii="Arial" w:hAnsi="Arial"/>
          <w:b/>
        </w:rPr>
        <w:t>6.3.3.</w:t>
      </w:r>
      <w:r>
        <w:rPr>
          <w:rFonts w:cs="Arial" w:ascii="Arial" w:hAnsi="Arial"/>
        </w:rPr>
        <w:t xml:space="preserve"> Certidão de Regularidade perante a Fazenda Municipal, com validade em vigor, e;</w:t>
      </w:r>
    </w:p>
    <w:p>
      <w:pPr>
        <w:pStyle w:val="Normal"/>
        <w:keepLines/>
        <w:ind w:firstLine="850"/>
        <w:jc w:val="both"/>
        <w:rPr>
          <w:rFonts w:ascii="Arial" w:hAnsi="Arial" w:cs="Arial"/>
        </w:rPr>
      </w:pPr>
      <w:r>
        <w:rPr>
          <w:rFonts w:cs="Arial" w:ascii="Arial" w:hAnsi="Arial"/>
        </w:rPr>
      </w:r>
    </w:p>
    <w:p>
      <w:pPr>
        <w:pStyle w:val="Normal"/>
        <w:keepLines/>
        <w:ind w:firstLine="850"/>
        <w:jc w:val="both"/>
        <w:rPr>
          <w:rFonts w:ascii="Arial" w:hAnsi="Arial" w:cs="Arial"/>
        </w:rPr>
      </w:pPr>
      <w:r>
        <w:rPr>
          <w:rFonts w:cs="Arial" w:ascii="Arial" w:hAnsi="Arial"/>
          <w:b/>
        </w:rPr>
        <w:t>6.3.4.</w:t>
      </w:r>
      <w:r>
        <w:rPr>
          <w:rFonts w:cs="Arial" w:ascii="Arial" w:hAnsi="Arial"/>
        </w:rPr>
        <w:t xml:space="preserve"> Certidão Negativa de Débitos Trabalhistas (CNDT).</w:t>
      </w:r>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6.4. </w:t>
      </w:r>
      <w:r>
        <w:rPr>
          <w:rFonts w:cs="Arial" w:ascii="Arial" w:hAnsi="Arial"/>
        </w:rPr>
        <w:t>Caso o dia do pagamento coincida aos sábados, domingos, feriados ou pontos facultativos, o mesmo será efetuado no primeiro dia útil subsequente, sem qualquer incidência de correção monetária.</w:t>
      </w:r>
    </w:p>
    <w:p>
      <w:pPr>
        <w:pStyle w:val="Normal"/>
        <w:ind w:firstLine="850"/>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6.5.</w:t>
      </w:r>
      <w:r>
        <w:rPr>
          <w:rFonts w:cs="Arial" w:ascii="Arial" w:hAnsi="Arial"/>
        </w:rPr>
        <w:t xml:space="preserve"> Caso a </w:t>
      </w:r>
      <w:r>
        <w:rPr>
          <w:rFonts w:cs="Arial" w:ascii="Arial" w:hAnsi="Arial"/>
          <w:b/>
        </w:rPr>
        <w:t>CONTRATANTE</w:t>
      </w:r>
      <w:r>
        <w:rPr>
          <w:rFonts w:cs="Arial" w:ascii="Arial" w:hAnsi="Arial"/>
        </w:rPr>
        <w:t>, eventualmente, atrase os pagamentos, estes deverão ser corrigidos com base no INPC/IBGE, conforme legislação pertinente.</w:t>
      </w:r>
    </w:p>
    <w:p>
      <w:pPr>
        <w:pStyle w:val="Normal"/>
        <w:ind w:firstLine="851"/>
        <w:jc w:val="both"/>
        <w:rPr>
          <w:rFonts w:ascii="Arial" w:hAnsi="Arial" w:cs="Arial"/>
        </w:rPr>
      </w:pPr>
      <w:r>
        <w:rPr>
          <w:rFonts w:cs="Arial" w:ascii="Arial" w:hAnsi="Arial"/>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7ª - DA FISCALIZAÇÃO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7.1.</w:t>
      </w:r>
      <w:r>
        <w:rPr>
          <w:rFonts w:cs="Arial" w:ascii="Arial" w:hAnsi="Arial"/>
        </w:rPr>
        <w:t xml:space="preserve"> A Secretaria Municipal de Cultura é o órgão credenciado pela </w:t>
      </w:r>
      <w:r>
        <w:rPr>
          <w:rFonts w:cs="Arial" w:ascii="Arial" w:hAnsi="Arial"/>
          <w:b/>
        </w:rPr>
        <w:t>CONTRATANTE</w:t>
      </w:r>
      <w:r>
        <w:rPr>
          <w:rFonts w:cs="Arial" w:ascii="Arial" w:hAnsi="Arial"/>
        </w:rPr>
        <w:t xml:space="preserve"> para vistoriar a execução do presente contrato e prestar toda a assistência e orientações que se fizerem necessárias, indicando o(s) servidor(es) Sr.(a) .............. como gestor do presente instrumento.</w:t>
      </w:r>
    </w:p>
    <w:p>
      <w:pPr>
        <w:pStyle w:val="Normal"/>
        <w:ind w:firstLine="851"/>
        <w:jc w:val="both"/>
        <w:rPr>
          <w:rFonts w:ascii="Arial" w:hAnsi="Arial" w:cs="Arial"/>
          <w:b/>
        </w:rPr>
      </w:pPr>
      <w:r>
        <w:rPr>
          <w:rFonts w:cs="Arial" w:ascii="Arial" w:hAnsi="Arial"/>
          <w:b/>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8ª - DO PRAZO DE VIGÊNCIA</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8.1.</w:t>
      </w:r>
      <w:r>
        <w:rPr>
          <w:rFonts w:cs="Arial" w:ascii="Arial" w:hAnsi="Arial"/>
        </w:rPr>
        <w:t xml:space="preserve"> O presente contrato terá vigência até o término dos serviços (início previsto para o dia 22 de agosto de 2025 e término no dia 31 de agosto de 2025), a contar da data da Ordem de Serviço.</w:t>
      </w:r>
    </w:p>
    <w:p>
      <w:pPr>
        <w:pStyle w:val="Normal"/>
        <w:ind w:firstLine="851"/>
        <w:jc w:val="both"/>
        <w:rPr>
          <w:rFonts w:ascii="Arial" w:hAnsi="Arial" w:cs="Arial"/>
        </w:rPr>
      </w:pPr>
      <w:r>
        <w:rPr>
          <w:rFonts w:cs="Arial" w:ascii="Arial" w:hAnsi="Arial"/>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9ª - DA EXTINÇÃO DO CONTRATO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9.1.</w:t>
      </w:r>
      <w:r>
        <w:rPr>
          <w:rFonts w:cs="Arial" w:ascii="Arial" w:hAnsi="Arial"/>
        </w:rPr>
        <w:t xml:space="preserve"> Independentemente de interpelação judicial, o contrato será extinto nas hipóteses previstas no art. 137 da Lei Federal nº 14.133/21e suas alterações.</w:t>
      </w:r>
    </w:p>
    <w:p>
      <w:pPr>
        <w:pStyle w:val="Normal"/>
        <w:ind w:firstLine="851"/>
        <w:jc w:val="both"/>
        <w:rPr>
          <w:rFonts w:ascii="Arial" w:hAnsi="Arial" w:cs="Arial"/>
        </w:rPr>
      </w:pPr>
      <w:r>
        <w:rPr>
          <w:rFonts w:cs="Arial" w:ascii="Arial" w:hAnsi="Arial"/>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10. - DO RECEBIMENTO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10.1.</w:t>
      </w:r>
      <w:r>
        <w:rPr>
          <w:rFonts w:cs="Arial" w:ascii="Arial" w:hAnsi="Arial"/>
        </w:rPr>
        <w:t xml:space="preserve"> O objeto deste contrato será recebido por servidor a ser designado para o ato do recebimento, da seguinte forma: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10.1.1. </w:t>
      </w:r>
      <w:r>
        <w:rPr>
          <w:rFonts w:cs="Arial" w:ascii="Arial" w:hAnsi="Arial"/>
        </w:rPr>
        <w:t>Provisoriamente, para efeito de posterior verificação da conformidade do objeto com as especificações, no prazo de até 03 (três) dias, a contar da entrega;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 xml:space="preserve">10.1.2. </w:t>
      </w:r>
      <w:r>
        <w:rPr>
          <w:rFonts w:cs="Arial" w:ascii="Arial" w:hAnsi="Arial"/>
        </w:rPr>
        <w:t>Definitivamente, após a verificação da qualidade do objeto e consequente aceitação, no prazo de até 30 (trinta) dias, a contar do recebimento provisório.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10.2. </w:t>
      </w:r>
      <w:r>
        <w:rPr>
          <w:rFonts w:cs="Arial" w:ascii="Arial" w:hAnsi="Arial"/>
        </w:rPr>
        <w:t>O recebimento de que trata este item far-se-á mediante recibo.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10.3.</w:t>
      </w:r>
      <w:r>
        <w:rPr>
          <w:rFonts w:cs="Arial" w:ascii="Arial" w:hAnsi="Arial"/>
        </w:rPr>
        <w:t xml:space="preserve"> Fica facultada à </w:t>
      </w:r>
      <w:r>
        <w:rPr>
          <w:rFonts w:cs="Arial" w:ascii="Arial" w:hAnsi="Arial"/>
          <w:b/>
        </w:rPr>
        <w:t xml:space="preserve">CONTRATADA </w:t>
      </w:r>
      <w:r>
        <w:rPr>
          <w:rFonts w:cs="Arial" w:ascii="Arial" w:hAnsi="Arial"/>
        </w:rPr>
        <w:t xml:space="preserve">a indicação de um representante para, conjuntamente, com o da </w:t>
      </w:r>
      <w:r>
        <w:rPr>
          <w:rFonts w:cs="Arial" w:ascii="Arial" w:hAnsi="Arial"/>
          <w:b/>
        </w:rPr>
        <w:t>CONTRATANTE</w:t>
      </w:r>
      <w:r>
        <w:rPr>
          <w:rFonts w:cs="Arial" w:ascii="Arial" w:hAnsi="Arial"/>
        </w:rPr>
        <w:t>, proceder ao recebimento do objeto do presente contrato.</w:t>
      </w:r>
    </w:p>
    <w:p>
      <w:pPr>
        <w:pStyle w:val="Normal"/>
        <w:jc w:val="both"/>
        <w:rPr>
          <w:rFonts w:ascii="Arial" w:hAnsi="Arial" w:cs="Arial"/>
        </w:rPr>
      </w:pPr>
      <w:r>
        <w:rPr>
          <w:rFonts w:cs="Arial" w:ascii="Arial" w:hAnsi="Arial"/>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rFonts w:ascii="Arial" w:hAnsi="Arial" w:cs="Arial"/>
              </w:rPr>
            </w:pPr>
            <w:r>
              <w:rPr>
                <w:rFonts w:cs="Arial" w:ascii="Arial" w:hAnsi="Arial"/>
                <w:b/>
              </w:rPr>
              <w:t>CLÁUSULA 11. - DAS SANÇÕES ADMINISTRATIVAS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w:t>
      </w:r>
      <w:r>
        <w:rPr>
          <w:rFonts w:cs="Arial" w:ascii="Arial" w:hAnsi="Arial"/>
        </w:rPr>
        <w:t xml:space="preserve"> Comete infração administrativa, nos termos da lei, o licitante que, com dolo ou culpa: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11.1.1.</w:t>
      </w:r>
      <w:r>
        <w:rPr>
          <w:rFonts w:cs="Arial" w:ascii="Arial" w:hAnsi="Arial"/>
        </w:rPr>
        <w:t xml:space="preserve"> Deixar de entregar a documentação exigida para o certame ou não entregar qualquer documento que tenha sido solicitado pelo/a pregoeiro/a durante o certame;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w:t>
      </w:r>
      <w:r>
        <w:rPr>
          <w:rFonts w:cs="Arial" w:ascii="Arial" w:hAnsi="Arial"/>
        </w:rPr>
        <w:t xml:space="preserve"> Salvo em decorrência de fato superveniente devidamente justificado, não mantiver a proposta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11.1.2.1.</w:t>
      </w:r>
      <w:r>
        <w:rPr>
          <w:rFonts w:cs="Arial" w:ascii="Arial" w:hAnsi="Arial"/>
        </w:rPr>
        <w:t xml:space="preserve"> Não enviar a proposta adequada ao último lance ofertado ou após a negociação;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11.1.2.2.</w:t>
      </w:r>
      <w:r>
        <w:rPr>
          <w:rFonts w:cs="Arial" w:ascii="Arial" w:hAnsi="Arial"/>
        </w:rPr>
        <w:t xml:space="preserve"> Recusar-se a enviar o detalhamento da proposta quando exigível;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11.1.2.3.</w:t>
      </w:r>
      <w:r>
        <w:rPr>
          <w:rFonts w:cs="Arial" w:ascii="Arial" w:hAnsi="Arial"/>
        </w:rPr>
        <w:t xml:space="preserve"> Pedir para ser desclassificado quando encerrada a etapa competitiva; </w:t>
      </w:r>
    </w:p>
    <w:p>
      <w:pPr>
        <w:pStyle w:val="Normal"/>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11.1.2.4.</w:t>
      </w:r>
      <w:r>
        <w:rPr>
          <w:rFonts w:cs="Arial" w:ascii="Arial" w:hAnsi="Arial"/>
        </w:rPr>
        <w:t xml:space="preserve"> Deixar de apresentar amostra;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11.1.2.5</w:t>
      </w:r>
      <w:r>
        <w:rPr>
          <w:rFonts w:cs="Arial" w:ascii="Arial" w:hAnsi="Arial"/>
        </w:rPr>
        <w:t xml:space="preserve">. Apresentar proposta ou amostra em desacordo com as especificações do edital;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w:t>
      </w:r>
      <w:r>
        <w:rPr>
          <w:rFonts w:cs="Arial" w:ascii="Arial" w:hAnsi="Arial"/>
        </w:rPr>
        <w:t xml:space="preserve"> Não celebrar o contrato ou não entregar a documentação exigida para a contratação, quando convocado dentro do prazo de validade de sua proposta;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11.1.3.1.</w:t>
      </w:r>
      <w:r>
        <w:rPr>
          <w:rFonts w:cs="Arial" w:ascii="Arial" w:hAnsi="Arial"/>
        </w:rPr>
        <w:t xml:space="preserve"> Recusar-se, sem justificativa, a assinar o contrato ou a ata de registro de preço, ou a aceitar ou retirar o instrumento equivalente no prazo estabelecido pela Administração;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11.1.4.</w:t>
      </w:r>
      <w:r>
        <w:rPr>
          <w:rFonts w:cs="Arial" w:ascii="Arial" w:hAnsi="Arial"/>
        </w:rPr>
        <w:t xml:space="preserve"> Apresentar declaração ou documentação falsa exigida para o certame ou prestar declaração falsa durante a licitação;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11.1.5.</w:t>
      </w:r>
      <w:r>
        <w:rPr>
          <w:rFonts w:cs="Arial" w:ascii="Arial" w:hAnsi="Arial"/>
        </w:rPr>
        <w:t xml:space="preserve"> Fraudar a licitação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11.1.6.</w:t>
      </w:r>
      <w:r>
        <w:rPr>
          <w:rFonts w:cs="Arial" w:ascii="Arial" w:hAnsi="Arial"/>
        </w:rPr>
        <w:t xml:space="preserve"> Comportar-se de modo inidôneo ou cometer fraude de qualquer natureza,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11.1.6.1.</w:t>
      </w:r>
      <w:r>
        <w:rPr>
          <w:rFonts w:cs="Arial" w:ascii="Arial" w:hAnsi="Arial"/>
        </w:rPr>
        <w:t xml:space="preserve"> Agir em conluio ou em desconformidade com a lei;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11.1.6.2.</w:t>
      </w:r>
      <w:r>
        <w:rPr>
          <w:rFonts w:cs="Arial" w:ascii="Arial" w:hAnsi="Arial"/>
        </w:rPr>
        <w:t xml:space="preserve"> Induzir deliberadamente a erro no julgamento;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11.1.6.3.</w:t>
      </w:r>
      <w:r>
        <w:rPr>
          <w:rFonts w:cs="Arial" w:ascii="Arial" w:hAnsi="Arial"/>
        </w:rPr>
        <w:t xml:space="preserve"> Apresentar amostra falsificada ou deteriorada;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11.1.7.</w:t>
      </w:r>
      <w:r>
        <w:rPr>
          <w:rFonts w:cs="Arial" w:ascii="Arial" w:hAnsi="Arial"/>
        </w:rPr>
        <w:t xml:space="preserve"> Praticar atos ilícitos com vistas a frustrar os objetivos da licitação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11.1.8.</w:t>
      </w:r>
      <w:r>
        <w:rPr>
          <w:rFonts w:cs="Arial" w:ascii="Arial" w:hAnsi="Arial"/>
        </w:rPr>
        <w:t xml:space="preserve"> Praticar ato lesivo previsto no art. 5º da Lei n.º 12.846, de 2013.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w:t>
      </w:r>
      <w:r>
        <w:rPr>
          <w:rFonts w:cs="Arial" w:ascii="Arial" w:hAnsi="Arial"/>
        </w:rPr>
        <w:t xml:space="preserve"> A sanção de que trata o subitem poderá ser aplicada juntamente com as multas previstas, garantindo o exercício de prévia e ampla defesa.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11.2.1.</w:t>
      </w:r>
      <w:r>
        <w:rPr>
          <w:rFonts w:cs="Arial" w:ascii="Arial" w:hAnsi="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w:t>
      </w:r>
      <w:r>
        <w:rPr>
          <w:rFonts w:cs="Arial" w:ascii="Arial" w:hAnsi="Arial"/>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11.3.1.</w:t>
      </w:r>
      <w:r>
        <w:rPr>
          <w:rFonts w:cs="Arial" w:ascii="Arial" w:hAnsi="Arial"/>
        </w:rPr>
        <w:t xml:space="preserve"> Advertência;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w:t>
      </w:r>
      <w:r>
        <w:rPr>
          <w:rFonts w:cs="Arial" w:ascii="Arial" w:hAnsi="Arial"/>
        </w:rPr>
        <w:t xml:space="preserve"> Multa de mora;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11.3.2.1.</w:t>
      </w:r>
      <w:r>
        <w:rPr>
          <w:rFonts w:cs="Arial" w:ascii="Arial" w:hAnsi="Arial"/>
        </w:rPr>
        <w:t xml:space="preserve"> Multa de 10% (dez por cento) sobre a parcela remanescente, no caso de inexecução parcial de contrato;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11.3.2.2.</w:t>
      </w:r>
      <w:r>
        <w:rPr>
          <w:rFonts w:cs="Arial" w:ascii="Arial" w:hAnsi="Arial"/>
        </w:rPr>
        <w:t xml:space="preserve"> Multa de 1% (um por cento), por dia de atraso, sobre o valor correspondente à entrega que estiver em desacordo com os prazos estipulados, até o limite de 10 (dez) dias;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11.3.2.3.</w:t>
      </w:r>
      <w:r>
        <w:rPr>
          <w:rFonts w:cs="Arial" w:ascii="Arial" w:hAnsi="Arial"/>
        </w:rPr>
        <w:t xml:space="preserve"> Multa de 20% (vinte por cento) sobre o valor total do contrato, no caso de sua inexecução total;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11.3.2.5.</w:t>
      </w:r>
      <w:r>
        <w:rPr>
          <w:rFonts w:cs="Arial" w:ascii="Arial" w:hAnsi="Arial"/>
        </w:rPr>
        <w:t xml:space="preserve"> Multa de 20% (vinte por cento) sobre o valor total do contrato, no caso recusa injustificada de assinar/receber o contrato.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11.4.</w:t>
      </w:r>
      <w:r>
        <w:rPr>
          <w:rFonts w:cs="Arial" w:ascii="Arial" w:hAnsi="Arial"/>
        </w:rPr>
        <w:t xml:space="preserve"> As multas são independentes entre si; a aplicação de uma, não exclui a aplicação de outras, bem como das demais penalidades previstas em lei.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11.5.</w:t>
      </w:r>
      <w:r>
        <w:rPr>
          <w:rFonts w:cs="Arial" w:ascii="Arial" w:hAnsi="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11.7.</w:t>
      </w:r>
      <w:r>
        <w:rPr>
          <w:rFonts w:cs="Arial" w:ascii="Arial" w:hAnsi="Arial"/>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11.8.</w:t>
      </w:r>
      <w:r>
        <w:rPr>
          <w:rFonts w:cs="Arial" w:ascii="Arial" w:hAnsi="Arial"/>
        </w:rPr>
        <w:t xml:space="preserve"> Pelo descumprimento de quaisquer cláusulas ou condições do contrato, as multas e penalidade serão elevadas em dobro, em caso de reincidência.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11.9.</w:t>
      </w:r>
      <w:r>
        <w:rPr>
          <w:rFonts w:cs="Arial" w:ascii="Arial" w:hAnsi="Arial"/>
        </w:rPr>
        <w:t xml:space="preserve"> A aplicação das sanções previstas neste edital não exclui, em hipótese alguma, a obrigação de reparação integral dos danos causados.</w:t>
      </w:r>
    </w:p>
    <w:p>
      <w:pPr>
        <w:pStyle w:val="Normal"/>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12. - DAS MEDIDAS ANTICORRUPÇÃO</w:t>
            </w:r>
          </w:p>
        </w:tc>
      </w:tr>
    </w:tbl>
    <w:p>
      <w:pPr>
        <w:pStyle w:val="Normal"/>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shd w:fill="FFFFFF" w:val="clear"/>
        </w:rPr>
        <w:t>12.1.</w:t>
      </w:r>
      <w:r>
        <w:rPr>
          <w:rFonts w:cs="Arial" w:ascii="Arial" w:hAnsi="Arial"/>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rFonts w:ascii="Arial" w:hAnsi="Arial" w:cs="Arial"/>
              </w:rPr>
            </w:pPr>
            <w:r>
              <w:rPr>
                <w:rFonts w:cs="Arial" w:ascii="Arial" w:hAnsi="Arial"/>
                <w:b/>
              </w:rPr>
              <w:t>CLÁUSULA 13. - DAS DISPOSIÇÕES FINAIS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13.1.</w:t>
      </w:r>
      <w:r>
        <w:rPr>
          <w:rFonts w:cs="Arial" w:ascii="Arial" w:hAnsi="Arial"/>
        </w:rPr>
        <w:t xml:space="preserve"> A </w:t>
      </w:r>
      <w:r>
        <w:rPr>
          <w:rFonts w:cs="Arial" w:ascii="Arial" w:hAnsi="Arial"/>
          <w:b/>
        </w:rPr>
        <w:t>CONTRATADA</w:t>
      </w:r>
      <w:r>
        <w:rPr>
          <w:rFonts w:cs="Arial" w:ascii="Arial" w:hAnsi="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13.2.</w:t>
      </w:r>
      <w:r>
        <w:rPr>
          <w:rFonts w:cs="Arial" w:ascii="Arial" w:hAnsi="Arial"/>
        </w:rPr>
        <w:t xml:space="preserve"> O pessoal da </w:t>
      </w:r>
      <w:r>
        <w:rPr>
          <w:rFonts w:cs="Arial" w:ascii="Arial" w:hAnsi="Arial"/>
          <w:b/>
        </w:rPr>
        <w:t>CONTRATADA</w:t>
      </w:r>
      <w:r>
        <w:rPr>
          <w:rFonts w:cs="Arial" w:ascii="Arial" w:hAnsi="Arial"/>
        </w:rPr>
        <w:t xml:space="preserve"> por ela designado para trabalhar</w:t>
      </w:r>
      <w:bookmarkStart w:id="16" w:name="_GoBack"/>
      <w:bookmarkEnd w:id="16"/>
      <w:r>
        <w:rPr>
          <w:rFonts w:cs="Arial" w:ascii="Arial" w:hAnsi="Arial"/>
        </w:rPr>
        <w:t xml:space="preserve"> na execução do contrato, não terão qualquer vínculo empregatício com a </w:t>
      </w:r>
      <w:r>
        <w:rPr>
          <w:rFonts w:cs="Arial" w:ascii="Arial" w:hAnsi="Arial"/>
          <w:b/>
        </w:rPr>
        <w:t>CONTRATANTE</w:t>
      </w:r>
      <w:r>
        <w:rPr>
          <w:rFonts w:cs="Arial" w:ascii="Arial" w:hAnsi="Arial"/>
        </w:rPr>
        <w:t>.</w:t>
      </w:r>
    </w:p>
    <w:p>
      <w:pPr>
        <w:pStyle w:val="Normal"/>
        <w:keepLines/>
        <w:ind w:firstLine="851"/>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13.3.</w:t>
      </w:r>
      <w:r>
        <w:rPr>
          <w:rFonts w:cs="Arial" w:ascii="Arial" w:hAnsi="Arial"/>
        </w:rPr>
        <w:t xml:space="preserve"> A </w:t>
      </w:r>
      <w:r>
        <w:rPr>
          <w:rFonts w:cs="Arial" w:ascii="Arial" w:hAnsi="Arial"/>
          <w:b/>
        </w:rPr>
        <w:t>CONTRATADA</w:t>
      </w:r>
      <w:r>
        <w:rPr>
          <w:rFonts w:cs="Arial" w:ascii="Arial" w:hAnsi="Arial"/>
        </w:rPr>
        <w:t xml:space="preserve"> é responsável pelos encargos trabalhistas, previdenciários, fiscais e comerciais resultantes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13.4.</w:t>
      </w:r>
      <w:r>
        <w:rPr>
          <w:rFonts w:cs="Arial" w:ascii="Arial" w:hAnsi="Arial"/>
        </w:rPr>
        <w:t xml:space="preserve"> Correrão por conta da </w:t>
      </w:r>
      <w:r>
        <w:rPr>
          <w:rFonts w:cs="Arial" w:ascii="Arial" w:hAnsi="Arial"/>
          <w:b/>
        </w:rPr>
        <w:t>CONTRATADA</w:t>
      </w:r>
      <w:r>
        <w:rPr>
          <w:rFonts w:cs="Arial" w:ascii="Arial" w:hAnsi="Arial"/>
        </w:rPr>
        <w:t xml:space="preserve"> todos os tributos e/ou preços públicos que sejam porventura devidos, em decorrência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13.5.</w:t>
      </w:r>
      <w:r>
        <w:rPr>
          <w:rFonts w:cs="Arial" w:ascii="Arial" w:hAnsi="Arial"/>
        </w:rPr>
        <w:t xml:space="preserve"> A </w:t>
      </w:r>
      <w:r>
        <w:rPr>
          <w:rFonts w:cs="Arial" w:ascii="Arial" w:hAnsi="Arial"/>
          <w:b/>
        </w:rPr>
        <w:t xml:space="preserve">CONTRATADA </w:t>
      </w:r>
      <w:r>
        <w:rPr>
          <w:rFonts w:cs="Arial" w:ascii="Arial" w:hAnsi="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rFonts w:cs="Arial" w:ascii="Arial" w:hAnsi="Arial"/>
          <w:b/>
        </w:rPr>
        <w:t>CONTRATANTE</w:t>
      </w:r>
      <w:r>
        <w:rPr>
          <w:rFonts w:cs="Arial" w:ascii="Arial" w:hAnsi="Arial"/>
        </w:rPr>
        <w:t>.</w:t>
      </w:r>
    </w:p>
    <w:p>
      <w:pPr>
        <w:pStyle w:val="Normal"/>
        <w:keepLines/>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13.6. </w:t>
      </w:r>
      <w:r>
        <w:rPr>
          <w:rFonts w:cs="Arial" w:ascii="Arial" w:hAnsi="Arial"/>
        </w:rPr>
        <w:t>É vedada a subcontratação.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13.7. </w:t>
      </w:r>
      <w:r>
        <w:rPr>
          <w:rFonts w:cs="Arial" w:ascii="Arial" w:hAnsi="Arial"/>
        </w:rPr>
        <w:t xml:space="preserve">A </w:t>
      </w:r>
      <w:r>
        <w:rPr>
          <w:rFonts w:cs="Arial" w:ascii="Arial" w:hAnsi="Arial"/>
          <w:b/>
        </w:rPr>
        <w:t xml:space="preserve">CONTRATADA </w:t>
      </w:r>
      <w:r>
        <w:rPr>
          <w:rFonts w:cs="Arial" w:ascii="Arial" w:hAnsi="Arial"/>
        </w:rPr>
        <w:t>assume inteira responsabilidade pela perfeita execução do objeto contratado.</w:t>
      </w:r>
    </w:p>
    <w:p>
      <w:pPr>
        <w:pStyle w:val="Normal"/>
        <w:keepLines/>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13.8.</w:t>
      </w:r>
      <w:r>
        <w:rPr>
          <w:rFonts w:cs="Arial" w:ascii="Arial" w:hAnsi="Arial"/>
        </w:rPr>
        <w:t xml:space="preserve"> A </w:t>
      </w:r>
      <w:r>
        <w:rPr>
          <w:rFonts w:cs="Arial" w:ascii="Arial" w:hAnsi="Arial"/>
          <w:b/>
        </w:rPr>
        <w:t>CONTRATADA</w:t>
      </w:r>
      <w:r>
        <w:rPr>
          <w:rFonts w:cs="Arial" w:ascii="Arial" w:hAnsi="Arial"/>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13.9.</w:t>
      </w:r>
      <w:r>
        <w:rPr>
          <w:rFonts w:cs="Arial" w:ascii="Arial" w:hAnsi="Arial"/>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Lido e achado conforme, assinam este instrumento em 02 (duas) vias, de igual teor e forma, as partes e testemunha, sendo 01 (uma) via destinada ao processo e a outra para arquivo.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Piracicaba, ..... de ........................... de 2025.</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800"/>
        <w:gridCol w:w="320"/>
        <w:gridCol w:w="4802"/>
      </w:tblGrid>
      <w:tr>
        <w:trPr/>
        <w:tc>
          <w:tcPr>
            <w:tcW w:w="4800" w:type="dxa"/>
            <w:tcBorders>
              <w:top w:val="single" w:sz="4" w:space="0" w:color="000000"/>
              <w:left w:val="single" w:sz="4" w:space="0" w:color="000000"/>
              <w:bottom w:val="single" w:sz="4" w:space="0" w:color="000000"/>
            </w:tcBorders>
            <w:shd w:color="auto" w:fill="auto" w:val="clear"/>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rPr>
            </w:pPr>
            <w:r>
              <w:rPr>
                <w:rFonts w:cs="Arial" w:ascii="Arial" w:hAnsi="Arial"/>
                <w:b/>
              </w:rPr>
              <w:t>CARLOS ALBERTO LORDELLO BELTRAME</w:t>
            </w:r>
          </w:p>
          <w:p>
            <w:pPr>
              <w:pStyle w:val="Normal"/>
              <w:jc w:val="center"/>
              <w:rPr>
                <w:rFonts w:ascii="Arial" w:hAnsi="Arial" w:cs="Arial"/>
                <w:b/>
              </w:rPr>
            </w:pPr>
            <w:r>
              <w:rPr>
                <w:rFonts w:cs="Arial" w:ascii="Arial" w:hAnsi="Arial"/>
                <w:b/>
              </w:rPr>
              <w:t>Secretário Municipal de Cultura</w:t>
            </w:r>
          </w:p>
          <w:p>
            <w:pPr>
              <w:pStyle w:val="Normal"/>
              <w:jc w:val="center"/>
              <w:rPr>
                <w:rFonts w:ascii="Arial" w:hAnsi="Arial" w:cs="Arial"/>
              </w:rPr>
            </w:pPr>
            <w:r>
              <w:rPr>
                <w:rFonts w:cs="Arial" w:ascii="Arial" w:hAnsi="Arial"/>
              </w:rPr>
            </w:r>
          </w:p>
        </w:tc>
        <w:tc>
          <w:tcPr>
            <w:tcW w:w="320" w:type="dxa"/>
            <w:tcBorders>
              <w:left w:val="single" w:sz="4" w:space="0" w:color="000000"/>
            </w:tcBorders>
            <w:shd w:color="auto" w:fill="auto" w:val="clear"/>
          </w:tcPr>
          <w:p>
            <w:pPr>
              <w:pStyle w:val="Normal"/>
              <w:snapToGrid w:val="false"/>
              <w:jc w:val="both"/>
              <w:rPr>
                <w:rFonts w:ascii="Arial" w:hAnsi="Arial" w:cs="Arial"/>
              </w:rPr>
            </w:pPr>
            <w:r>
              <w:rPr>
                <w:rFonts w:cs="Arial" w:ascii="Arial" w:hAnsi="Arial"/>
              </w:rPr>
            </w:r>
          </w:p>
        </w:tc>
        <w:tc>
          <w:tcPr>
            <w:tcW w:w="4802"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rPr>
            </w:pPr>
            <w:r>
              <w:rPr>
                <w:rFonts w:cs="Arial" w:ascii="Arial" w:hAnsi="Arial"/>
                <w:b/>
              </w:rPr>
              <w:t>::: EMPRESA CONTRATADA :::</w:t>
            </w:r>
          </w:p>
          <w:p>
            <w:pPr>
              <w:pStyle w:val="Normal"/>
              <w:jc w:val="center"/>
              <w:rPr>
                <w:rFonts w:ascii="Arial" w:hAnsi="Arial" w:cs="Arial"/>
              </w:rPr>
            </w:pPr>
            <w:r>
              <w:rPr>
                <w:rFonts w:cs="Arial" w:ascii="Arial" w:hAnsi="Arial"/>
                <w:b/>
              </w:rPr>
              <w:t>Representante Legal</w:t>
            </w:r>
          </w:p>
        </w:tc>
      </w:tr>
    </w:tbl>
    <w:p>
      <w:pPr>
        <w:pStyle w:val="Normal"/>
        <w:rPr>
          <w:rFonts w:ascii="Arial" w:hAnsi="Arial" w:cs="Arial"/>
          <w:b/>
        </w:rPr>
      </w:pPr>
      <w:r>
        <w:rPr>
          <w:rFonts w:cs="Arial" w:ascii="Arial" w:hAnsi="Arial"/>
          <w:b/>
        </w:rPr>
      </w:r>
    </w:p>
    <w:p>
      <w:pPr>
        <w:pStyle w:val="Normal"/>
        <w:jc w:val="both"/>
        <w:rPr>
          <w:rFonts w:ascii="Arial" w:hAnsi="Arial" w:cs="Arial"/>
        </w:rPr>
      </w:pPr>
      <w:r>
        <w:rPr>
          <w:rFonts w:cs="Arial" w:ascii="Arial" w:hAnsi="Arial"/>
          <w:b/>
          <w:u w:val="single"/>
        </w:rPr>
        <w:t>TESTEMUNHAS:</w:t>
      </w:r>
    </w:p>
    <w:p>
      <w:pPr>
        <w:pStyle w:val="Normal"/>
        <w:jc w:val="both"/>
        <w:rPr>
          <w:rFonts w:ascii="Arial" w:hAnsi="Arial" w:cs="Arial"/>
          <w:b/>
          <w:u w:val="single"/>
        </w:rPr>
      </w:pPr>
      <w:r>
        <w:rPr>
          <w:rFonts w:cs="Arial" w:ascii="Arial" w:hAnsi="Arial"/>
          <w:b/>
          <w:u w:val="single"/>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801"/>
        <w:gridCol w:w="319"/>
        <w:gridCol w:w="4802"/>
      </w:tblGrid>
      <w:tr>
        <w:trPr>
          <w:trHeight w:val="1089" w:hRule="atLeast"/>
        </w:trPr>
        <w:tc>
          <w:tcPr>
            <w:tcW w:w="4801" w:type="dxa"/>
            <w:tcBorders>
              <w:top w:val="single" w:sz="4" w:space="0" w:color="000000"/>
              <w:left w:val="single" w:sz="4" w:space="0" w:color="000000"/>
              <w:bottom w:val="single" w:sz="4" w:space="0" w:color="000000"/>
            </w:tcBorders>
            <w:shd w:color="auto" w:fill="auto" w:val="clear"/>
          </w:tcPr>
          <w:p>
            <w:pPr>
              <w:pStyle w:val="Normal"/>
              <w:snapToGrid w:val="false"/>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rPr>
            </w:pPr>
            <w:r>
              <w:rPr>
                <w:rFonts w:cs="Arial" w:ascii="Arial" w:hAnsi="Arial"/>
                <w:b/>
              </w:rPr>
              <w:t>_________________________</w:t>
            </w:r>
          </w:p>
          <w:p>
            <w:pPr>
              <w:pStyle w:val="Normal"/>
              <w:rPr>
                <w:rFonts w:ascii="Arial" w:hAnsi="Arial" w:cs="Arial"/>
              </w:rPr>
            </w:pPr>
            <w:r>
              <w:rPr>
                <w:rFonts w:cs="Arial" w:ascii="Arial" w:hAnsi="Arial"/>
                <w:b/>
              </w:rPr>
              <w:t>Nome:</w:t>
            </w:r>
          </w:p>
          <w:p>
            <w:pPr>
              <w:pStyle w:val="Normal"/>
              <w:rPr>
                <w:rFonts w:ascii="Arial" w:hAnsi="Arial" w:cs="Arial"/>
              </w:rPr>
            </w:pPr>
            <w:r>
              <w:rPr>
                <w:rFonts w:cs="Arial" w:ascii="Arial" w:hAnsi="Arial"/>
                <w:b/>
              </w:rPr>
              <w:t>CPF:</w:t>
            </w:r>
          </w:p>
        </w:tc>
        <w:tc>
          <w:tcPr>
            <w:tcW w:w="319" w:type="dxa"/>
            <w:tcBorders>
              <w:left w:val="single" w:sz="4" w:space="0" w:color="000000"/>
            </w:tcBorders>
            <w:shd w:color="auto" w:fill="auto" w:val="clear"/>
          </w:tcPr>
          <w:p>
            <w:pPr>
              <w:pStyle w:val="Normal"/>
              <w:snapToGrid w:val="false"/>
              <w:jc w:val="both"/>
              <w:rPr>
                <w:rFonts w:ascii="Arial" w:hAnsi="Arial" w:cs="Arial"/>
                <w:b/>
              </w:rPr>
            </w:pPr>
            <w:r>
              <w:rPr>
                <w:rFonts w:cs="Arial" w:ascii="Arial" w:hAnsi="Arial"/>
                <w:b/>
              </w:rPr>
            </w:r>
          </w:p>
        </w:tc>
        <w:tc>
          <w:tcPr>
            <w:tcW w:w="4802"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rPr>
            </w:pPr>
            <w:r>
              <w:rPr>
                <w:rFonts w:cs="Arial" w:ascii="Arial" w:hAnsi="Arial"/>
                <w:b/>
              </w:rPr>
              <w:t>__________________________</w:t>
            </w:r>
          </w:p>
          <w:p>
            <w:pPr>
              <w:pStyle w:val="Normal"/>
              <w:rPr>
                <w:rFonts w:ascii="Arial" w:hAnsi="Arial" w:cs="Arial"/>
              </w:rPr>
            </w:pPr>
            <w:r>
              <w:rPr>
                <w:rFonts w:cs="Arial" w:ascii="Arial" w:hAnsi="Arial"/>
                <w:b/>
              </w:rPr>
              <w:t>Nome:</w:t>
            </w:r>
          </w:p>
          <w:p>
            <w:pPr>
              <w:pStyle w:val="Normal"/>
              <w:jc w:val="both"/>
              <w:rPr>
                <w:rFonts w:ascii="Arial" w:hAnsi="Arial" w:cs="Arial"/>
              </w:rPr>
            </w:pPr>
            <w:r>
              <w:rPr>
                <w:rFonts w:cs="Arial" w:ascii="Arial" w:hAnsi="Arial"/>
                <w:b/>
              </w:rPr>
              <w:t>CPF:</w:t>
            </w:r>
          </w:p>
        </w:tc>
      </w:tr>
    </w:tbl>
    <w:p>
      <w:pPr>
        <w:pStyle w:val="Normal"/>
        <w:rPr>
          <w:rFonts w:ascii="Arial" w:hAnsi="Arial" w:cs="Arial"/>
        </w:rPr>
      </w:pPr>
      <w:r>
        <w:rPr>
          <w:rFonts w:cs="Arial" w:ascii="Arial" w:hAnsi="Arial"/>
        </w:rPr>
      </w:r>
      <w:bookmarkStart w:id="17" w:name="art1p"/>
      <w:bookmarkStart w:id="18" w:name="art2§1"/>
      <w:bookmarkStart w:id="19" w:name="art1p"/>
      <w:bookmarkStart w:id="20" w:name="art2§1"/>
      <w:bookmarkEnd w:id="19"/>
      <w:bookmarkEnd w:id="20"/>
    </w:p>
    <w:p>
      <w:pPr>
        <w:pStyle w:val="Normal"/>
        <w:ind w:firstLine="567"/>
        <w:jc w:val="both"/>
        <w:rPr>
          <w:rFonts w:ascii="Arial" w:hAnsi="Arial" w:cs="Arial"/>
        </w:rPr>
      </w:pPr>
      <w:r>
        <w:rPr>
          <w:rFonts w:cs="Arial" w:ascii="Arial" w:hAnsi="Arial"/>
        </w:rPr>
      </w:r>
    </w:p>
    <w:sectPr>
      <w:headerReference w:type="even" r:id="rId14"/>
      <w:headerReference w:type="default" r:id="rId15"/>
      <w:headerReference w:type="first" r:id="rId16"/>
      <w:footerReference w:type="even" r:id="rId17"/>
      <w:footerReference w:type="default" r:id="rId18"/>
      <w:footerReference w:type="first" r:id="rId19"/>
      <w:type w:val="nextPage"/>
      <w:pgSz w:w="11906" w:h="16838"/>
      <w:pgMar w:left="1134" w:right="850" w:gutter="0" w:header="283" w:top="1134"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160/2025 -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22</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22</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299835" cy="618490"/>
          <wp:effectExtent l="0" t="0" r="0" b="0"/>
          <wp:docPr id="5"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160/2025 -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22</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22</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299835" cy="618490"/>
          <wp:effectExtent l="0" t="0" r="0" b="0"/>
          <wp:docPr id="6"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descr=""/>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23">
          <wp:simplePos x="0" y="0"/>
          <wp:positionH relativeFrom="column">
            <wp:posOffset>-41910</wp:posOffset>
          </wp:positionH>
          <wp:positionV relativeFrom="paragraph">
            <wp:posOffset>-172720</wp:posOffset>
          </wp:positionV>
          <wp:extent cx="1770380" cy="989965"/>
          <wp:effectExtent l="0" t="0" r="0" b="0"/>
          <wp:wrapTopAndBottom/>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2395" simplePos="0" locked="0" layoutInCell="0" allowOverlap="1" relativeHeight="88" wp14:anchorId="4A906613">
              <wp:simplePos x="0" y="0"/>
              <wp:positionH relativeFrom="margin">
                <wp:align>right</wp:align>
              </wp:positionH>
              <wp:positionV relativeFrom="page">
                <wp:posOffset>6985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9.35pt;margin-top:0.55pt;width:367.7pt;height:70.45pt;mso-wrap-style:square;v-text-anchor:top;mso-position-horizontal:right;mso-position-horizontal-relative:margin;mso-position-vertical-relative:page" wp14:anchorId="4A906613">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23">
          <wp:simplePos x="0" y="0"/>
          <wp:positionH relativeFrom="column">
            <wp:posOffset>-41910</wp:posOffset>
          </wp:positionH>
          <wp:positionV relativeFrom="paragraph">
            <wp:posOffset>-172720</wp:posOffset>
          </wp:positionV>
          <wp:extent cx="1770380" cy="989965"/>
          <wp:effectExtent l="0" t="0" r="0" b="0"/>
          <wp:wrapTopAndBottom/>
          <wp:docPr id="3"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2395" simplePos="0" locked="0" layoutInCell="0" allowOverlap="1" relativeHeight="88" wp14:anchorId="4A906613">
              <wp:simplePos x="0" y="0"/>
              <wp:positionH relativeFrom="margin">
                <wp:align>right</wp:align>
              </wp:positionH>
              <wp:positionV relativeFrom="page">
                <wp:posOffset>6985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9.35pt;margin-top:0.55pt;width:367.7pt;height:70.45pt;mso-wrap-style:square;v-text-anchor:top;mso-position-horizontal:right;mso-position-horizontal-relative:margin;mso-position-vertical-relative:page" wp14:anchorId="4A906613">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2">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5">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6">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7">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8">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9">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0">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2">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5">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6">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7">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8">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9">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0">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6">
    <w:abstractNumId w:val="1"/>
  </w:num>
  <w:num w:numId="57">
    <w:abstractNumId w:val="1"/>
  </w:num>
  <w:num w:numId="58">
    <w:abstractNumId w:val="1"/>
  </w:num>
  <w:num w:numId="59">
    <w:abstractNumId w:val="1"/>
  </w:num>
  <w:num w:numId="60">
    <w:abstractNumId w:val="1"/>
  </w:num>
  <w:num w:numId="61">
    <w:abstractNumId w:val="1"/>
  </w:num>
  <w:num w:numId="62">
    <w:abstractNumId w:val="1"/>
  </w:num>
  <w:num w:numId="63">
    <w:abstractNumId w:val="1"/>
  </w:num>
  <w:num w:numId="64">
    <w:abstractNumId w:val="1"/>
  </w:num>
  <w:num w:numId="65">
    <w:abstractNumId w:val="1"/>
  </w:num>
  <w:num w:numId="66">
    <w:abstractNumId w:val="1"/>
  </w:num>
  <w:num w:numId="67">
    <w:abstractNumId w:val="1"/>
  </w:num>
  <w:num w:numId="68">
    <w:abstractNumId w:val="1"/>
  </w:num>
  <w:num w:numId="69">
    <w:abstractNumId w:val="1"/>
  </w:num>
  <w:num w:numId="70">
    <w:abstractNumId w:val="1"/>
  </w:num>
  <w:num w:numId="71">
    <w:abstractNumId w:val="1"/>
  </w:num>
  <w:num w:numId="72">
    <w:abstractNumId w:val="1"/>
  </w:num>
  <w:num w:numId="73">
    <w:abstractNumId w:val="1"/>
  </w:num>
  <w:num w:numId="74">
    <w:abstractNumId w:val="1"/>
  </w:num>
</w:numbering>
</file>

<file path=word/settings.xml><?xml version="1.0" encoding="utf-8"?>
<w:settings xmlns:w="http://schemas.openxmlformats.org/wordprocessingml/2006/main">
  <w:zoom w:percent="100"/>
  <w:displayBackgroundShape/>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uiPriority="0"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UnresolvedMention" w:customStyle="1">
    <w:name w:val="Unresolved Mention"/>
    <w:basedOn w:val="DefaultParagraphFont"/>
    <w:uiPriority w:val="99"/>
    <w:semiHidden/>
    <w:unhideWhenUsed/>
    <w:qFormat/>
    <w:rsid w:val="007a7a52"/>
    <w:rPr>
      <w:color w:val="605E5C"/>
      <w:shd w:fill="E1DFDD" w:val="clear"/>
    </w:rPr>
  </w:style>
  <w:style w:type="character" w:styleId="Nvel2-RedChar" w:customStyle="1">
    <w:name w:val="Nível 2 -Red Char"/>
    <w:link w:val="Nvel2-Red"/>
    <w:qFormat/>
    <w:rsid w:val="00d71aea"/>
    <w:rPr>
      <w:rFonts w:ascii="Arial" w:hAnsi="Arial" w:eastAsia="MS Mincho" w:cs="Arial"/>
      <w:i/>
      <w:iCs/>
      <w:color w:val="FF0000"/>
    </w:rPr>
  </w:style>
  <w:style w:type="character" w:styleId="ouChar" w:customStyle="1">
    <w:name w:val="ou Char"/>
    <w:link w:val="ou"/>
    <w:qFormat/>
    <w:rsid w:val="00d71aea"/>
    <w:rPr>
      <w:rFonts w:ascii="Arial" w:hAnsi="Arial" w:eastAsia="Cambria" w:cs="Arial"/>
      <w:b/>
      <w:bCs/>
      <w:i/>
      <w:iCs/>
      <w:color w:val="FF0000"/>
      <w:sz w:val="24"/>
      <w:szCs w:val="24"/>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overflowPunct w:val="fals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fals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1"/>
    <w:qFormat/>
    <w:rsid w:val="00e95547"/>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6"/>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6"/>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6"/>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Nvel2-Red" w:customStyle="1">
    <w:name w:val="Nível 2 -Red"/>
    <w:basedOn w:val="Nivel2"/>
    <w:link w:val="Nvel2-RedChar"/>
    <w:qFormat/>
    <w:rsid w:val="00d71aea"/>
    <w:pPr>
      <w:numPr>
        <w:ilvl w:val="0"/>
        <w:numId w:val="0"/>
      </w:numPr>
      <w:tabs>
        <w:tab w:val="clear" w:pos="709"/>
        <w:tab w:val="left" w:pos="0" w:leader="none"/>
      </w:tabs>
    </w:pPr>
    <w:rPr>
      <w:i/>
      <w:iCs/>
      <w:color w:val="FF0000"/>
    </w:rPr>
  </w:style>
  <w:style w:type="paragraph" w:styleId="ou" w:customStyle="1">
    <w:name w:val="ou"/>
    <w:basedOn w:val="ListParagraph"/>
    <w:link w:val="ouChar"/>
    <w:qFormat/>
    <w:rsid w:val="00d71aea"/>
    <w:pPr>
      <w:suppressAutoHyphens w:val="false"/>
      <w:spacing w:lineRule="auto" w:line="259" w:before="60" w:after="60"/>
      <w:ind w:left="0"/>
      <w:jc w:val="center"/>
    </w:pPr>
    <w:rPr>
      <w:rFonts w:ascii="Arial" w:hAnsi="Arial" w:eastAsia="Cambria" w:cs="Arial"/>
      <w:b/>
      <w:bCs/>
      <w:i/>
      <w:iCs/>
      <w:color w:val="FF0000"/>
      <w:kern w:val="0"/>
      <w:sz w:val="24"/>
      <w:szCs w:val="24"/>
      <w:u w:val="single"/>
      <w:lang w:eastAsia="pt-BR"/>
    </w:rPr>
  </w:style>
  <w:style w:type="paragraph" w:styleId="textos" w:customStyle="1">
    <w:name w:val="textos"/>
    <w:basedOn w:val="Normal"/>
    <w:qFormat/>
    <w:rsid w:val="00b2786d"/>
    <w:pPr>
      <w:spacing w:lineRule="atLeast" w:line="271" w:before="280" w:after="280"/>
    </w:pPr>
    <w:rPr>
      <w:rFonts w:ascii="Verdana" w:hAnsi="Verdana" w:cs="Verdana"/>
      <w:color w:val="333333"/>
      <w:kern w:val="0"/>
      <w:sz w:val="19"/>
      <w:szCs w:val="19"/>
      <w:lang w:eastAsia="ar-SA"/>
    </w:rPr>
  </w:style>
  <w:style w:type="paragraph" w:styleId="Pa5" w:customStyle="1">
    <w:name w:val="Pa5"/>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4" w:customStyle="1">
    <w:name w:val="Pa4"/>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Contedodatabelauser" w:customStyle="1">
    <w:name w:val="Conteúdo da tabela (user)"/>
    <w:basedOn w:val="Standard"/>
    <w:qFormat/>
    <w:rsid w:val="00e95547"/>
    <w:pPr>
      <w:suppressLineNumbers/>
    </w:pPr>
    <w:rPr>
      <w:rFonts w:ascii="Liberation Serif" w:hAnsi="Liberation Serif" w:eastAsia="SimSun" w:cs="Mangal"/>
      <w:sz w:val="24"/>
      <w:szCs w:val="24"/>
      <w:lang w:bidi="hi-IN"/>
    </w:rPr>
  </w:style>
  <w:style w:type="paragraph" w:styleId="Pa6" w:customStyle="1">
    <w:name w:val="Pa6"/>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Standard1" w:customStyle="1">
    <w:name w:val="Standard1"/>
    <w:qFormat/>
    <w:rsid w:val="00e95547"/>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piracicaba.sp.gov.br/wp-content/uploads/2024/07/Tutorial-Memorial-de-Segurantha-no-Sem-Papel.pdf" TargetMode="External"/><Relationship Id="rId4" Type="http://schemas.openxmlformats.org/officeDocument/2006/relationships/hyperlink" Target="mailto:semacnaa@gmail.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s://bnccompras.com/" TargetMode="External"/><Relationship Id="rId9" Type="http://schemas.openxmlformats.org/officeDocument/2006/relationships/hyperlink" Target="https://bnccompras.co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mailto:notafiscal@piracicaba.sp.gov.br" TargetMode="External"/><Relationship Id="rId13" Type="http://schemas.openxmlformats.org/officeDocument/2006/relationships/hyperlink" Target="mailto:notafiscal@piracicaba.sp.gov.br"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oter" Target="footer3.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Relationship Id="rId24" Type="http://schemas.openxmlformats.org/officeDocument/2006/relationships/customXml" Target="../customXml/item1.xml"/><Relationship Id="rId25" Type="http://schemas.openxmlformats.org/officeDocument/2006/relationships/customXml" Target="../customXml/item2.xml"/><Relationship Id="rId26" Type="http://schemas.openxmlformats.org/officeDocument/2006/relationships/customXml" Target="../customXml/item3.xml"/><Relationship Id="rId27"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60198707-c4ff-4d5d-8bc5-5efdd47f407d"/>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DD643519-7D1B-4D49-8513-A5849EE44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Application>LibreOffice/25.2.4.3$Windows_X86_64 LibreOffice_project/33e196637044ead23f5c3226cde09b47731f7e27</Application>
  <AppVersion>15.0000</AppVersion>
  <Pages>22</Pages>
  <Words>9111</Words>
  <Characters>52932</Characters>
  <CharactersWithSpaces>61678</CharactersWithSpaces>
  <Paragraphs>467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2025-07-08T13:17:00Z</dcterms:created>
  <dc:creator>Thiago Luiz Araujo Santos</dc:creator>
  <dc:description/>
  <dc:language>pt-BR</dc:language>
  <cp:lastModifiedBy/>
  <cp:lastPrinted>2022-08-03T17:48:00Z</cp:lastPrinted>
  <dcterms:modified xsi:type="dcterms:W3CDTF">2025-07-18T11:01:01Z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