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DISPENSA ELETRÔNICA nº  73/2025</w:t>
      </w:r>
      <w:r>
        <w:rPr>
          <w:b/>
          <w:color w:val="auto"/>
          <w:sz w:val="20"/>
          <w:szCs w:val="20"/>
        </w:rPr>
        <w:t xml:space="preserve"> </w:t>
      </w:r>
    </w:p>
    <w:p>
      <w:pPr>
        <w:pStyle w:val="BodyTextIndent"/>
        <w:widowControl w:val="false"/>
        <w:shd w:val="clear" w:color="auto" w:fill="CCCCCC"/>
        <w:spacing w:lineRule="auto" w:line="240"/>
        <w:jc w:val="center"/>
        <w:rPr>
          <w:b/>
          <w:color w:val="auto"/>
          <w:sz w:val="20"/>
          <w:szCs w:val="20"/>
          <w:lang w:val="pt-BR"/>
        </w:rPr>
      </w:pPr>
      <w:r>
        <w:rPr>
          <w:b/>
          <w:color w:val="auto"/>
          <w:sz w:val="20"/>
          <w:szCs w:val="20"/>
          <w:lang w:val="pt-BR"/>
        </w:rPr>
        <w:t>PRORROGAÇÃO</w:t>
      </w:r>
    </w:p>
    <w:p>
      <w:pPr>
        <w:pStyle w:val="BodyTextIndent"/>
        <w:widowControl w:val="false"/>
        <w:spacing w:lineRule="auto" w:line="240"/>
        <w:jc w:val="center"/>
        <w:rPr>
          <w:color w:val="auto"/>
          <w:sz w:val="20"/>
          <w:szCs w:val="20"/>
        </w:rPr>
      </w:pPr>
      <w:r>
        <w:rPr>
          <w:color w:val="auto"/>
          <w:sz w:val="20"/>
          <w:szCs w:val="20"/>
        </w:rPr>
      </w:r>
    </w:p>
    <w:p>
      <w:pPr>
        <w:pStyle w:val="BodyTextIndent"/>
        <w:widowControl w:val="false"/>
        <w:spacing w:lineRule="auto" w:line="240"/>
        <w:jc w:val="center"/>
        <w:rPr>
          <w:b/>
          <w:bCs/>
          <w:color w:val="auto"/>
          <w:sz w:val="20"/>
          <w:szCs w:val="20"/>
          <w:lang w:val="pt-BR"/>
        </w:rPr>
      </w:pPr>
      <w:r>
        <w:rPr>
          <w:b/>
          <w:bCs/>
          <w:color w:val="auto"/>
          <w:sz w:val="20"/>
          <w:szCs w:val="20"/>
          <w:lang w:val="pt-BR"/>
        </w:rPr>
        <w:t>TERMO DE REFERÊNCIA</w:t>
      </w:r>
    </w:p>
    <w:p>
      <w:pPr>
        <w:pStyle w:val="BodyTextIndent"/>
        <w:widowControl w:val="false"/>
        <w:spacing w:lineRule="auto" w:line="240"/>
        <w:jc w:val="center"/>
        <w:rPr>
          <w:color w:val="auto"/>
          <w:sz w:val="20"/>
          <w:szCs w:val="20"/>
        </w:rPr>
      </w:pPr>
      <w:r>
        <w:rPr>
          <w:color w:val="auto"/>
          <w:sz w:val="20"/>
          <w:szCs w:val="20"/>
        </w:rPr>
      </w:r>
    </w:p>
    <w:p>
      <w:pPr>
        <w:pStyle w:val="BodyTextIndent"/>
        <w:widowControl w:val="false"/>
        <w:shd w:val="clear" w:color="auto" w:fill="DDDDDD"/>
        <w:spacing w:lineRule="auto" w:line="240"/>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BodyTextIndent"/>
        <w:widowControl w:val="false"/>
        <w:numPr>
          <w:ilvl w:val="0"/>
          <w:numId w:val="6"/>
        </w:numPr>
        <w:tabs>
          <w:tab w:val="clear" w:pos="709"/>
          <w:tab w:val="left" w:pos="284" w:leader="none"/>
        </w:tabs>
        <w:overflowPunct w:val="true"/>
        <w:spacing w:lineRule="auto" w:line="240"/>
        <w:rPr>
          <w:color w:val="auto"/>
          <w:sz w:val="20"/>
          <w:szCs w:val="20"/>
          <w:lang w:val="pt-BR"/>
        </w:rPr>
      </w:pPr>
      <w:r>
        <w:rPr>
          <w:color w:val="auto"/>
          <w:sz w:val="20"/>
          <w:szCs w:val="20"/>
        </w:rPr>
        <w:t>Número do proces</w:t>
      </w:r>
      <w:r>
        <w:rPr>
          <w:color w:val="auto"/>
          <w:sz w:val="20"/>
          <w:szCs w:val="20"/>
          <w:lang w:val="pt-BR"/>
        </w:rPr>
        <w:t>so</w:t>
      </w:r>
      <w:r>
        <w:rPr>
          <w:b/>
          <w:color w:val="auto"/>
          <w:sz w:val="20"/>
          <w:szCs w:val="20"/>
          <w:lang w:val="pt-BR"/>
        </w:rPr>
        <w:t>: 99379</w:t>
      </w:r>
      <w:r>
        <w:rPr>
          <w:b/>
          <w:bCs/>
          <w:color w:val="auto"/>
          <w:sz w:val="20"/>
          <w:szCs w:val="20"/>
          <w:lang w:val="pt-BR"/>
        </w:rPr>
        <w:t>/2025</w:t>
      </w:r>
      <w:r>
        <w:rPr>
          <w:b/>
          <w:color w:val="auto"/>
          <w:sz w:val="20"/>
          <w:szCs w:val="20"/>
          <w:lang w:val="pt-BR"/>
        </w:rPr>
        <w:t xml:space="preserve"> </w:t>
      </w:r>
    </w:p>
    <w:p>
      <w:pPr>
        <w:pStyle w:val="BodyTextIndent"/>
        <w:widowControl w:val="false"/>
        <w:numPr>
          <w:ilvl w:val="0"/>
          <w:numId w:val="6"/>
        </w:numPr>
        <w:tabs>
          <w:tab w:val="clear" w:pos="709"/>
          <w:tab w:val="left" w:pos="284" w:leader="none"/>
        </w:tabs>
        <w:overflowPunct w:val="true"/>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Pr>
          <w:color w:val="auto"/>
          <w:sz w:val="20"/>
          <w:szCs w:val="20"/>
          <w:lang w:val="pt-BR"/>
        </w:rPr>
        <w:t>13</w:t>
      </w:r>
      <w:r>
        <w:rPr>
          <w:color w:val="auto"/>
          <w:sz w:val="20"/>
          <w:szCs w:val="20"/>
          <w:lang w:val="pt-BR"/>
        </w:rPr>
        <w:t>/08/2025 - 08h</w:t>
      </w:r>
    </w:p>
    <w:p>
      <w:pPr>
        <w:pStyle w:val="BodyTextIndent"/>
        <w:widowControl w:val="false"/>
        <w:numPr>
          <w:ilvl w:val="0"/>
          <w:numId w:val="6"/>
        </w:numPr>
        <w:tabs>
          <w:tab w:val="clear" w:pos="709"/>
          <w:tab w:val="left" w:pos="284" w:leader="none"/>
        </w:tabs>
        <w:overflowPunct w:val="true"/>
        <w:spacing w:lineRule="auto" w:line="240"/>
        <w:rPr>
          <w:color w:val="auto"/>
          <w:sz w:val="20"/>
          <w:szCs w:val="20"/>
        </w:rPr>
      </w:pPr>
      <w:r>
        <w:rPr>
          <w:color w:val="auto"/>
          <w:sz w:val="20"/>
          <w:szCs w:val="20"/>
        </w:rPr>
        <w:t>Data de início de lances:</w:t>
      </w:r>
      <w:r>
        <w:rPr>
          <w:color w:val="auto"/>
          <w:sz w:val="20"/>
          <w:szCs w:val="20"/>
          <w:lang w:val="pt-BR"/>
        </w:rPr>
        <w:t xml:space="preserve"> </w:t>
      </w:r>
      <w:r>
        <w:rPr>
          <w:color w:val="auto"/>
          <w:sz w:val="20"/>
          <w:szCs w:val="20"/>
          <w:lang w:val="pt-BR"/>
        </w:rPr>
        <w:t>13</w:t>
      </w:r>
      <w:r>
        <w:rPr>
          <w:color w:val="auto"/>
          <w:sz w:val="20"/>
          <w:szCs w:val="20"/>
          <w:lang w:val="pt-BR"/>
        </w:rPr>
        <w:t>/08/2025 - 09h</w:t>
      </w:r>
    </w:p>
    <w:p>
      <w:pPr>
        <w:pStyle w:val="BodyTextIndent"/>
        <w:widowControl w:val="false"/>
        <w:numPr>
          <w:ilvl w:val="0"/>
          <w:numId w:val="6"/>
        </w:numPr>
        <w:tabs>
          <w:tab w:val="clear" w:pos="709"/>
          <w:tab w:val="left" w:pos="284" w:leader="none"/>
        </w:tabs>
        <w:overflowPunct w:val="true"/>
        <w:spacing w:lineRule="auto" w:line="240"/>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pPr>
        <w:pStyle w:val="BodyTextIndent"/>
        <w:widowControl w:val="false"/>
        <w:numPr>
          <w:ilvl w:val="0"/>
          <w:numId w:val="6"/>
        </w:numPr>
        <w:tabs>
          <w:tab w:val="clear" w:pos="709"/>
          <w:tab w:val="left" w:pos="284" w:leader="none"/>
        </w:tabs>
        <w:overflowPunct w:val="true"/>
        <w:spacing w:lineRule="auto" w:line="240"/>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rStyle w:val="Style"/>
            <w:color w:val="0000FF"/>
            <w:sz w:val="20"/>
            <w:szCs w:val="20"/>
            <w:u w:val="single"/>
            <w:lang w:val="pt-BR"/>
          </w:rPr>
          <w:t>https://bnccompras.com</w:t>
        </w:r>
      </w:hyperlink>
      <w:r>
        <w:rPr>
          <w:sz w:val="20"/>
          <w:szCs w:val="20"/>
          <w:lang w:val="pt-BR"/>
        </w:rPr>
        <w:t>.</w:t>
      </w:r>
    </w:p>
    <w:p>
      <w:pPr>
        <w:pStyle w:val="BodyTextIndent"/>
        <w:widowControl w:val="false"/>
        <w:tabs>
          <w:tab w:val="clear" w:pos="709"/>
          <w:tab w:val="left" w:pos="284" w:leader="none"/>
        </w:tabs>
        <w:spacing w:lineRule="auto" w:line="240"/>
        <w:rPr>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7"/>
        </w:numPr>
        <w:tabs>
          <w:tab w:val="clear" w:pos="709"/>
          <w:tab w:val="left" w:pos="284" w:leader="none"/>
        </w:tabs>
        <w:jc w:val="both"/>
        <w:rPr>
          <w:rFonts w:ascii="Arial" w:hAnsi="Arial" w:cs="Arial"/>
        </w:rPr>
      </w:pPr>
      <w:r>
        <w:rPr>
          <w:rFonts w:cs="Arial" w:ascii="Arial" w:hAnsi="Arial"/>
        </w:rPr>
        <w:t xml:space="preserve">Objeto: </w:t>
      </w:r>
      <w:r>
        <w:rPr>
          <w:rFonts w:cs="Arial" w:ascii="Arial" w:hAnsi="Arial"/>
          <w:b/>
        </w:rPr>
        <w:t>Prestação de serviços de instalação de concertina no perímetro do muro e portão do imóvel do Arquivo Municipal, com fornecimento de material e mão de obra.</w:t>
      </w:r>
    </w:p>
    <w:p>
      <w:pPr>
        <w:pStyle w:val="Normal"/>
        <w:numPr>
          <w:ilvl w:val="0"/>
          <w:numId w:val="7"/>
        </w:numPr>
        <w:tabs>
          <w:tab w:val="clear" w:pos="709"/>
          <w:tab w:val="left" w:pos="284" w:leader="none"/>
        </w:tabs>
        <w:jc w:val="both"/>
        <w:rPr>
          <w:rFonts w:ascii="Arial" w:hAnsi="Arial" w:cs="Arial"/>
        </w:rPr>
      </w:pPr>
      <w:r>
        <w:rPr>
          <w:rFonts w:cs="Arial" w:ascii="Arial" w:hAnsi="Arial"/>
        </w:rPr>
        <w:t>Unidade Requisitante: ADMGOV/Arquivo Municipal</w:t>
      </w:r>
    </w:p>
    <w:p>
      <w:pPr>
        <w:pStyle w:val="Normal"/>
        <w:numPr>
          <w:ilvl w:val="0"/>
          <w:numId w:val="7"/>
        </w:numPr>
        <w:tabs>
          <w:tab w:val="clear" w:pos="709"/>
          <w:tab w:val="left" w:pos="284" w:leader="none"/>
        </w:tabs>
        <w:jc w:val="both"/>
        <w:rPr>
          <w:rFonts w:ascii="Arial" w:hAnsi="Arial" w:cs="Arial"/>
        </w:rPr>
      </w:pPr>
      <w:r>
        <w:rPr>
          <w:rFonts w:cs="Arial" w:ascii="Arial" w:hAnsi="Arial"/>
        </w:rPr>
        <w:t>Fonte de recursos: Tesouro – Dotação Orçamentária: 04.122.0003.1048.0000 – ADEQUACAO E DESENV. DAS ATIVIDADES DO ARQUIVO MUNICIPAL</w:t>
      </w:r>
    </w:p>
    <w:p>
      <w:pPr>
        <w:pStyle w:val="Normal"/>
        <w:numPr>
          <w:ilvl w:val="0"/>
          <w:numId w:val="7"/>
        </w:numPr>
        <w:tabs>
          <w:tab w:val="clear" w:pos="709"/>
          <w:tab w:val="left" w:pos="284" w:leader="none"/>
        </w:tabs>
        <w:jc w:val="both"/>
        <w:rPr>
          <w:rFonts w:ascii="Arial" w:hAnsi="Arial" w:cs="Arial"/>
          <w:b/>
        </w:rPr>
      </w:pPr>
      <w:r>
        <w:rPr>
          <w:rFonts w:cs="Arial" w:ascii="Arial" w:hAnsi="Arial"/>
        </w:rPr>
        <w:t xml:space="preserve">Valor estimado da contratação: </w:t>
      </w:r>
      <w:r>
        <w:rPr>
          <w:rFonts w:cs="Arial" w:ascii="Arial" w:hAnsi="Arial"/>
          <w:b/>
        </w:rPr>
        <w:t>R$ 1.854,00 (Um mil e oitocentos e cinquenta e quatro reais).</w:t>
      </w:r>
    </w:p>
    <w:p>
      <w:pPr>
        <w:pStyle w:val="Normal"/>
        <w:numPr>
          <w:ilvl w:val="0"/>
          <w:numId w:val="7"/>
        </w:numPr>
        <w:tabs>
          <w:tab w:val="clear" w:pos="709"/>
          <w:tab w:val="left" w:pos="284" w:leader="none"/>
        </w:tabs>
        <w:jc w:val="both"/>
        <w:rPr>
          <w:rFonts w:ascii="Arial" w:hAnsi="Arial" w:cs="Arial"/>
        </w:rPr>
      </w:pPr>
      <w:r>
        <w:rPr>
          <w:rFonts w:cs="Arial" w:ascii="Arial" w:hAnsi="Arial"/>
        </w:rPr>
        <w:t>Prazo de contratação: Até a entrega definitiva do serviço.</w:t>
      </w:r>
    </w:p>
    <w:p>
      <w:pPr>
        <w:pStyle w:val="Normal"/>
        <w:numPr>
          <w:ilvl w:val="0"/>
          <w:numId w:val="7"/>
        </w:numPr>
        <w:tabs>
          <w:tab w:val="clear" w:pos="709"/>
          <w:tab w:val="left" w:pos="284" w:leader="none"/>
        </w:tabs>
        <w:jc w:val="both"/>
        <w:rPr>
          <w:rFonts w:ascii="Arial" w:hAnsi="Arial" w:cs="Arial"/>
        </w:rPr>
      </w:pPr>
      <w:r>
        <w:rPr>
          <w:rFonts w:cs="Arial" w:ascii="Arial" w:hAnsi="Arial"/>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12"/>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6"/>
        </w:numPr>
        <w:tabs>
          <w:tab w:val="clear" w:pos="709"/>
          <w:tab w:val="left" w:pos="284" w:leader="none"/>
        </w:tabs>
        <w:jc w:val="both"/>
        <w:rPr>
          <w:rFonts w:ascii="Arial" w:hAnsi="Arial" w:cs="Arial"/>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6"/>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 xml:space="preserve">Deverá ser especificado na proposta o </w:t>
      </w:r>
      <w:r>
        <w:rPr>
          <w:rFonts w:cs="Arial" w:ascii="Arial" w:hAnsi="Arial"/>
          <w:b/>
          <w:sz w:val="20"/>
          <w:szCs w:val="20"/>
        </w:rPr>
        <w:t xml:space="preserve">preço unitário e total </w:t>
      </w:r>
      <w:r>
        <w:rPr>
          <w:rFonts w:cs="Arial" w:ascii="Arial" w:hAnsi="Arial"/>
          <w:sz w:val="20"/>
          <w:szCs w:val="20"/>
        </w:rPr>
        <w:t>do item</w:t>
      </w:r>
      <w:r>
        <w:rPr>
          <w:rFonts w:cs="Arial" w:ascii="Arial" w:hAnsi="Arial"/>
          <w:b/>
          <w:sz w:val="20"/>
          <w:szCs w:val="20"/>
        </w:rPr>
        <w:t>.</w:t>
      </w:r>
    </w:p>
    <w:p>
      <w:pPr>
        <w:pStyle w:val="ListParagraph"/>
        <w:numPr>
          <w:ilvl w:val="0"/>
          <w:numId w:val="6"/>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Critério de Julgamento: Menor valor por item.</w:t>
      </w:r>
    </w:p>
    <w:p>
      <w:pPr>
        <w:pStyle w:val="Normal"/>
        <w:numPr>
          <w:ilvl w:val="0"/>
          <w:numId w:val="6"/>
        </w:numPr>
        <w:tabs>
          <w:tab w:val="clear" w:pos="709"/>
          <w:tab w:val="left" w:pos="284" w:leader="none"/>
        </w:tabs>
        <w:jc w:val="both"/>
        <w:rPr>
          <w:rFonts w:ascii="Arial" w:hAnsi="Arial" w:eastAsia="Arial" w:cs="Arial"/>
        </w:rPr>
      </w:pPr>
      <w:r>
        <w:rPr>
          <w:rFonts w:cs="Arial" w:ascii="Arial" w:hAnsi="Arial"/>
        </w:rPr>
        <w:t>Especificações e quantidades:</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rPr>
                <w:rFonts w:cs="Arial"/>
                <w:b/>
              </w:rPr>
            </w:pPr>
            <w:r>
              <w:rPr>
                <w:rFonts w:cs="Arial"/>
                <w:b/>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rPr>
                <w:rFonts w:cs="Arial"/>
                <w:b/>
              </w:rPr>
            </w:pPr>
            <w:r>
              <w:rPr>
                <w:rFonts w:cs="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rPr>
                <w:rFonts w:cs="Arial"/>
                <w:b/>
              </w:rPr>
            </w:pPr>
            <w:r>
              <w:rPr>
                <w:rFonts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cs="Arial"/>
              </w:rPr>
            </w:pPr>
            <w:r>
              <w:rPr>
                <w:rFonts w:cs="Arial"/>
                <w:b/>
              </w:rPr>
              <w:t>Descritivo</w:t>
            </w:r>
          </w:p>
        </w:tc>
      </w:tr>
      <w:tr>
        <w:trPr>
          <w:trHeight w:val="612"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ListParagraph"/>
              <w:tabs>
                <w:tab w:val="clear" w:pos="709"/>
                <w:tab w:val="left" w:pos="284" w:leader="none"/>
              </w:tabs>
              <w:spacing w:lineRule="auto" w:line="240" w:before="0" w:after="0"/>
              <w:ind w:left="0"/>
              <w:jc w:val="both"/>
              <w:rPr>
                <w:rFonts w:ascii="Arial" w:hAnsi="Arial" w:cs="Arial"/>
                <w:sz w:val="20"/>
                <w:szCs w:val="20"/>
              </w:rPr>
            </w:pPr>
            <w:r>
              <w:rPr>
                <w:rFonts w:cs="Arial" w:ascii="Arial" w:hAnsi="Arial"/>
                <w:sz w:val="20"/>
                <w:szCs w:val="20"/>
              </w:rPr>
              <w:t>01</w:t>
            </w:r>
          </w:p>
        </w:tc>
        <w:tc>
          <w:tcPr>
            <w:tcW w:w="850" w:type="dxa"/>
            <w:tcBorders>
              <w:top w:val="single" w:sz="4" w:space="0" w:color="000000"/>
              <w:left w:val="single" w:sz="4" w:space="0" w:color="000000"/>
              <w:bottom w:val="single" w:sz="4" w:space="0" w:color="000000"/>
            </w:tcBorders>
            <w:vAlign w:val="center"/>
          </w:tcPr>
          <w:p>
            <w:pPr>
              <w:pStyle w:val="ListParagraph"/>
              <w:tabs>
                <w:tab w:val="clear" w:pos="709"/>
                <w:tab w:val="left" w:pos="284" w:leader="none"/>
              </w:tabs>
              <w:spacing w:lineRule="auto" w:line="240" w:before="0" w:after="0"/>
              <w:ind w:left="0"/>
              <w:jc w:val="both"/>
              <w:rPr>
                <w:rFonts w:ascii="Arial" w:hAnsi="Arial" w:cs="Arial"/>
                <w:sz w:val="20"/>
                <w:szCs w:val="20"/>
              </w:rPr>
            </w:pPr>
            <w:r>
              <w:rPr>
                <w:rFonts w:cs="Arial" w:ascii="Arial" w:hAnsi="Arial"/>
                <w:sz w:val="20"/>
                <w:szCs w:val="20"/>
              </w:rPr>
              <w:t>Serviço</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jc w:val="both"/>
              <w:rPr>
                <w:rFonts w:ascii="Arial" w:hAnsi="Arial" w:cs="Arial"/>
              </w:rPr>
            </w:pPr>
            <w:r>
              <w:rPr>
                <w:rFonts w:cs="Arial" w:ascii="Arial" w:hAnsi="Arial"/>
              </w:rPr>
              <w:t>Instalação de concertina no perímetro do muro e portão do imóvel da Divisão de Arquivo Municipal com fornecimento de material e mão de obra.</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numPr>
          <w:ilvl w:val="0"/>
          <w:numId w:val="6"/>
        </w:numPr>
        <w:tabs>
          <w:tab w:val="clear" w:pos="709"/>
          <w:tab w:val="left" w:pos="284" w:leader="none"/>
        </w:tabs>
        <w:jc w:val="both"/>
        <w:rPr>
          <w:rFonts w:ascii="Arial" w:hAnsi="Arial" w:eastAsia="Arial" w:cs="Arial"/>
          <w:b/>
        </w:rPr>
      </w:pPr>
      <w:r>
        <w:rPr>
          <w:rFonts w:cs="Arial" w:ascii="Arial" w:hAnsi="Arial"/>
          <w:b/>
        </w:rPr>
        <w:t xml:space="preserve">Descritivo técnico: </w:t>
      </w:r>
    </w:p>
    <w:p>
      <w:pPr>
        <w:pStyle w:val="Normal"/>
        <w:tabs>
          <w:tab w:val="clear" w:pos="709"/>
          <w:tab w:val="left" w:pos="284" w:leader="none"/>
        </w:tabs>
        <w:jc w:val="both"/>
        <w:rPr>
          <w:rFonts w:ascii="Arial" w:hAnsi="Arial" w:eastAsia="Arial" w:cs="Arial"/>
        </w:rPr>
      </w:pPr>
      <w:r>
        <w:rPr>
          <w:rFonts w:eastAsia="Arial" w:cs="Arial" w:ascii="Arial" w:hAnsi="Arial"/>
          <w:b/>
        </w:rPr>
        <w:t>1.</w:t>
      </w:r>
      <w:r>
        <w:rPr>
          <w:rFonts w:eastAsia="Arial" w:cs="Arial" w:ascii="Arial" w:hAnsi="Arial"/>
        </w:rPr>
        <w:t xml:space="preserve"> </w:t>
      </w:r>
      <w:r>
        <w:rPr>
          <w:rFonts w:eastAsia="Arial" w:cs="Arial" w:ascii="Arial" w:hAnsi="Arial"/>
          <w:b/>
        </w:rPr>
        <w:t>Tipo:</w:t>
      </w:r>
      <w:r>
        <w:rPr>
          <w:rFonts w:eastAsia="Arial" w:cs="Arial" w:ascii="Arial" w:hAnsi="Arial"/>
        </w:rPr>
        <w:t xml:space="preserve"> concertina espiral clipada (com três grampos por espira para maior resistência e </w:t>
      </w:r>
    </w:p>
    <w:p>
      <w:pPr>
        <w:pStyle w:val="Normal"/>
        <w:tabs>
          <w:tab w:val="clear" w:pos="709"/>
          <w:tab w:val="left" w:pos="284" w:leader="none"/>
        </w:tabs>
        <w:jc w:val="both"/>
        <w:rPr>
          <w:rFonts w:ascii="Arial" w:hAnsi="Arial" w:eastAsia="Arial" w:cs="Arial"/>
        </w:rPr>
      </w:pPr>
      <w:r>
        <w:rPr>
          <w:rFonts w:eastAsia="Arial" w:cs="Arial" w:ascii="Arial" w:hAnsi="Arial"/>
        </w:rPr>
        <w:t>estabilidade);</w:t>
      </w:r>
    </w:p>
    <w:p>
      <w:pPr>
        <w:pStyle w:val="Normal"/>
        <w:tabs>
          <w:tab w:val="clear" w:pos="709"/>
          <w:tab w:val="left" w:pos="284" w:leader="none"/>
        </w:tabs>
        <w:jc w:val="both"/>
        <w:rPr>
          <w:rFonts w:ascii="Arial" w:hAnsi="Arial" w:eastAsia="Arial" w:cs="Arial"/>
        </w:rPr>
      </w:pPr>
      <w:r>
        <w:rPr>
          <w:rFonts w:eastAsia="Arial" w:cs="Arial" w:ascii="Arial" w:hAnsi="Arial"/>
          <w:b/>
        </w:rPr>
        <w:t>2.</w:t>
      </w:r>
      <w:r>
        <w:rPr>
          <w:rFonts w:eastAsia="Arial" w:cs="Arial" w:ascii="Arial" w:hAnsi="Arial"/>
        </w:rPr>
        <w:t xml:space="preserve"> </w:t>
      </w:r>
      <w:r>
        <w:rPr>
          <w:rFonts w:eastAsia="Arial" w:cs="Arial" w:ascii="Arial" w:hAnsi="Arial"/>
          <w:b/>
        </w:rPr>
        <w:t>Material</w:t>
      </w:r>
      <w:r>
        <w:rPr>
          <w:rFonts w:eastAsia="Arial" w:cs="Arial" w:ascii="Arial" w:hAnsi="Arial"/>
        </w:rPr>
        <w:t>: aço galvanizado por imersão a quente (zincagem mínima de 275 g/m²);</w:t>
      </w:r>
    </w:p>
    <w:p>
      <w:pPr>
        <w:pStyle w:val="Normal"/>
        <w:tabs>
          <w:tab w:val="clear" w:pos="709"/>
          <w:tab w:val="left" w:pos="284" w:leader="none"/>
        </w:tabs>
        <w:jc w:val="both"/>
        <w:rPr>
          <w:rFonts w:ascii="Arial" w:hAnsi="Arial" w:eastAsia="Arial" w:cs="Arial"/>
        </w:rPr>
      </w:pPr>
      <w:r>
        <w:rPr>
          <w:rFonts w:eastAsia="Arial" w:cs="Arial" w:ascii="Arial" w:hAnsi="Arial"/>
          <w:b/>
        </w:rPr>
        <w:t>3.</w:t>
      </w:r>
      <w:r>
        <w:rPr>
          <w:rFonts w:eastAsia="Arial" w:cs="Arial" w:ascii="Arial" w:hAnsi="Arial"/>
        </w:rPr>
        <w:t xml:space="preserve"> </w:t>
      </w:r>
      <w:r>
        <w:rPr>
          <w:rFonts w:eastAsia="Arial" w:cs="Arial" w:ascii="Arial" w:hAnsi="Arial"/>
          <w:b/>
        </w:rPr>
        <w:t>Diâmetro da espira:</w:t>
      </w:r>
      <w:r>
        <w:rPr>
          <w:rFonts w:eastAsia="Arial" w:cs="Arial" w:ascii="Arial" w:hAnsi="Arial"/>
        </w:rPr>
        <w:t xml:space="preserve"> 45 cm;</w:t>
      </w:r>
    </w:p>
    <w:p>
      <w:pPr>
        <w:pStyle w:val="Normal"/>
        <w:tabs>
          <w:tab w:val="clear" w:pos="709"/>
          <w:tab w:val="left" w:pos="284" w:leader="none"/>
        </w:tabs>
        <w:jc w:val="both"/>
        <w:rPr>
          <w:rFonts w:ascii="Arial" w:hAnsi="Arial" w:eastAsia="Arial" w:cs="Arial"/>
        </w:rPr>
      </w:pPr>
      <w:r>
        <w:rPr>
          <w:rFonts w:eastAsia="Arial" w:cs="Arial" w:ascii="Arial" w:hAnsi="Arial"/>
          <w:b/>
        </w:rPr>
        <w:t>4.</w:t>
      </w:r>
      <w:r>
        <w:rPr>
          <w:rFonts w:eastAsia="Arial" w:cs="Arial" w:ascii="Arial" w:hAnsi="Arial"/>
        </w:rPr>
        <w:t xml:space="preserve"> </w:t>
      </w:r>
      <w:r>
        <w:rPr>
          <w:rFonts w:eastAsia="Arial" w:cs="Arial" w:ascii="Arial" w:hAnsi="Arial"/>
          <w:b/>
        </w:rPr>
        <w:t>Comprimento linear estimado:</w:t>
      </w:r>
      <w:r>
        <w:rPr>
          <w:rFonts w:eastAsia="Arial" w:cs="Arial" w:ascii="Arial" w:hAnsi="Arial"/>
        </w:rPr>
        <w:t xml:space="preserve"> 80 metros;</w:t>
      </w:r>
    </w:p>
    <w:p>
      <w:pPr>
        <w:pStyle w:val="Normal"/>
        <w:tabs>
          <w:tab w:val="clear" w:pos="709"/>
          <w:tab w:val="left" w:pos="284" w:leader="none"/>
        </w:tabs>
        <w:jc w:val="both"/>
        <w:rPr>
          <w:rFonts w:ascii="Arial" w:hAnsi="Arial" w:eastAsia="Arial" w:cs="Arial"/>
        </w:rPr>
      </w:pPr>
      <w:r>
        <w:rPr>
          <w:rFonts w:eastAsia="Arial" w:cs="Arial" w:ascii="Arial" w:hAnsi="Arial"/>
          <w:b/>
        </w:rPr>
        <w:t>5.</w:t>
      </w:r>
      <w:r>
        <w:rPr>
          <w:rFonts w:eastAsia="Arial" w:cs="Arial" w:ascii="Arial" w:hAnsi="Arial"/>
        </w:rPr>
        <w:t xml:space="preserve"> </w:t>
      </w:r>
      <w:r>
        <w:rPr>
          <w:rFonts w:eastAsia="Arial" w:cs="Arial" w:ascii="Arial" w:hAnsi="Arial"/>
          <w:b/>
        </w:rPr>
        <w:t>Abertura entre espiras:</w:t>
      </w:r>
      <w:r>
        <w:rPr>
          <w:rFonts w:eastAsia="Arial" w:cs="Arial" w:ascii="Arial" w:hAnsi="Arial"/>
        </w:rPr>
        <w:t xml:space="preserve"> de 22 a 25 cm (padrão para clipada 45 cm);</w:t>
      </w:r>
    </w:p>
    <w:p>
      <w:pPr>
        <w:pStyle w:val="Normal"/>
        <w:tabs>
          <w:tab w:val="clear" w:pos="709"/>
          <w:tab w:val="left" w:pos="284" w:leader="none"/>
        </w:tabs>
        <w:jc w:val="both"/>
        <w:rPr>
          <w:rFonts w:ascii="Arial" w:hAnsi="Arial" w:eastAsia="Arial" w:cs="Arial"/>
        </w:rPr>
      </w:pPr>
      <w:r>
        <w:rPr>
          <w:rFonts w:eastAsia="Arial" w:cs="Arial" w:ascii="Arial" w:hAnsi="Arial"/>
          <w:b/>
        </w:rPr>
        <w:t>6.</w:t>
      </w:r>
      <w:r>
        <w:rPr>
          <w:rFonts w:eastAsia="Arial" w:cs="Arial" w:ascii="Arial" w:hAnsi="Arial"/>
        </w:rPr>
        <w:t xml:space="preserve"> </w:t>
      </w:r>
      <w:r>
        <w:rPr>
          <w:rFonts w:eastAsia="Arial" w:cs="Arial" w:ascii="Arial" w:hAnsi="Arial"/>
          <w:b/>
        </w:rPr>
        <w:t>Número de espiras por metro</w:t>
      </w:r>
      <w:r>
        <w:rPr>
          <w:rFonts w:eastAsia="Arial" w:cs="Arial" w:ascii="Arial" w:hAnsi="Arial"/>
        </w:rPr>
        <w:t>: mínimo de 33 espiras/metro;</w:t>
      </w:r>
    </w:p>
    <w:p>
      <w:pPr>
        <w:pStyle w:val="Normal"/>
        <w:tabs>
          <w:tab w:val="clear" w:pos="709"/>
          <w:tab w:val="left" w:pos="284" w:leader="none"/>
        </w:tabs>
        <w:jc w:val="both"/>
        <w:rPr>
          <w:rFonts w:ascii="Arial" w:hAnsi="Arial" w:eastAsia="Arial" w:cs="Arial"/>
        </w:rPr>
      </w:pPr>
      <w:r>
        <w:rPr>
          <w:rFonts w:eastAsia="Arial" w:cs="Arial" w:ascii="Arial" w:hAnsi="Arial"/>
          <w:b/>
        </w:rPr>
        <w:t>7.</w:t>
      </w:r>
      <w:r>
        <w:rPr>
          <w:rFonts w:eastAsia="Arial" w:cs="Arial" w:ascii="Arial" w:hAnsi="Arial"/>
        </w:rPr>
        <w:t xml:space="preserve"> </w:t>
      </w:r>
      <w:r>
        <w:rPr>
          <w:rFonts w:eastAsia="Arial" w:cs="Arial" w:ascii="Arial" w:hAnsi="Arial"/>
          <w:b/>
        </w:rPr>
        <w:t>Fio central:</w:t>
      </w:r>
      <w:r>
        <w:rPr>
          <w:rFonts w:eastAsia="Arial" w:cs="Arial" w:ascii="Arial" w:hAnsi="Arial"/>
        </w:rPr>
        <w:t xml:space="preserve"> arame de aço com bitola mínima de 2,77 mm;</w:t>
      </w:r>
    </w:p>
    <w:p>
      <w:pPr>
        <w:pStyle w:val="Normal"/>
        <w:tabs>
          <w:tab w:val="clear" w:pos="709"/>
          <w:tab w:val="left" w:pos="284" w:leader="none"/>
        </w:tabs>
        <w:jc w:val="both"/>
        <w:rPr>
          <w:rFonts w:ascii="Arial" w:hAnsi="Arial" w:eastAsia="Arial" w:cs="Arial"/>
        </w:rPr>
      </w:pPr>
      <w:r>
        <w:rPr>
          <w:rFonts w:eastAsia="Arial" w:cs="Arial" w:ascii="Arial" w:hAnsi="Arial"/>
          <w:b/>
        </w:rPr>
        <w:t>8.</w:t>
      </w:r>
      <w:r>
        <w:rPr>
          <w:rFonts w:eastAsia="Arial" w:cs="Arial" w:ascii="Arial" w:hAnsi="Arial"/>
        </w:rPr>
        <w:t xml:space="preserve"> </w:t>
      </w:r>
      <w:r>
        <w:rPr>
          <w:rFonts w:eastAsia="Arial" w:cs="Arial" w:ascii="Arial" w:hAnsi="Arial"/>
          <w:b/>
        </w:rPr>
        <w:t>Lâminas:</w:t>
      </w:r>
      <w:r>
        <w:rPr>
          <w:rFonts w:eastAsia="Arial" w:cs="Arial" w:ascii="Arial" w:hAnsi="Arial"/>
        </w:rPr>
        <w:t xml:space="preserve"> chapa de aço galvanizado com espessura mínima de 0,5 mm, modelo tipo “NATO” ou similar (alta capacidade de corte e perfuração);</w:t>
      </w:r>
    </w:p>
    <w:p>
      <w:pPr>
        <w:pStyle w:val="Normal"/>
        <w:tabs>
          <w:tab w:val="clear" w:pos="709"/>
          <w:tab w:val="left" w:pos="284" w:leader="none"/>
        </w:tabs>
        <w:jc w:val="both"/>
        <w:rPr>
          <w:rFonts w:ascii="Arial" w:hAnsi="Arial" w:cs="Arial"/>
        </w:rPr>
      </w:pPr>
      <w:r>
        <w:rPr>
          <w:rFonts w:cs="Arial" w:ascii="Arial" w:hAnsi="Arial"/>
          <w:b/>
        </w:rPr>
        <w:t>9.</w:t>
      </w:r>
      <w:r>
        <w:rPr>
          <w:rFonts w:cs="Arial" w:ascii="Arial" w:hAnsi="Arial"/>
        </w:rPr>
        <w:t xml:space="preserve"> </w:t>
      </w:r>
      <w:r>
        <w:rPr>
          <w:rFonts w:cs="Arial" w:ascii="Arial" w:hAnsi="Arial"/>
          <w:b/>
        </w:rPr>
        <w:t>Fixação:</w:t>
      </w:r>
      <w:r>
        <w:rPr>
          <w:rFonts w:cs="Arial" w:ascii="Arial" w:hAnsi="Arial"/>
        </w:rPr>
        <w:t xml:space="preserve"> grampeada com clipes galvanizados, mínimo de três grampos por espira, e instalada com suportes adequados ao tipo de superfície (muros e portões);</w:t>
      </w:r>
    </w:p>
    <w:p>
      <w:pPr>
        <w:pStyle w:val="Normal"/>
        <w:tabs>
          <w:tab w:val="clear" w:pos="709"/>
          <w:tab w:val="left" w:pos="284" w:leader="none"/>
        </w:tabs>
        <w:jc w:val="both"/>
        <w:rPr>
          <w:rFonts w:ascii="Arial" w:hAnsi="Arial" w:cs="Arial"/>
        </w:rPr>
      </w:pPr>
      <w:r>
        <w:rPr>
          <w:rFonts w:cs="Arial" w:ascii="Arial" w:hAnsi="Arial"/>
          <w:b/>
        </w:rPr>
        <w:t>10.</w:t>
      </w:r>
      <w:r>
        <w:rPr>
          <w:rFonts w:cs="Arial" w:ascii="Arial" w:hAnsi="Arial"/>
        </w:rPr>
        <w:t xml:space="preserve"> </w:t>
      </w:r>
      <w:r>
        <w:rPr>
          <w:rFonts w:cs="Arial" w:ascii="Arial" w:hAnsi="Arial"/>
          <w:b/>
        </w:rPr>
        <w:t>Suportes e fixadores:</w:t>
      </w:r>
      <w:r>
        <w:rPr>
          <w:rFonts w:cs="Arial" w:ascii="Arial" w:hAnsi="Arial"/>
        </w:rPr>
        <w:t xml:space="preserve"> Incluídos e adequados ao material do muro e portão;</w:t>
      </w:r>
    </w:p>
    <w:p>
      <w:pPr>
        <w:pStyle w:val="Normal"/>
        <w:tabs>
          <w:tab w:val="clear" w:pos="709"/>
          <w:tab w:val="left" w:pos="284" w:leader="none"/>
        </w:tabs>
        <w:jc w:val="both"/>
        <w:rPr>
          <w:rFonts w:ascii="Arial" w:hAnsi="Arial" w:cs="Arial"/>
        </w:rPr>
      </w:pPr>
      <w:r>
        <w:rPr>
          <w:rFonts w:cs="Arial" w:ascii="Arial" w:hAnsi="Arial"/>
          <w:b/>
        </w:rPr>
        <w:t>11.</w:t>
      </w:r>
      <w:r>
        <w:rPr>
          <w:rFonts w:cs="Arial" w:ascii="Arial" w:hAnsi="Arial"/>
        </w:rPr>
        <w:t xml:space="preserve"> </w:t>
      </w:r>
      <w:r>
        <w:rPr>
          <w:rFonts w:cs="Arial" w:ascii="Arial" w:hAnsi="Arial"/>
          <w:b/>
        </w:rPr>
        <w:t>Acabamento:</w:t>
      </w:r>
      <w:r>
        <w:rPr>
          <w:rFonts w:cs="Arial" w:ascii="Arial" w:hAnsi="Arial"/>
        </w:rPr>
        <w:t xml:space="preserve"> sem rebarbas ou pontas soltas. As emendas devem ser sobrepostas e travadas com os mesmos clipes.</w:t>
        <w:br/>
      </w:r>
    </w:p>
    <w:p>
      <w:pPr>
        <w:pStyle w:val="Normal"/>
        <w:shd w:val="clear" w:color="auto" w:fill="CCCCCC"/>
        <w:ind w:firstLine="567"/>
        <w:jc w:val="both"/>
        <w:rPr>
          <w:rFonts w:ascii="Arial" w:hAnsi="Arial" w:cs="Arial"/>
        </w:rPr>
      </w:pPr>
      <w:r>
        <w:rPr>
          <w:rFonts w:cs="Arial" w:ascii="Arial" w:hAnsi="Arial"/>
          <w:b/>
          <w:bCs/>
        </w:rPr>
        <w:t>4. DA EXECUÇÃO DOS SERVIÇOS:</w:t>
      </w:r>
    </w:p>
    <w:p>
      <w:pPr>
        <w:pStyle w:val="Normal"/>
        <w:tabs>
          <w:tab w:val="clear" w:pos="709"/>
          <w:tab w:val="left" w:pos="284" w:leader="none"/>
        </w:tabs>
        <w:jc w:val="both"/>
        <w:rPr>
          <w:rFonts w:ascii="Arial" w:hAnsi="Arial" w:cs="Arial"/>
          <w:lang w:eastAsia="pt-BR"/>
        </w:rPr>
      </w:pPr>
      <w:r>
        <w:rPr>
          <w:rFonts w:cs="Arial" w:ascii="Arial" w:hAnsi="Arial"/>
          <w:b/>
          <w:lang w:eastAsia="pt-BR"/>
        </w:rPr>
        <w:t>a)</w:t>
      </w:r>
      <w:r>
        <w:rPr>
          <w:rFonts w:cs="Arial" w:ascii="Arial" w:hAnsi="Arial"/>
          <w:lang w:eastAsia="pt-BR"/>
        </w:rPr>
        <w:t xml:space="preserve"> Prazo de execução dos serviços: até o máximo de 10 (dez) dias, a contar da data da Ordem de Serviço a ser emitida pela Unidade Requisitante.</w:t>
      </w:r>
    </w:p>
    <w:p>
      <w:pPr>
        <w:pStyle w:val="Normal"/>
        <w:tabs>
          <w:tab w:val="clear" w:pos="709"/>
          <w:tab w:val="left" w:pos="284" w:leader="none"/>
        </w:tabs>
        <w:jc w:val="both"/>
        <w:rPr>
          <w:rFonts w:ascii="Arial" w:hAnsi="Arial" w:cs="Arial"/>
          <w:lang w:eastAsia="pt-BR"/>
        </w:rPr>
      </w:pPr>
      <w:r>
        <w:rPr>
          <w:rFonts w:cs="Arial" w:ascii="Arial" w:hAnsi="Arial"/>
          <w:b/>
          <w:lang w:eastAsia="pt-BR"/>
        </w:rPr>
        <w:t>b)</w:t>
      </w:r>
      <w:r>
        <w:rPr>
          <w:rFonts w:cs="Arial" w:ascii="Arial" w:hAnsi="Arial"/>
          <w:lang w:eastAsia="pt-BR"/>
        </w:rPr>
        <w:t xml:space="preserve"> A contratada deverá realizar a instalação no local e será responsável por:</w:t>
      </w:r>
    </w:p>
    <w:p>
      <w:pPr>
        <w:pStyle w:val="Normal"/>
        <w:tabs>
          <w:tab w:val="clear" w:pos="709"/>
          <w:tab w:val="left" w:pos="284" w:leader="none"/>
        </w:tabs>
        <w:jc w:val="both"/>
        <w:rPr>
          <w:rFonts w:ascii="Arial" w:hAnsi="Arial" w:cs="Arial"/>
          <w:lang w:eastAsia="pt-BR"/>
        </w:rPr>
      </w:pPr>
      <w:r>
        <w:rPr>
          <w:rFonts w:cs="Arial" w:ascii="Arial" w:hAnsi="Arial"/>
          <w:b/>
          <w:lang w:eastAsia="pt-BR"/>
        </w:rPr>
        <w:t>I</w:t>
      </w:r>
      <w:r>
        <w:rPr>
          <w:rFonts w:cs="Arial" w:ascii="Arial" w:hAnsi="Arial"/>
          <w:lang w:eastAsia="pt-BR"/>
        </w:rPr>
        <w:t>. Fornecimento de todo o material necessário à instalação (concertina, suportes, buchas, parafusos, clipes, hastes metálicas, etc.);</w:t>
      </w:r>
    </w:p>
    <w:p>
      <w:pPr>
        <w:pStyle w:val="Normal"/>
        <w:tabs>
          <w:tab w:val="clear" w:pos="709"/>
          <w:tab w:val="left" w:pos="284" w:leader="none"/>
        </w:tabs>
        <w:jc w:val="both"/>
        <w:rPr>
          <w:rFonts w:ascii="Arial" w:hAnsi="Arial" w:cs="Arial"/>
          <w:lang w:eastAsia="pt-BR"/>
        </w:rPr>
      </w:pPr>
      <w:r>
        <w:rPr>
          <w:rFonts w:cs="Arial" w:ascii="Arial" w:hAnsi="Arial"/>
          <w:b/>
          <w:lang w:eastAsia="pt-BR"/>
        </w:rPr>
        <w:t>II</w:t>
      </w:r>
      <w:r>
        <w:rPr>
          <w:rFonts w:cs="Arial" w:ascii="Arial" w:hAnsi="Arial"/>
          <w:lang w:eastAsia="pt-BR"/>
        </w:rPr>
        <w:t>. Instalação completa da concertina por equipe treinada e com uso obrigatório de Equipamentos de Proteção Individual (EPI);</w:t>
      </w:r>
    </w:p>
    <w:p>
      <w:pPr>
        <w:pStyle w:val="Normal"/>
        <w:tabs>
          <w:tab w:val="clear" w:pos="709"/>
          <w:tab w:val="left" w:pos="284" w:leader="none"/>
        </w:tabs>
        <w:jc w:val="both"/>
        <w:rPr>
          <w:rFonts w:ascii="Arial" w:hAnsi="Arial" w:cs="Arial"/>
          <w:lang w:eastAsia="pt-BR"/>
        </w:rPr>
      </w:pPr>
      <w:r>
        <w:rPr>
          <w:rFonts w:cs="Arial" w:ascii="Arial" w:hAnsi="Arial"/>
          <w:b/>
          <w:lang w:eastAsia="pt-BR"/>
        </w:rPr>
        <w:t>III</w:t>
      </w:r>
      <w:r>
        <w:rPr>
          <w:rFonts w:cs="Arial" w:ascii="Arial" w:hAnsi="Arial"/>
          <w:lang w:eastAsia="pt-BR"/>
        </w:rPr>
        <w:t>. Limpeza e remoção dos resíduos ao final dos serviços;</w:t>
      </w:r>
    </w:p>
    <w:p>
      <w:pPr>
        <w:pStyle w:val="Normal"/>
        <w:tabs>
          <w:tab w:val="clear" w:pos="709"/>
          <w:tab w:val="left" w:pos="284" w:leader="none"/>
        </w:tabs>
        <w:jc w:val="both"/>
        <w:rPr>
          <w:rFonts w:ascii="Arial" w:hAnsi="Arial" w:cs="Arial"/>
          <w:lang w:eastAsia="pt-BR"/>
        </w:rPr>
      </w:pPr>
      <w:r>
        <w:rPr>
          <w:rFonts w:cs="Arial" w:ascii="Arial" w:hAnsi="Arial"/>
          <w:b/>
          <w:lang w:eastAsia="pt-BR"/>
        </w:rPr>
        <w:t>IV</w:t>
      </w:r>
      <w:r>
        <w:rPr>
          <w:rFonts w:cs="Arial" w:ascii="Arial" w:hAnsi="Arial"/>
          <w:lang w:eastAsia="pt-BR"/>
        </w:rPr>
        <w:t>. Correta ancoragem e tensionamento da concertina para evitar deslizamentos e aumentar a durabilidade.</w:t>
      </w:r>
    </w:p>
    <w:p>
      <w:pPr>
        <w:pStyle w:val="Normal"/>
        <w:tabs>
          <w:tab w:val="clear" w:pos="709"/>
          <w:tab w:val="left" w:pos="284" w:leader="none"/>
        </w:tabs>
        <w:jc w:val="both"/>
        <w:rPr>
          <w:rFonts w:ascii="Arial" w:hAnsi="Arial" w:cs="Arial"/>
          <w:lang w:eastAsia="pt-BR"/>
        </w:rPr>
      </w:pPr>
      <w:r>
        <w:rPr>
          <w:rFonts w:cs="Arial" w:ascii="Arial" w:hAnsi="Arial"/>
          <w:b/>
          <w:lang w:eastAsia="pt-BR"/>
        </w:rPr>
        <w:t>c)</w:t>
      </w:r>
      <w:r>
        <w:rPr>
          <w:rFonts w:cs="Arial" w:ascii="Arial" w:hAnsi="Arial"/>
          <w:lang w:eastAsia="pt-BR"/>
        </w:rPr>
        <w:t xml:space="preserve"> Local e horário para execução dos serviços: Divisão de Arquivo Municipal</w:t>
      </w:r>
    </w:p>
    <w:p>
      <w:pPr>
        <w:pStyle w:val="Normal"/>
        <w:tabs>
          <w:tab w:val="clear" w:pos="709"/>
          <w:tab w:val="left" w:pos="284" w:leader="none"/>
        </w:tabs>
        <w:jc w:val="both"/>
        <w:rPr>
          <w:rFonts w:ascii="Arial" w:hAnsi="Arial" w:cs="Arial"/>
          <w:lang w:eastAsia="pt-BR"/>
        </w:rPr>
      </w:pPr>
      <w:r>
        <w:rPr>
          <w:rFonts w:cs="Arial" w:ascii="Arial" w:hAnsi="Arial"/>
          <w:lang w:eastAsia="pt-BR"/>
        </w:rPr>
        <w:t xml:space="preserve">    </w:t>
      </w:r>
      <w:r>
        <w:rPr>
          <w:rFonts w:cs="Arial" w:ascii="Arial" w:hAnsi="Arial"/>
          <w:lang w:eastAsia="pt-BR"/>
        </w:rPr>
        <w:t>Rua Antônio Correa Barbosa, nº 721 – Bairro: Centro – Piracicaba - SP</w:t>
      </w:r>
    </w:p>
    <w:p>
      <w:pPr>
        <w:pStyle w:val="Normal"/>
        <w:tabs>
          <w:tab w:val="clear" w:pos="709"/>
          <w:tab w:val="left" w:pos="284" w:leader="none"/>
        </w:tabs>
        <w:jc w:val="both"/>
        <w:rPr>
          <w:rFonts w:ascii="Arial" w:hAnsi="Arial" w:cs="Arial"/>
          <w:lang w:eastAsia="pt-BR"/>
        </w:rPr>
      </w:pPr>
      <w:r>
        <w:rPr>
          <w:rFonts w:cs="Arial" w:ascii="Arial" w:hAnsi="Arial"/>
          <w:lang w:eastAsia="pt-BR"/>
        </w:rPr>
        <w:t xml:space="preserve">    </w:t>
      </w:r>
      <w:r>
        <w:rPr>
          <w:rFonts w:cs="Arial" w:ascii="Arial" w:hAnsi="Arial"/>
          <w:lang w:eastAsia="pt-BR"/>
        </w:rPr>
        <w:t>De segunda a sexta-feira</w:t>
      </w:r>
    </w:p>
    <w:p>
      <w:pPr>
        <w:pStyle w:val="Normal"/>
        <w:tabs>
          <w:tab w:val="clear" w:pos="709"/>
          <w:tab w:val="left" w:pos="284" w:leader="none"/>
        </w:tabs>
        <w:jc w:val="both"/>
        <w:rPr>
          <w:rFonts w:ascii="Arial" w:hAnsi="Arial" w:cs="Arial"/>
          <w:lang w:eastAsia="pt-BR"/>
        </w:rPr>
      </w:pPr>
      <w:r>
        <w:rPr>
          <w:rFonts w:cs="Arial" w:ascii="Arial" w:hAnsi="Arial"/>
          <w:lang w:eastAsia="pt-BR"/>
        </w:rPr>
        <w:t xml:space="preserve">    </w:t>
      </w:r>
      <w:r>
        <w:rPr>
          <w:rFonts w:cs="Arial" w:ascii="Arial" w:hAnsi="Arial"/>
          <w:lang w:eastAsia="pt-BR"/>
        </w:rPr>
        <w:t>Das 08h30 às 16h30.</w:t>
      </w:r>
    </w:p>
    <w:p>
      <w:pPr>
        <w:pStyle w:val="Normal"/>
        <w:tabs>
          <w:tab w:val="clear" w:pos="709"/>
          <w:tab w:val="left" w:pos="284" w:leader="none"/>
        </w:tabs>
        <w:jc w:val="both"/>
        <w:rPr>
          <w:rFonts w:ascii="Arial" w:hAnsi="Arial" w:cs="Arial"/>
          <w:lang w:eastAsia="pt-BR"/>
        </w:rPr>
      </w:pPr>
      <w:r>
        <w:rPr>
          <w:rFonts w:cs="Arial" w:ascii="Arial" w:hAnsi="Arial"/>
          <w:b/>
          <w:lang w:eastAsia="pt-BR"/>
        </w:rPr>
        <w:t>d)</w:t>
      </w:r>
      <w:r>
        <w:rPr>
          <w:rFonts w:cs="Arial" w:ascii="Arial" w:hAnsi="Arial"/>
          <w:lang w:eastAsia="pt-BR"/>
        </w:rPr>
        <w:t xml:space="preserve"> Visando assegurar a plena execução do Contrato a CONTRATADA deverá apresentar ao Serviço Especializado em Engenharia de Segurança e em Medicina do Trabalho (SESMT) na Rua da Freguesia, 165 – Jardim Monumento – Piracicaba – SP a documentação solicitada no Memorial de Segurança, anexo ao Edital, para avaliação, parecer e enquadramento aos Programas de Segurança.</w:t>
      </w:r>
    </w:p>
    <w:p>
      <w:pPr>
        <w:pStyle w:val="Normal"/>
        <w:tabs>
          <w:tab w:val="clear" w:pos="709"/>
          <w:tab w:val="left" w:pos="284" w:leader="none"/>
        </w:tabs>
        <w:jc w:val="both"/>
        <w:rPr>
          <w:rFonts w:ascii="Arial" w:hAnsi="Arial" w:cs="Arial"/>
          <w:lang w:eastAsia="pt-BR"/>
        </w:rPr>
      </w:pPr>
      <w:r>
        <w:rPr>
          <w:rFonts w:cs="Arial" w:ascii="Arial" w:hAnsi="Arial"/>
          <w:b/>
          <w:lang w:eastAsia="pt-BR"/>
        </w:rPr>
        <w:t>e)</w:t>
      </w:r>
      <w:r>
        <w:rPr>
          <w:rFonts w:cs="Arial" w:ascii="Arial" w:hAnsi="Arial"/>
          <w:lang w:eastAsia="pt-BR"/>
        </w:rPr>
        <w:t xml:space="preserve"> A partir da emissão do Recibo de Conformidade pelo SESMT-PMP atestando que a CONTRATADA cumpre as normas de Saúde Ocupacional, Meio Ambiente e Segurança do Trabalho (SMS) e após a emissão da Ordem de Serviço pela Unidade Requisitante, a empresa estará autorizada a iniciar o serviço objeto do Edital.</w:t>
      </w:r>
    </w:p>
    <w:p>
      <w:pPr>
        <w:pStyle w:val="Normal"/>
        <w:tabs>
          <w:tab w:val="clear" w:pos="709"/>
          <w:tab w:val="left" w:pos="284" w:leader="none"/>
        </w:tabs>
        <w:jc w:val="both"/>
        <w:rPr>
          <w:rFonts w:ascii="Arial" w:hAnsi="Arial" w:cs="Arial"/>
          <w:lang w:eastAsia="pt-BR"/>
        </w:rPr>
      </w:pPr>
      <w:r>
        <w:rPr>
          <w:rFonts w:cs="Arial" w:ascii="Arial" w:hAnsi="Arial"/>
          <w:b/>
          <w:lang w:eastAsia="pt-BR"/>
        </w:rPr>
        <w:t>f)</w:t>
      </w:r>
      <w:r>
        <w:rPr>
          <w:rFonts w:cs="Arial" w:ascii="Arial" w:hAnsi="Arial"/>
          <w:lang w:eastAsia="pt-BR"/>
        </w:rPr>
        <w:t xml:space="preserve"> A empresa contratada deverá agendar data para a realização dos serviços pelo telefone (19) 3432-6612 para fins de fiscalização da equipe técnica responsável por esta solicitação.</w:t>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Normal"/>
        <w:shd w:val="clear" w:color="auto" w:fill="DDDDDD"/>
        <w:ind w:firstLine="567"/>
        <w:jc w:val="both"/>
        <w:rPr>
          <w:rFonts w:ascii="Arial" w:hAnsi="Arial" w:cs="Arial"/>
        </w:rPr>
      </w:pPr>
      <w:r>
        <w:rPr>
          <w:rFonts w:cs="Arial" w:ascii="Arial" w:hAnsi="Arial"/>
          <w:b/>
          <w:bCs/>
        </w:rPr>
        <w:t>5. DA GARANTIA:</w:t>
      </w:r>
    </w:p>
    <w:p>
      <w:pPr>
        <w:pStyle w:val="Normal"/>
        <w:tabs>
          <w:tab w:val="clear" w:pos="709"/>
          <w:tab w:val="left" w:pos="284" w:leader="none"/>
        </w:tabs>
        <w:jc w:val="both"/>
        <w:rPr>
          <w:rFonts w:ascii="Arial" w:hAnsi="Arial" w:cs="Arial"/>
          <w:lang w:eastAsia="pt-BR"/>
        </w:rPr>
      </w:pPr>
      <w:r>
        <w:rPr>
          <w:rFonts w:cs="Arial" w:ascii="Arial" w:hAnsi="Arial"/>
          <w:b/>
          <w:lang w:eastAsia="pt-BR"/>
        </w:rPr>
        <w:t>a)</w:t>
      </w:r>
      <w:r>
        <w:rPr>
          <w:rFonts w:cs="Arial" w:ascii="Arial" w:hAnsi="Arial"/>
          <w:lang w:eastAsia="pt-BR"/>
        </w:rPr>
        <w:t xml:space="preserve"> A garantia dos serviços deverá ser de, no mínimo, 12 (doze) meses contra defeitos de fabricação e falhas na instalação, contados da data de execução.</w:t>
      </w:r>
    </w:p>
    <w:p>
      <w:pPr>
        <w:pStyle w:val="Normal"/>
        <w:tabs>
          <w:tab w:val="clear" w:pos="709"/>
          <w:tab w:val="left" w:pos="284" w:leader="none"/>
        </w:tabs>
        <w:jc w:val="both"/>
        <w:rPr>
          <w:rFonts w:ascii="Arial" w:hAnsi="Arial" w:cs="Arial"/>
          <w:lang w:eastAsia="pt-BR"/>
        </w:rPr>
      </w:pPr>
      <w:r>
        <w:rPr>
          <w:rFonts w:cs="Arial" w:ascii="Arial" w:hAnsi="Arial"/>
          <w:b/>
          <w:lang w:eastAsia="pt-BR"/>
        </w:rPr>
        <w:t>b)</w:t>
      </w:r>
      <w:r>
        <w:rPr>
          <w:rFonts w:cs="Arial" w:ascii="Arial" w:hAnsi="Arial"/>
          <w:lang w:eastAsia="pt-BR"/>
        </w:rPr>
        <w:t xml:space="preserve"> Durante a vigência da garantia, a Contratada deverá realizar, sem nenhum ônus adicional, substituição de produtos com defeitos de fabricação ou com falhas na instalação.</w:t>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Normal"/>
        <w:shd w:val="clear" w:color="auto" w:fill="DDDDDD"/>
        <w:ind w:firstLine="567"/>
        <w:jc w:val="both"/>
        <w:rPr>
          <w:rFonts w:ascii="Arial" w:hAnsi="Arial" w:cs="Arial"/>
        </w:rPr>
      </w:pPr>
      <w:r>
        <w:rPr>
          <w:rFonts w:cs="Arial" w:ascii="Arial" w:hAnsi="Arial"/>
          <w:b/>
          <w:bCs/>
        </w:rPr>
        <w:t>6. DA SUBCONTRATAÇÃO:</w:t>
      </w:r>
    </w:p>
    <w:p>
      <w:pPr>
        <w:pStyle w:val="Normal"/>
        <w:tabs>
          <w:tab w:val="clear" w:pos="709"/>
          <w:tab w:val="left" w:pos="284" w:leader="none"/>
        </w:tabs>
        <w:jc w:val="both"/>
        <w:rPr>
          <w:rFonts w:ascii="Arial" w:hAnsi="Arial" w:cs="Arial"/>
          <w:lang w:eastAsia="pt-BR"/>
        </w:rPr>
      </w:pPr>
      <w:r>
        <w:rPr>
          <w:rFonts w:cs="Arial" w:ascii="Arial" w:hAnsi="Arial"/>
          <w:b/>
          <w:lang w:eastAsia="pt-BR"/>
        </w:rPr>
        <w:t>a)</w:t>
      </w:r>
      <w:r>
        <w:rPr>
          <w:rFonts w:cs="Arial" w:ascii="Arial" w:hAnsi="Arial"/>
          <w:lang w:eastAsia="pt-BR"/>
        </w:rPr>
        <w:t xml:space="preserve"> Não é admitida a subcontratação do objeto contratual.</w:t>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Normal"/>
        <w:shd w:val="clear" w:color="auto" w:fill="DDDDDD"/>
        <w:ind w:firstLine="567"/>
        <w:jc w:val="both"/>
        <w:rPr>
          <w:rFonts w:ascii="Arial" w:hAnsi="Arial" w:cs="Arial"/>
        </w:rPr>
      </w:pPr>
      <w:r>
        <w:rPr>
          <w:rFonts w:cs="Arial" w:ascii="Arial" w:hAnsi="Arial"/>
          <w:b/>
          <w:bCs/>
        </w:rPr>
        <w:t>7. DO FORNECIMENTO DE INFORMAÇÕES:</w:t>
      </w:r>
    </w:p>
    <w:p>
      <w:pPr>
        <w:pStyle w:val="Normal"/>
        <w:numPr>
          <w:ilvl w:val="0"/>
          <w:numId w:val="8"/>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Style"/>
            <w:rFonts w:cs="Arial" w:ascii="Arial" w:hAnsi="Arial"/>
            <w:color w:val="0000FF"/>
            <w:u w:val="single"/>
          </w:rPr>
          <w:t>https://bnccompras.com</w:t>
        </w:r>
      </w:hyperlink>
      <w:r>
        <w:rPr>
          <w:rFonts w:cs="Arial" w:ascii="Arial" w:hAnsi="Arial"/>
        </w:rPr>
        <w:t>.</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8"/>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8.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 Débitos com a Fazenda Municipal de débito, relativa à sede ou do domicílio do licitante, com relação aos tributos mobiliários (ISS);</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w:t>
      </w:r>
      <w:r>
        <w:rPr>
          <w:rFonts w:cs="Arial" w:ascii="Arial" w:hAnsi="Arial"/>
          <w:shd w:fill="auto" w:val="clear"/>
        </w:rPr>
        <w:t xml:space="preserve"> ICMS;</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9"/>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09. ANEXO</w:t>
      </w:r>
    </w:p>
    <w:p>
      <w:pPr>
        <w:pStyle w:val="Normal"/>
        <w:tabs>
          <w:tab w:val="clear" w:pos="709"/>
          <w:tab w:val="left" w:pos="284" w:leader="none"/>
          <w:tab w:val="left" w:pos="567" w:leader="none"/>
        </w:tabs>
        <w:jc w:val="both"/>
        <w:rPr/>
      </w:pPr>
      <w:r>
        <w:rPr>
          <w:rFonts w:ascii="Arial" w:hAnsi="Arial"/>
          <w:b/>
          <w:bCs/>
        </w:rPr>
        <w:t>a)</w:t>
      </w:r>
      <w:r>
        <w:rPr>
          <w:rFonts w:ascii="Arial" w:hAnsi="Arial"/>
        </w:rPr>
        <w:t xml:space="preserve"> Anexo MEMORIAL DE SEGURANÇA.</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rPr>
        <w:t xml:space="preserve">Piracicaba, </w:t>
      </w:r>
      <w:r>
        <w:rPr>
          <w:rFonts w:cs="Arial" w:ascii="Arial" w:hAnsi="Arial"/>
        </w:rPr>
        <w:t>07</w:t>
      </w:r>
      <w:r>
        <w:rPr>
          <w:rFonts w:cs="Arial" w:ascii="Arial" w:hAnsi="Arial"/>
        </w:rPr>
        <w:t xml:space="preserve"> de </w:t>
      </w:r>
      <w:r>
        <w:rPr>
          <w:rFonts w:cs="Arial" w:ascii="Arial" w:hAnsi="Arial"/>
        </w:rPr>
        <w:t>agosto</w:t>
      </w:r>
      <w:r>
        <w:rPr>
          <w:rFonts w:cs="Arial" w:ascii="Arial" w:hAnsi="Arial"/>
        </w:rPr>
        <w:t xml:space="preserve"> de 2025.</w:t>
      </w:r>
    </w:p>
    <w:p>
      <w:pPr>
        <w:pStyle w:val="Normal"/>
        <w:rPr>
          <w:rFonts w:ascii="Arial" w:hAnsi="Arial" w:cs="Arial"/>
        </w:rPr>
      </w:pPr>
      <w:r>
        <w:rPr>
          <w:rFonts w:cs="Arial" w:ascii="Arial" w:hAnsi="Arial"/>
        </w:rPr>
      </w:r>
    </w:p>
    <w:p>
      <w:pPr>
        <w:pStyle w:val="Normal"/>
        <w:jc w:val="center"/>
        <w:rPr/>
      </w:pPr>
      <w:r>
        <w:rPr>
          <w:rFonts w:cs="Arial" w:ascii="Arial" w:hAnsi="Arial"/>
          <w:b/>
        </w:rPr>
        <w:t>Larissa Palomo Monferdini</w:t>
      </w:r>
    </w:p>
    <w:p>
      <w:pPr>
        <w:pStyle w:val="Normal"/>
        <w:jc w:val="center"/>
        <w:rPr>
          <w:rFonts w:ascii="Arial" w:hAnsi="Arial" w:cs="Arial"/>
          <w:b/>
        </w:rPr>
      </w:pPr>
      <w:r>
        <w:rPr>
          <w:rFonts w:cs="Arial" w:ascii="Arial" w:hAnsi="Arial"/>
          <w:b/>
        </w:rPr>
        <w:t>Chefe de Setor</w:t>
      </w:r>
      <w:r>
        <w:br w:type="page"/>
      </w:r>
    </w:p>
    <w:p>
      <w:pPr>
        <w:pStyle w:val="Heading2"/>
        <w:numPr>
          <w:ilvl w:val="1"/>
          <w:numId w:val="4"/>
        </w:numPr>
        <w:spacing w:before="0" w:after="0"/>
        <w:ind w:hanging="0" w:left="0"/>
        <w:rPr/>
      </w:pPr>
      <w:r>
        <w:rPr/>
        <w:t>REGULAMENTO GERAL</w:t>
      </w:r>
    </w:p>
    <w:p>
      <w:pPr>
        <w:pStyle w:val="Heading2"/>
        <w:numPr>
          <w:ilvl w:val="0"/>
          <w:numId w:val="0"/>
        </w:numPr>
        <w:tabs>
          <w:tab w:val="clear" w:pos="709"/>
          <w:tab w:val="left" w:pos="708" w:leader="none"/>
          <w:tab w:val="left" w:pos="851" w:leader="none"/>
        </w:tabs>
        <w:ind w:hanging="0" w:left="0"/>
        <w:rPr>
          <w:b w:val="false"/>
        </w:rPr>
      </w:pPr>
      <w:r>
        <w:rPr>
          <w:b w:val="false"/>
          <w:lang w:val="pt-BR"/>
        </w:rPr>
        <w:t>DISPENSA ELETRÔNICA</w:t>
      </w:r>
    </w:p>
    <w:p>
      <w:pPr>
        <w:pStyle w:val="Heading2"/>
        <w:numPr>
          <w:ilvl w:val="0"/>
          <w:numId w:val="4"/>
        </w:numPr>
        <w:tabs>
          <w:tab w:val="clear" w:pos="709"/>
          <w:tab w:val="left" w:pos="708" w:leader="none"/>
          <w:tab w:val="left" w:pos="851" w:leader="none"/>
        </w:tabs>
        <w:ind w:hanging="0" w:left="432"/>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4"/>
        </w:numPr>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4"/>
        </w:numPr>
        <w:ind w:firstLine="284" w:left="0" w:right="-1"/>
        <w:jc w:val="both"/>
        <w:rPr>
          <w:rFonts w:ascii="Arial" w:hAnsi="Arial" w:cs="Arial"/>
        </w:rPr>
      </w:pPr>
      <w:r>
        <w:rPr>
          <w:rFonts w:cs="Arial" w:ascii="Arial" w:hAnsi="Arial"/>
        </w:rPr>
      </w:r>
    </w:p>
    <w:p>
      <w:pPr>
        <w:pStyle w:val="Heading3"/>
        <w:numPr>
          <w:ilvl w:val="2"/>
          <w:numId w:val="4"/>
        </w:numPr>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Heading9"/>
        <w:numPr>
          <w:ilvl w:val="8"/>
          <w:numId w:val="4"/>
        </w:numPr>
        <w:ind w:firstLine="284" w:left="0" w:right="-1"/>
        <w:rPr>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4"/>
        </w:numPr>
        <w:ind w:firstLine="284" w:left="0" w:right="-1"/>
        <w:jc w:val="both"/>
        <w:rPr>
          <w:rFonts w:ascii="Arial" w:hAnsi="Arial" w:cs="Arial"/>
        </w:rPr>
      </w:pPr>
      <w:r>
        <w:rPr>
          <w:rFonts w:cs="Arial" w:ascii="Arial" w:hAnsi="Arial"/>
        </w:rPr>
      </w:r>
    </w:p>
    <w:p>
      <w:pPr>
        <w:pStyle w:val="Standard"/>
        <w:numPr>
          <w:ilvl w:val="0"/>
          <w:numId w:val="4"/>
        </w:numPr>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4"/>
        </w:numPr>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4"/>
        </w:numPr>
        <w:ind w:firstLine="284" w:left="0" w:right="-1"/>
        <w:jc w:val="both"/>
        <w:rPr>
          <w:rFonts w:ascii="Arial" w:hAnsi="Arial" w:cs="Arial"/>
        </w:rPr>
      </w:pPr>
      <w:r>
        <w:rPr>
          <w:rFonts w:cs="Arial" w:ascii="Arial" w:hAnsi="Arial"/>
        </w:rPr>
      </w:r>
    </w:p>
    <w:p>
      <w:pPr>
        <w:pStyle w:val="Heading1"/>
        <w:numPr>
          <w:ilvl w:val="0"/>
          <w:numId w:val="4"/>
        </w:numPr>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4"/>
        </w:numPr>
        <w:ind w:firstLine="284" w:left="0" w:right="-1"/>
        <w:jc w:val="both"/>
        <w:rPr>
          <w:rFonts w:ascii="Arial" w:hAnsi="Arial" w:cs="Arial"/>
          <w:b/>
          <w:bCs/>
        </w:rPr>
      </w:pPr>
      <w:r>
        <w:rPr>
          <w:rFonts w:cs="Arial" w:ascii="Arial" w:hAnsi="Arial"/>
          <w:b/>
          <w:bCs/>
        </w:rPr>
      </w:r>
    </w:p>
    <w:p>
      <w:pPr>
        <w:pStyle w:val="Normal"/>
        <w:numPr>
          <w:ilvl w:val="0"/>
          <w:numId w:val="4"/>
        </w:numPr>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4"/>
        </w:numPr>
        <w:ind w:firstLine="284" w:left="0" w:right="-1"/>
        <w:jc w:val="both"/>
        <w:rPr>
          <w:rFonts w:ascii="Arial" w:hAnsi="Arial" w:cs="Arial"/>
          <w:b/>
          <w:bCs/>
        </w:rPr>
      </w:pPr>
      <w:r>
        <w:rPr>
          <w:rFonts w:cs="Arial" w:ascii="Arial" w:hAnsi="Arial"/>
          <w:b/>
          <w:bCs/>
        </w:rPr>
      </w:r>
    </w:p>
    <w:p>
      <w:pPr>
        <w:pStyle w:val="Normal"/>
        <w:numPr>
          <w:ilvl w:val="0"/>
          <w:numId w:val="4"/>
        </w:numPr>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4"/>
        </w:numPr>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4"/>
        </w:numPr>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4"/>
        </w:numPr>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4"/>
        </w:numPr>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rPr>
          <w:t>notafiscal@piracicaba.sp.gov.br</w:t>
        </w:r>
      </w:hyperlink>
      <w:r>
        <w:rPr>
          <w:rStyle w:val="Hyperlink"/>
          <w:rFonts w:cs="Arial" w:ascii="Arial" w:hAnsi="Arial"/>
        </w:rPr>
        <w:t>.</w:t>
      </w:r>
    </w:p>
    <w:p>
      <w:pPr>
        <w:pStyle w:val="Normal"/>
        <w:ind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numPr>
          <w:ilvl w:val="0"/>
          <w:numId w:val="4"/>
        </w:numPr>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0" w:name="_Hlk114652595"/>
      <w:bookmarkStart w:id="1" w:name="_Ref114668085"/>
      <w:r>
        <w:rPr>
          <w:rFonts w:cs="Arial" w:ascii="Arial" w:hAnsi="Arial"/>
        </w:rPr>
        <w:t>Deixar de entregar a documentação exigida para o certame ou não entregar qualquer documento que tenha sido solicitado pelo/a pregoeiro/a durante o certame;</w:t>
      </w:r>
      <w:bookmarkEnd w:id="1"/>
    </w:p>
    <w:p>
      <w:pPr>
        <w:pStyle w:val="Normal"/>
        <w:numPr>
          <w:ilvl w:val="0"/>
          <w:numId w:val="4"/>
        </w:numPr>
        <w:ind w:firstLine="284" w:left="0" w:right="-1"/>
        <w:jc w:val="both"/>
        <w:rPr>
          <w:rFonts w:ascii="Arial" w:hAnsi="Arial" w:cs="Arial"/>
        </w:rPr>
      </w:pPr>
      <w:r>
        <w:rPr>
          <w:rFonts w:cs="Arial" w:ascii="Arial" w:hAnsi="Arial"/>
        </w:rPr>
      </w:r>
      <w:bookmarkStart w:id="2" w:name="_Ref114668108"/>
      <w:bookmarkStart w:id="3"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3"/>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numPr>
          <w:ilvl w:val="0"/>
          <w:numId w:val="4"/>
        </w:numPr>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numPr>
          <w:ilvl w:val="0"/>
          <w:numId w:val="4"/>
        </w:numPr>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4"/>
        </w:numPr>
        <w:ind w:firstLine="284" w:left="0" w:right="-1"/>
        <w:jc w:val="both"/>
        <w:rPr>
          <w:rFonts w:ascii="Arial" w:hAnsi="Arial" w:cs="Arial"/>
        </w:rPr>
      </w:pPr>
      <w:r>
        <w:rPr>
          <w:rFonts w:cs="Arial" w:ascii="Arial" w:hAnsi="Arial"/>
        </w:rPr>
      </w:r>
      <w:bookmarkStart w:id="4" w:name="_Ref114668139"/>
      <w:bookmarkStart w:id="5"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5"/>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numPr>
          <w:ilvl w:val="0"/>
          <w:numId w:val="4"/>
        </w:numPr>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4"/>
        </w:numPr>
        <w:ind w:firstLine="284" w:left="0" w:right="-1"/>
        <w:jc w:val="both"/>
        <w:rPr>
          <w:rFonts w:ascii="Arial" w:hAnsi="Arial" w:cs="Arial"/>
        </w:rPr>
      </w:pPr>
      <w:r>
        <w:rPr>
          <w:rFonts w:cs="Arial" w:ascii="Arial" w:hAnsi="Arial"/>
        </w:rPr>
      </w:r>
      <w:bookmarkStart w:id="6" w:name="_Ref114668249"/>
      <w:bookmarkStart w:id="7" w:name="_Ref114668249"/>
    </w:p>
    <w:p>
      <w:pPr>
        <w:pStyle w:val="Normal"/>
        <w:numPr>
          <w:ilvl w:val="0"/>
          <w:numId w:val="4"/>
        </w:numPr>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7"/>
    </w:p>
    <w:p>
      <w:pPr>
        <w:pStyle w:val="Normal"/>
        <w:numPr>
          <w:ilvl w:val="0"/>
          <w:numId w:val="4"/>
        </w:numPr>
        <w:ind w:firstLine="284" w:left="0" w:right="-1"/>
        <w:jc w:val="both"/>
        <w:rPr>
          <w:rFonts w:ascii="Arial" w:hAnsi="Arial" w:cs="Arial"/>
        </w:rPr>
      </w:pPr>
      <w:r>
        <w:rPr>
          <w:rFonts w:cs="Arial" w:ascii="Arial" w:hAnsi="Arial"/>
        </w:rPr>
      </w:r>
      <w:bookmarkStart w:id="8" w:name="_Ref114668245"/>
      <w:bookmarkStart w:id="9" w:name="_Ref114668245"/>
    </w:p>
    <w:p>
      <w:pPr>
        <w:pStyle w:val="Normal"/>
        <w:numPr>
          <w:ilvl w:val="0"/>
          <w:numId w:val="4"/>
        </w:numPr>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9"/>
      <w:r>
        <w:rPr>
          <w:rFonts w:cs="Arial" w:ascii="Arial" w:hAnsi="Arial"/>
        </w:rPr>
        <w:t>;</w:t>
      </w:r>
    </w:p>
    <w:p>
      <w:pPr>
        <w:pStyle w:val="Normal"/>
        <w:numPr>
          <w:ilvl w:val="0"/>
          <w:numId w:val="4"/>
        </w:numPr>
        <w:ind w:firstLine="284" w:left="0" w:right="-1"/>
        <w:jc w:val="both"/>
        <w:rPr>
          <w:rFonts w:ascii="Arial" w:hAnsi="Arial" w:cs="Arial"/>
        </w:rPr>
      </w:pPr>
      <w:r>
        <w:rPr>
          <w:rFonts w:cs="Arial" w:ascii="Arial" w:hAnsi="Arial"/>
        </w:rPr>
      </w:r>
      <w:bookmarkStart w:id="10" w:name="_Ref114668247"/>
      <w:bookmarkStart w:id="11" w:name="_Ref114668247"/>
    </w:p>
    <w:p>
      <w:pPr>
        <w:pStyle w:val="Normal"/>
        <w:numPr>
          <w:ilvl w:val="0"/>
          <w:numId w:val="4"/>
        </w:numPr>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1"/>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numPr>
          <w:ilvl w:val="0"/>
          <w:numId w:val="4"/>
        </w:numPr>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4"/>
        </w:numPr>
        <w:ind w:firstLine="284" w:left="0" w:right="-1"/>
        <w:jc w:val="both"/>
        <w:rPr>
          <w:rFonts w:ascii="Arial" w:hAnsi="Arial" w:cs="Arial"/>
        </w:rPr>
      </w:pPr>
      <w:r>
        <w:rPr>
          <w:rFonts w:cs="Arial" w:ascii="Arial" w:hAnsi="Arial"/>
        </w:rPr>
      </w:r>
      <w:bookmarkStart w:id="12" w:name="_Ref114668251"/>
      <w:bookmarkStart w:id="13" w:name="_Ref114668251"/>
    </w:p>
    <w:p>
      <w:pPr>
        <w:pStyle w:val="Normal"/>
        <w:numPr>
          <w:ilvl w:val="0"/>
          <w:numId w:val="4"/>
        </w:numPr>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3"/>
      <w:r>
        <w:rPr>
          <w:rFonts w:cs="Arial" w:ascii="Arial" w:hAnsi="Arial"/>
        </w:rPr>
        <w:t>;</w:t>
      </w:r>
    </w:p>
    <w:p>
      <w:pPr>
        <w:pStyle w:val="Normal"/>
        <w:numPr>
          <w:ilvl w:val="0"/>
          <w:numId w:val="4"/>
        </w:numPr>
        <w:ind w:firstLine="284" w:left="0" w:right="-1"/>
        <w:jc w:val="both"/>
        <w:rPr>
          <w:rFonts w:ascii="Arial" w:hAnsi="Arial" w:cs="Arial"/>
        </w:rPr>
      </w:pPr>
      <w:r>
        <w:rPr>
          <w:rFonts w:cs="Arial" w:ascii="Arial" w:hAnsi="Arial"/>
        </w:rPr>
      </w:r>
      <w:bookmarkStart w:id="14" w:name="_Ref114668252"/>
      <w:bookmarkStart w:id="15" w:name="_Ref114668252"/>
    </w:p>
    <w:p>
      <w:pPr>
        <w:pStyle w:val="Normal"/>
        <w:numPr>
          <w:ilvl w:val="0"/>
          <w:numId w:val="4"/>
        </w:numPr>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0"/>
      <w:bookmarkEnd w:id="15"/>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numPr>
          <w:ilvl w:val="0"/>
          <w:numId w:val="4"/>
        </w:numPr>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4"/>
        </w:numPr>
        <w:ind w:firstLine="284" w:left="0" w:right="-1"/>
        <w:jc w:val="both"/>
        <w:rPr>
          <w:rFonts w:ascii="Arial" w:hAnsi="Arial" w:cs="Arial"/>
          <w:b/>
        </w:rPr>
      </w:pPr>
      <w:r>
        <w:rPr>
          <w:rFonts w:cs="Arial" w:ascii="Arial" w:hAnsi="Arial"/>
          <w:b/>
        </w:rPr>
      </w:r>
    </w:p>
    <w:p>
      <w:pPr>
        <w:pStyle w:val="Normal"/>
        <w:numPr>
          <w:ilvl w:val="0"/>
          <w:numId w:val="4"/>
        </w:numPr>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4"/>
        </w:numPr>
        <w:ind w:firstLine="284" w:left="0" w:right="-1"/>
        <w:jc w:val="both"/>
        <w:rPr>
          <w:rFonts w:ascii="Arial" w:hAnsi="Arial" w:cs="Arial"/>
        </w:rPr>
      </w:pPr>
      <w:r>
        <w:rPr>
          <w:rFonts w:cs="Arial" w:ascii="Arial" w:hAnsi="Arial"/>
        </w:rPr>
      </w:r>
    </w:p>
    <w:p>
      <w:pPr>
        <w:pStyle w:val="Heading1"/>
        <w:numPr>
          <w:ilvl w:val="0"/>
          <w:numId w:val="0"/>
        </w:numPr>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4"/>
        </w:numPr>
        <w:ind w:firstLine="284" w:left="0" w:right="-1"/>
        <w:jc w:val="both"/>
        <w:rPr>
          <w:rFonts w:ascii="Arial" w:hAnsi="Arial" w:cs="Arial"/>
          <w:b/>
          <w:bCs/>
        </w:rPr>
      </w:pPr>
      <w:r>
        <w:rPr>
          <w:rFonts w:cs="Arial" w:ascii="Arial" w:hAnsi="Arial"/>
          <w:b/>
          <w:bCs/>
        </w:rPr>
      </w:r>
    </w:p>
    <w:p>
      <w:pPr>
        <w:pStyle w:val="Normal"/>
        <w:numPr>
          <w:ilvl w:val="0"/>
          <w:numId w:val="4"/>
        </w:numPr>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4"/>
        </w:numPr>
        <w:ind w:firstLine="284" w:left="0"/>
        <w:jc w:val="both"/>
        <w:rPr>
          <w:rFonts w:ascii="Arial" w:hAnsi="Arial" w:cs="Arial"/>
        </w:rPr>
      </w:pPr>
      <w:r>
        <w:rPr>
          <w:rFonts w:cs="Arial" w:ascii="Arial" w:hAnsi="Arial"/>
        </w:rPr>
      </w:r>
      <w:r>
        <w:br w:type="page"/>
      </w:r>
    </w:p>
    <w:p>
      <w:pPr>
        <w:pStyle w:val="BodyTextIndent"/>
        <w:widowControl w:val="fals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5"/>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5"/>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5"/>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5"/>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5"/>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5"/>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5"/>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spacing w:lineRule="auto" w:line="240"/>
        <w:rPr>
          <w:color w:val="auto"/>
          <w:sz w:val="20"/>
          <w:szCs w:val="20"/>
        </w:rPr>
      </w:pPr>
      <w:r>
        <w:rPr>
          <w:color w:val="auto"/>
          <w:sz w:val="20"/>
          <w:szCs w:val="20"/>
        </w:rPr>
      </w:r>
    </w:p>
    <w:p>
      <w:pPr>
        <w:pStyle w:val="BodyTextIndent"/>
        <w:widowControl w:val="false"/>
        <w:spacing w:lineRule="auto" w:line="240"/>
        <w:rPr>
          <w:color w:val="auto"/>
          <w:sz w:val="20"/>
          <w:szCs w:val="20"/>
        </w:rPr>
      </w:pPr>
      <w:r>
        <w:rPr>
          <w:color w:val="auto"/>
          <w:sz w:val="20"/>
          <w:szCs w:val="20"/>
        </w:rPr>
      </w:r>
    </w:p>
    <w:p>
      <w:pPr>
        <w:pStyle w:val="BodyTextIndent"/>
        <w:widowControl w:val="false"/>
        <w:spacing w:lineRule="auto" w:line="240"/>
        <w:rPr>
          <w:color w:val="auto"/>
          <w:sz w:val="20"/>
          <w:szCs w:val="20"/>
        </w:rPr>
      </w:pPr>
      <w:r>
        <w:rPr>
          <w:color w:val="auto"/>
          <w:sz w:val="20"/>
          <w:szCs w:val="20"/>
        </w:rPr>
      </w:r>
    </w:p>
    <w:p>
      <w:pPr>
        <w:pStyle w:val="BodyTextIndent"/>
        <w:widowControl w:val="false"/>
        <w:spacing w:lineRule="auto" w:line="240"/>
        <w:rPr>
          <w:color w:val="auto"/>
          <w:sz w:val="20"/>
          <w:szCs w:val="20"/>
        </w:rPr>
      </w:pPr>
      <w:r>
        <w:rPr>
          <w:color w:val="auto"/>
          <w:sz w:val="20"/>
          <w:szCs w:val="20"/>
        </w:rPr>
      </w:r>
    </w:p>
    <w:p>
      <w:pPr>
        <w:pStyle w:val="BodyTextIndent"/>
        <w:widowControl w:val="false"/>
        <w:spacing w:lineRule="auto" w:line="240"/>
        <w:rPr>
          <w:color w:val="auto"/>
          <w:sz w:val="20"/>
          <w:szCs w:val="20"/>
        </w:rPr>
      </w:pPr>
      <w:r>
        <w:rPr>
          <w:color w:val="auto"/>
          <w:sz w:val="20"/>
          <w:szCs w:val="20"/>
        </w:rPr>
      </w:r>
    </w:p>
    <w:p>
      <w:pPr>
        <w:pStyle w:val="BodyTextIndent"/>
        <w:widowControl w:val="fals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8"/>
        <w:gridCol w:w="845"/>
        <w:gridCol w:w="852"/>
        <w:gridCol w:w="4533"/>
        <w:gridCol w:w="1416"/>
        <w:gridCol w:w="1700"/>
      </w:tblGrid>
      <w:tr>
        <w:trPr>
          <w:trHeight w:val="283" w:hRule="atLeast"/>
        </w:trPr>
        <w:tc>
          <w:tcPr>
            <w:tcW w:w="568"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rPr>
                <w:rFonts w:cs="Arial"/>
                <w:b/>
              </w:rPr>
            </w:pPr>
            <w:r>
              <w:rPr>
                <w:rFonts w:cs="Arial"/>
                <w:b/>
              </w:rPr>
              <w:t>Item</w:t>
            </w:r>
          </w:p>
        </w:tc>
        <w:tc>
          <w:tcPr>
            <w:tcW w:w="845"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rPr>
                <w:rFonts w:cs="Arial"/>
                <w:b/>
              </w:rPr>
            </w:pPr>
            <w:r>
              <w:rPr>
                <w:rFonts w:cs="Arial"/>
                <w:b/>
              </w:rPr>
              <w:t>Quant.</w:t>
            </w:r>
          </w:p>
        </w:tc>
        <w:tc>
          <w:tcPr>
            <w:tcW w:w="85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rPr>
                <w:rFonts w:cs="Arial"/>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rPr>
                <w:rFonts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rPr>
                <w:rFonts w:cs="Arial"/>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rPr>
                <w:rFonts w:cs="Arial"/>
                <w:b/>
              </w:rPr>
            </w:pPr>
            <w:r>
              <w:rPr>
                <w:rFonts w:cs="Arial"/>
                <w:b/>
              </w:rPr>
              <w:t>Valor Total</w:t>
            </w:r>
          </w:p>
        </w:tc>
      </w:tr>
      <w:tr>
        <w:trPr>
          <w:trHeight w:val="283" w:hRule="atLeast"/>
        </w:trPr>
        <w:tc>
          <w:tcPr>
            <w:tcW w:w="568"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8"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rFonts w:ascii="Arial" w:hAnsi="Arial" w:cs="Arial"/>
        </w:rPr>
      </w:pPr>
      <w:r>
        <w:rPr>
          <w:rFonts w:cs="Arial" w:ascii="Arial" w:hAnsi="Arial"/>
        </w:rPr>
      </w:r>
    </w:p>
    <w:p>
      <w:pPr>
        <w:pStyle w:val="Normal"/>
        <w:rPr/>
      </w:pPr>
      <w:r>
        <w:rPr/>
      </w:r>
    </w:p>
    <w:p>
      <w:pPr>
        <w:pStyle w:val="Normal"/>
        <w:rPr/>
      </w:pPr>
      <w:r>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851" w:gutter="0" w:header="283" w:top="1418" w:footer="284" w:bottom="567"/>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 xml:space="preserve">Dispensa Eletrônica nº 73/2025 </w:t>
    </w:r>
    <w:r>
      <w:rPr>
        <w:rFonts w:cs="Arial" w:ascii="Arial" w:hAnsi="Arial"/>
        <w:color w:val="000000"/>
        <w:sz w:val="16"/>
      </w:rPr>
      <w:t>PR</w:t>
    </w:r>
    <w:r>
      <w:rPr>
        <w:rFonts w:cs="Arial" w:ascii="Arial" w:hAnsi="Arial"/>
        <w:color w:val="000000"/>
        <w:sz w:val="16"/>
      </w:rPr>
      <w:t xml:space="preserve">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299835" cy="618490"/>
          <wp:effectExtent l="0" t="0" r="0" b="0"/>
          <wp:docPr id="5" name="Imagem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9" descr=""/>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 xml:space="preserve">Dispensa Eletrônica nº 73/2025 </w:t>
    </w:r>
    <w:r>
      <w:rPr>
        <w:rFonts w:cs="Arial" w:ascii="Arial" w:hAnsi="Arial"/>
        <w:color w:val="000000"/>
        <w:sz w:val="16"/>
      </w:rPr>
      <w:t>PR</w:t>
    </w:r>
    <w:r>
      <w:rPr>
        <w:rFonts w:cs="Arial" w:ascii="Arial" w:hAnsi="Arial"/>
        <w:color w:val="000000"/>
        <w:sz w:val="16"/>
      </w:rPr>
      <w:t xml:space="preserve">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299835" cy="618490"/>
          <wp:effectExtent l="0" t="0" r="0" b="0"/>
          <wp:docPr id="6" name="Imagem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9" descr=""/>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13">
          <wp:simplePos x="0" y="0"/>
          <wp:positionH relativeFrom="column">
            <wp:posOffset>-41910</wp:posOffset>
          </wp:positionH>
          <wp:positionV relativeFrom="paragraph">
            <wp:posOffset>-172720</wp:posOffset>
          </wp:positionV>
          <wp:extent cx="1770380" cy="989965"/>
          <wp:effectExtent l="0" t="0" r="0" b="0"/>
          <wp:wrapTopAndBottom/>
          <wp:docPr id="1" name="Imagem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09855" simplePos="0" locked="0" layoutInCell="0" allowOverlap="1" relativeHeight="48"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5.85pt;margin-top:6.75pt;width:367.7pt;height:70.45pt;mso-wrap-style:square;v-text-anchor:top;mso-position-horizontal-relative:margin;mso-position-vertical-relative:page" wp14:anchorId="28004848">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13">
          <wp:simplePos x="0" y="0"/>
          <wp:positionH relativeFrom="column">
            <wp:posOffset>-41910</wp:posOffset>
          </wp:positionH>
          <wp:positionV relativeFrom="paragraph">
            <wp:posOffset>-172720</wp:posOffset>
          </wp:positionV>
          <wp:extent cx="1770380" cy="989965"/>
          <wp:effectExtent l="0" t="0" r="0" b="0"/>
          <wp:wrapTopAndBottom/>
          <wp:docPr id="3" name="Imagem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8"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09855" simplePos="0" locked="0" layoutInCell="0" allowOverlap="1" relativeHeight="48"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5.85pt;margin-top:6.75pt;width:367.7pt;height:70.45pt;mso-wrap-style:square;v-text-anchor:top;mso-position-horizontal-relative:margin;mso-position-vertical-relative:page" wp14:anchorId="28004848">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6"/>
    <w:lvlOverride w:ilvl="0">
      <w:startOverride w:val="1"/>
    </w:lvlOverride>
  </w:num>
</w:numbering>
</file>

<file path=word/settings.xml><?xml version="1.0" encoding="utf-8"?>
<w:settings xmlns:w="http://schemas.openxmlformats.org/wordprocessingml/2006/main">
  <w:zoom w:percent="120"/>
  <w:displayBackgroundShape/>
  <w:defaultTabStop w:val="709"/>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user" w:customStyle="1">
    <w:name w:val="Símbolos de numeração (user)"/>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customStyle="1">
    <w:name w:val="Título (user)"/>
    <w:basedOn w:val="Normal"/>
    <w:next w:val="BodyText"/>
    <w:qFormat/>
    <w:pPr>
      <w:keepNext w:val="true"/>
      <w:spacing w:before="240" w:after="120"/>
    </w:pPr>
    <w:rPr>
      <w:rFonts w:ascii="Liberation Sans" w:hAnsi="Liberation Sans" w:eastAsia="Microsoft YaHei" w:cs="Arial Unicode MS"/>
      <w:sz w:val="28"/>
      <w:szCs w:val="28"/>
    </w:rPr>
  </w:style>
  <w:style w:type="paragraph" w:styleId="ndiceuser" w:customStyle="1">
    <w:name w:val="Índice (user)"/>
    <w:basedOn w:val="Normal"/>
    <w:qFormat/>
    <w:pPr>
      <w:suppressLineNumbers/>
    </w:pPr>
    <w:rPr>
      <w:rFonts w:cs="Arial Unicode MS"/>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overflowPunct w:val="false"/>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overflowPunct w:val="fals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3"/>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3"/>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3"/>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left="1276"/>
    </w:pPr>
    <w:rPr/>
  </w:style>
  <w:style w:type="paragraph" w:styleId="Contedodoquadrouser" w:customStyle="1">
    <w:name w:val="Conteúdo do quadro (user)"/>
    <w:basedOn w:val="Normal"/>
    <w:qFormat/>
    <w:pPr/>
    <w:rPr/>
  </w:style>
  <w:style w:type="paragraph" w:styleId="Contedodatabelauser" w:customStyle="1">
    <w:name w:val="Conteúdo da tabela (user)"/>
    <w:basedOn w:val="Normal"/>
    <w:qFormat/>
    <w:pPr>
      <w:widowControl w:val="false"/>
      <w:suppressLineNumbers/>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http://schemas.microsoft.com/office/2006/documentManagement/types"/>
    <ds:schemaRef ds:uri="71763c0a-43a9-4215-9c1e-ac13867d38db"/>
    <ds:schemaRef ds:uri="http://schemas.microsoft.com/office/infopath/2007/PartnerControls"/>
    <ds:schemaRef ds:uri="http://schemas.openxmlformats.org/package/2006/metadata/core-properties"/>
    <ds:schemaRef ds:uri="http://purl.org/dc/elements/1.1/"/>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13389BAE-BF88-4791-8DBF-C3A7FB8B5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Application>LibreOffice/25.2.4.3$Windows_X86_64 LibreOffice_project/33e196637044ead23f5c3226cde09b47731f7e27</Application>
  <AppVersion>15.0000</AppVersion>
  <Pages>12</Pages>
  <Words>5026</Words>
  <Characters>29045</Characters>
  <CharactersWithSpaces>33837</CharactersWithSpaces>
  <Paragraphs>284</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2025-07-24T18:24:00Z</dcterms:created>
  <dc:creator>Thiago Luiz Araujo Santos</dc:creator>
  <dc:description/>
  <dc:language>pt-BR</dc:language>
  <cp:lastModifiedBy/>
  <cp:lastPrinted>2022-08-03T17:48:00Z</cp:lastPrinted>
  <dcterms:modified xsi:type="dcterms:W3CDTF">2025-08-07T15:16:12Z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