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D9D9D9" w:themeFill="background1" w:themeFillShade="d9"/>
        <w:overflowPunct w:val="false"/>
        <w:spacing w:lineRule="auto" w:line="240"/>
        <w:jc w:val="center"/>
        <w:rPr>
          <w:b/>
          <w:sz w:val="20"/>
          <w:szCs w:val="20"/>
          <w:lang w:val="pt-BR"/>
        </w:rPr>
      </w:pPr>
      <w:r>
        <w:rPr>
          <w:b/>
          <w:sz w:val="20"/>
          <w:szCs w:val="20"/>
        </w:rPr>
        <w:t xml:space="preserve">EDITAL DE PREGÃO ELETRÔNICO </w:t>
      </w:r>
      <w:r>
        <w:rPr>
          <w:b/>
          <w:sz w:val="20"/>
          <w:szCs w:val="20"/>
          <w:lang w:val="pt-BR"/>
        </w:rPr>
        <w:t xml:space="preserve">nº </w:t>
      </w:r>
      <w:r>
        <w:rPr>
          <w:b/>
          <w:sz w:val="20"/>
          <w:szCs w:val="20"/>
          <w:lang w:val="pt-BR"/>
        </w:rPr>
        <w:t>21</w:t>
      </w:r>
      <w:r>
        <w:rPr>
          <w:b/>
          <w:sz w:val="20"/>
          <w:szCs w:val="20"/>
          <w:lang w:val="pt-BR"/>
        </w:rPr>
        <w:t>0</w:t>
      </w:r>
      <w:r>
        <w:rPr>
          <w:b/>
          <w:sz w:val="20"/>
          <w:szCs w:val="20"/>
          <w:lang w:val="pt-BR"/>
        </w:rPr>
        <w:t>/2025</w:t>
      </w:r>
    </w:p>
    <w:p>
      <w:pPr>
        <w:pStyle w:val="BodyTextIndent"/>
        <w:widowControl w:val="false"/>
        <w:overflowPunct w:val="false"/>
        <w:spacing w:lineRule="auto" w:line="240"/>
        <w:jc w:val="center"/>
        <w:rPr>
          <w:b/>
          <w:sz w:val="20"/>
          <w:szCs w:val="20"/>
          <w:lang w:val="pt-BR"/>
        </w:rPr>
      </w:pPr>
      <w:r>
        <w:rPr>
          <w:b/>
          <w:sz w:val="20"/>
          <w:szCs w:val="20"/>
          <w:lang w:val="pt-BR"/>
        </w:rPr>
      </w:r>
    </w:p>
    <w:p>
      <w:pPr>
        <w:pStyle w:val="BodyTextIndent"/>
        <w:widowControl w:val="false"/>
        <w:overflowPunct w:val="false"/>
        <w:spacing w:lineRule="auto" w:line="240"/>
        <w:jc w:val="center"/>
        <w:rPr>
          <w:b/>
          <w:sz w:val="20"/>
          <w:szCs w:val="20"/>
          <w:lang w:val="pt-BR"/>
        </w:rPr>
      </w:pPr>
      <w:r>
        <w:rPr>
          <w:b/>
          <w:sz w:val="20"/>
          <w:szCs w:val="20"/>
          <w:lang w:val="pt-BR"/>
        </w:rPr>
        <w:t>TERMO DE REFERÊNCIA</w:t>
      </w:r>
    </w:p>
    <w:p>
      <w:pPr>
        <w:pStyle w:val="BodyTextIndent"/>
        <w:widowControl w:val="false"/>
        <w:overflowPunct w:val="false"/>
        <w:spacing w:lineRule="auto" w:line="240"/>
        <w:rPr>
          <w:b/>
          <w:sz w:val="20"/>
          <w:szCs w:val="20"/>
          <w:lang w:val="pt-BR"/>
        </w:rPr>
      </w:pPr>
      <w:r>
        <w:rPr>
          <w:b/>
          <w:sz w:val="20"/>
          <w:szCs w:val="20"/>
          <w:lang w:val="pt-BR"/>
        </w:rPr>
      </w:r>
    </w:p>
    <w:p>
      <w:pPr>
        <w:pStyle w:val="BodyTextIndent"/>
        <w:widowControl w:val="false"/>
        <w:shd w:val="clear" w:color="auto" w:fill="DDDDDD"/>
        <w:overflowPunct w:val="false"/>
        <w:spacing w:lineRule="auto" w:line="240"/>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6"/>
        </w:numPr>
        <w:tabs>
          <w:tab w:val="clear" w:pos="709"/>
          <w:tab w:val="left" w:pos="284" w:leader="none"/>
        </w:tabs>
        <w:overflowPunct w:val="fals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100.389/2025</w:t>
      </w:r>
    </w:p>
    <w:p>
      <w:pPr>
        <w:pStyle w:val="BodyTextIndent"/>
        <w:widowControl w:val="false"/>
        <w:numPr>
          <w:ilvl w:val="0"/>
          <w:numId w:val="6"/>
        </w:numPr>
        <w:tabs>
          <w:tab w:val="clear" w:pos="709"/>
          <w:tab w:val="left" w:pos="284" w:leader="none"/>
        </w:tabs>
        <w:overflowPunct w:val="fals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Pr>
          <w:b/>
          <w:sz w:val="20"/>
          <w:szCs w:val="20"/>
          <w:lang w:val="pt-BR"/>
        </w:rPr>
        <w:t>25/09/2025</w:t>
      </w:r>
      <w:r>
        <w:rPr>
          <w:b/>
          <w:sz w:val="20"/>
          <w:szCs w:val="20"/>
          <w:lang w:val="pt-BR"/>
        </w:rPr>
        <w:t xml:space="preserve"> - 08 </w:t>
      </w:r>
      <w:r>
        <w:rPr>
          <w:b/>
          <w:sz w:val="20"/>
          <w:szCs w:val="20"/>
        </w:rPr>
        <w:t>horas</w:t>
      </w:r>
      <w:r>
        <w:rPr>
          <w:b/>
          <w:sz w:val="20"/>
          <w:szCs w:val="20"/>
          <w:lang w:val="pt-BR"/>
        </w:rPr>
        <w:t>;</w:t>
      </w:r>
    </w:p>
    <w:p>
      <w:pPr>
        <w:pStyle w:val="BodyTextIndent"/>
        <w:widowControl w:val="false"/>
        <w:numPr>
          <w:ilvl w:val="0"/>
          <w:numId w:val="6"/>
        </w:numPr>
        <w:tabs>
          <w:tab w:val="clear" w:pos="709"/>
          <w:tab w:val="left" w:pos="284" w:leader="none"/>
        </w:tabs>
        <w:overflowPunct w:val="fals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Pr>
          <w:b/>
          <w:sz w:val="20"/>
          <w:szCs w:val="20"/>
          <w:lang w:val="pt-BR"/>
        </w:rPr>
        <w:t>25/09/2025</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6"/>
        </w:numPr>
        <w:tabs>
          <w:tab w:val="clear" w:pos="709"/>
          <w:tab w:val="left" w:pos="284" w:leader="none"/>
        </w:tabs>
        <w:overflowPunct w:val="false"/>
        <w:spacing w:lineRule="auto" w:line="240"/>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overflowPunct w:val="false"/>
        <w:spacing w:lineRule="auto" w:line="240"/>
        <w:ind w:firstLine="561"/>
        <w:jc w:val="left"/>
        <w:rPr>
          <w:b/>
          <w:bCs/>
          <w:sz w:val="20"/>
          <w:szCs w:val="20"/>
        </w:rPr>
      </w:pPr>
      <w:r>
        <w:rPr>
          <w:b/>
          <w:bCs/>
          <w:sz w:val="20"/>
          <w:szCs w:val="20"/>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18"/>
        </w:numPr>
        <w:tabs>
          <w:tab w:val="clear" w:pos="709"/>
          <w:tab w:val="left" w:pos="284" w:leader="none"/>
        </w:tabs>
        <w:jc w:val="both"/>
        <w:rPr>
          <w:rFonts w:ascii="Arial" w:hAnsi="Arial" w:cs="Arial"/>
        </w:rPr>
      </w:pPr>
      <w:r>
        <w:rPr>
          <w:rFonts w:cs="Arial" w:ascii="Arial" w:hAnsi="Arial"/>
        </w:rPr>
        <w:t>Objeto:</w:t>
      </w:r>
      <w:r>
        <w:rPr>
          <w:rFonts w:cs="Arial" w:ascii="Arial" w:hAnsi="Arial"/>
          <w:b/>
        </w:rPr>
        <w:t xml:space="preserve"> Prestação de Serviços de Sonoplastia para o Teatro Erotides de Campos</w:t>
      </w:r>
    </w:p>
    <w:p>
      <w:pPr>
        <w:pStyle w:val="Normal"/>
        <w:numPr>
          <w:ilvl w:val="0"/>
          <w:numId w:val="19"/>
        </w:numPr>
        <w:tabs>
          <w:tab w:val="clear" w:pos="709"/>
          <w:tab w:val="left" w:pos="284" w:leader="none"/>
        </w:tabs>
        <w:jc w:val="both"/>
        <w:rPr>
          <w:rFonts w:ascii="Arial" w:hAnsi="Arial" w:cs="Arial"/>
        </w:rPr>
      </w:pPr>
      <w:r>
        <w:rPr>
          <w:rFonts w:cs="Arial" w:ascii="Arial" w:hAnsi="Arial"/>
        </w:rPr>
        <w:t>Unidade Requisitante: Secretaria Municipal de Cultura</w:t>
      </w:r>
    </w:p>
    <w:p>
      <w:pPr>
        <w:pStyle w:val="Normal"/>
        <w:numPr>
          <w:ilvl w:val="0"/>
          <w:numId w:val="20"/>
        </w:numPr>
        <w:tabs>
          <w:tab w:val="clear" w:pos="709"/>
          <w:tab w:val="left" w:pos="284" w:leader="none"/>
        </w:tabs>
        <w:jc w:val="both"/>
        <w:rPr>
          <w:rFonts w:ascii="Arial" w:hAnsi="Arial" w:cs="Arial"/>
        </w:rPr>
      </w:pPr>
      <w:r>
        <w:rPr>
          <w:rFonts w:cs="Arial" w:ascii="Arial" w:hAnsi="Arial"/>
        </w:rPr>
        <w:t xml:space="preserve">Fonte de recursos: </w:t>
      </w:r>
    </w:p>
    <w:p>
      <w:pPr>
        <w:pStyle w:val="Normal"/>
        <w:tabs>
          <w:tab w:val="clear" w:pos="709"/>
          <w:tab w:val="left" w:pos="284" w:leader="none"/>
        </w:tabs>
        <w:jc w:val="both"/>
        <w:rPr>
          <w:rFonts w:ascii="Arial" w:hAnsi="Arial" w:cs="Arial"/>
        </w:rPr>
      </w:pPr>
      <w:r>
        <w:rPr>
          <w:rFonts w:cs="Arial" w:ascii="Arial" w:hAnsi="Arial"/>
        </w:rPr>
        <w:t>1   12011  13392002121120000  0101011000 339039</w:t>
      </w:r>
    </w:p>
    <w:p>
      <w:pPr>
        <w:pStyle w:val="Normal"/>
        <w:numPr>
          <w:ilvl w:val="0"/>
          <w:numId w:val="21"/>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 xml:space="preserve">R$ 159.541,63 </w:t>
      </w:r>
      <w:r>
        <w:rPr>
          <w:rFonts w:cs="Arial" w:ascii="Arial" w:hAnsi="Arial"/>
        </w:rPr>
        <w:t>(Cento e Cinquenta e nove mil, quinhentos e quarenta e um Reais e sessenta e três centavos);.</w:t>
      </w:r>
      <w:r>
        <w:rPr>
          <w:rFonts w:cs="Arial" w:ascii="Arial" w:hAnsi="Arial"/>
          <w:b/>
        </w:rPr>
        <w:t xml:space="preserve"> </w:t>
      </w:r>
    </w:p>
    <w:p>
      <w:pPr>
        <w:pStyle w:val="Normal"/>
        <w:numPr>
          <w:ilvl w:val="0"/>
          <w:numId w:val="22"/>
        </w:numPr>
        <w:tabs>
          <w:tab w:val="clear" w:pos="709"/>
          <w:tab w:val="left" w:pos="284" w:leader="none"/>
        </w:tabs>
        <w:jc w:val="both"/>
        <w:rPr>
          <w:rFonts w:ascii="Arial" w:hAnsi="Arial" w:cs="Arial"/>
        </w:rPr>
      </w:pPr>
      <w:r>
        <w:rPr>
          <w:rFonts w:cs="Arial" w:ascii="Arial" w:hAnsi="Arial"/>
        </w:rPr>
        <w:t xml:space="preserve">Prazo de vigência do contrato: 12 (doze) meses, contados da data de emissão da Ordem de Serviço, podendo ser </w:t>
      </w:r>
      <w:r>
        <w:rPr>
          <w:rFonts w:cs="Arial" w:ascii="Arial" w:hAnsi="Arial"/>
          <w:bCs/>
          <w:iCs/>
        </w:rPr>
        <w:t xml:space="preserve">prorrogado por iguais e sucessivos períodos, dentro do limite previsto no artigo 107 da Lei 14.133, de 2021. </w:t>
      </w:r>
    </w:p>
    <w:p>
      <w:pPr>
        <w:pStyle w:val="Normal"/>
        <w:ind w:firstLine="561"/>
        <w:rPr>
          <w:rFonts w:ascii="Arial" w:hAnsi="Arial" w:cs="Arial"/>
        </w:rPr>
      </w:pPr>
      <w:r>
        <w:rPr>
          <w:rFonts w:cs="Arial" w:ascii="Arial" w:hAnsi="Arial"/>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7"/>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7"/>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23"/>
        </w:numPr>
        <w:tabs>
          <w:tab w:val="clear" w:pos="709"/>
          <w:tab w:val="left" w:pos="284" w:leader="none"/>
        </w:tabs>
        <w:jc w:val="both"/>
        <w:rPr>
          <w:rFonts w:ascii="Arial" w:hAnsi="Arial" w:cs="Arial"/>
        </w:rPr>
      </w:pPr>
      <w:r>
        <w:rPr>
          <w:rFonts w:cs="Arial" w:ascii="Arial" w:hAnsi="Arial"/>
        </w:rPr>
        <w:t xml:space="preserve">Prazo de validade: </w:t>
      </w:r>
      <w:r>
        <w:rPr>
          <w:rFonts w:cs="Arial" w:ascii="Arial" w:hAnsi="Arial"/>
          <w:b/>
        </w:rPr>
        <w:t>90 (noventa) dias</w:t>
      </w:r>
      <w:r>
        <w:rPr>
          <w:rFonts w:cs="Arial" w:ascii="Arial" w:hAnsi="Arial"/>
        </w:rPr>
        <w:t>;</w:t>
      </w:r>
    </w:p>
    <w:p>
      <w:pPr>
        <w:pStyle w:val="Normal"/>
        <w:numPr>
          <w:ilvl w:val="0"/>
          <w:numId w:val="24"/>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25"/>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expresso em moeda corrente nacional </w:t>
      </w:r>
    </w:p>
    <w:p>
      <w:pPr>
        <w:pStyle w:val="Normal"/>
        <w:numPr>
          <w:ilvl w:val="0"/>
          <w:numId w:val="26"/>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sz w:val="5"/>
          <w:szCs w:val="5"/>
        </w:rPr>
      </w:pPr>
      <w:r>
        <w:rPr>
          <w:rFonts w:eastAsia="Arial" w:cs="Arial" w:ascii="Arial" w:hAnsi="Arial"/>
          <w:sz w:val="5"/>
          <w:szCs w:val="5"/>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center"/>
              <w:rPr>
                <w:rFonts w:ascii="Arial" w:hAnsi="Arial" w:cs="Arial"/>
                <w:kern w:val="2"/>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1</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875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Horas</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false"/>
              <w:rPr>
                <w:rFonts w:ascii="Arial" w:hAnsi="Arial" w:cs="Arial"/>
              </w:rPr>
            </w:pPr>
            <w:r>
              <w:rPr>
                <w:rFonts w:cs="ArialMT" w:ascii="ArialMT" w:hAnsi="ArialMT"/>
                <w:kern w:val="0"/>
                <w:sz w:val="22"/>
                <w:szCs w:val="22"/>
                <w:lang w:eastAsia="pt-BR"/>
              </w:rPr>
              <w:t>Prestação de serviços de sonoplastia para o Teatro Municipal Erotides de Campos pelo período de 12 meses, conforme descritivo técnico</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numPr>
          <w:ilvl w:val="0"/>
          <w:numId w:val="27"/>
        </w:numPr>
        <w:tabs>
          <w:tab w:val="clear" w:pos="709"/>
          <w:tab w:val="left" w:pos="284" w:leader="none"/>
        </w:tabs>
        <w:jc w:val="both"/>
        <w:rPr>
          <w:rFonts w:ascii="Arial" w:hAnsi="Arial" w:eastAsia="Arial" w:cs="Arial"/>
        </w:rPr>
      </w:pPr>
      <w:r>
        <w:rPr>
          <w:rFonts w:cs="Arial" w:ascii="Arial" w:hAnsi="Arial"/>
        </w:rPr>
        <w:t>Descritivo técnico:</w:t>
      </w:r>
    </w:p>
    <w:p>
      <w:pPr>
        <w:pStyle w:val="ListParagraph"/>
        <w:suppressAutoHyphens w:val="false"/>
        <w:spacing w:lineRule="auto" w:line="240" w:before="0" w:after="0"/>
        <w:ind w:left="0"/>
        <w:jc w:val="both"/>
        <w:rPr>
          <w:rFonts w:ascii="Arial" w:hAnsi="Arial" w:cs="Arial"/>
          <w:b/>
          <w:bCs/>
          <w:kern w:val="0"/>
          <w:sz w:val="20"/>
          <w:szCs w:val="20"/>
          <w:lang w:eastAsia="pt-BR"/>
        </w:rPr>
      </w:pPr>
      <w:r>
        <w:rPr>
          <w:rFonts w:cs="Arial" w:ascii="Arial" w:hAnsi="Arial"/>
          <w:b/>
          <w:bCs/>
          <w:kern w:val="0"/>
          <w:sz w:val="20"/>
          <w:szCs w:val="20"/>
          <w:lang w:eastAsia="pt-BR"/>
        </w:rPr>
      </w:r>
    </w:p>
    <w:p>
      <w:pPr>
        <w:pStyle w:val="ListParagraph"/>
        <w:suppressAutoHyphens w:val="false"/>
        <w:spacing w:lineRule="auto" w:line="240" w:before="0" w:after="0"/>
        <w:ind w:left="0"/>
        <w:jc w:val="both"/>
        <w:rPr>
          <w:rFonts w:ascii="Arial" w:hAnsi="Arial" w:cs="Arial"/>
          <w:b/>
          <w:bCs/>
          <w:kern w:val="0"/>
          <w:sz w:val="20"/>
          <w:szCs w:val="20"/>
          <w:lang w:eastAsia="pt-BR"/>
        </w:rPr>
      </w:pPr>
      <w:r>
        <w:rPr>
          <w:rFonts w:cs="Arial" w:ascii="Arial" w:hAnsi="Arial"/>
          <w:b/>
          <w:bCs/>
          <w:kern w:val="0"/>
          <w:sz w:val="20"/>
          <w:szCs w:val="20"/>
          <w:lang w:eastAsia="pt-BR"/>
        </w:rPr>
        <w:t>Item 01:</w:t>
      </w:r>
    </w:p>
    <w:p>
      <w:pPr>
        <w:pStyle w:val="ListParagraph"/>
        <w:suppressAutoHyphens w:val="false"/>
        <w:spacing w:lineRule="auto" w:line="240" w:before="0" w:after="0"/>
        <w:ind w:left="0"/>
        <w:jc w:val="both"/>
        <w:rPr>
          <w:rFonts w:ascii="Arial" w:hAnsi="Arial" w:cs="Arial"/>
          <w:kern w:val="0"/>
          <w:sz w:val="20"/>
          <w:szCs w:val="20"/>
          <w:lang w:eastAsia="pt-BR"/>
        </w:rPr>
      </w:pPr>
      <w:r>
        <w:rPr>
          <w:rFonts w:cs="Arial" w:ascii="Arial" w:hAnsi="Arial"/>
          <w:kern w:val="0"/>
          <w:sz w:val="20"/>
          <w:szCs w:val="20"/>
          <w:lang w:eastAsia="pt-BR"/>
        </w:rPr>
        <w:t>O operador deverá estar apto para manusear os equipamentos de som disponíveis no Teatro e estar capacitado a executar todas as especificidades inerentes a função de sonoplasta, conforme seguem:</w:t>
      </w:r>
    </w:p>
    <w:p>
      <w:pPr>
        <w:pStyle w:val="ListParagraph"/>
        <w:suppressAutoHyphens w:val="false"/>
        <w:spacing w:lineRule="auto" w:line="240" w:before="0" w:after="0"/>
        <w:ind w:left="0"/>
        <w:jc w:val="both"/>
        <w:rPr>
          <w:rFonts w:ascii="Arial" w:hAnsi="Arial" w:cs="Arial"/>
          <w:b/>
          <w:bCs/>
          <w:kern w:val="0"/>
          <w:sz w:val="20"/>
          <w:szCs w:val="20"/>
          <w:lang w:eastAsia="pt-BR"/>
        </w:rPr>
      </w:pPr>
      <w:r>
        <w:rPr>
          <w:rFonts w:cs="Arial" w:ascii="Arial" w:hAnsi="Arial"/>
          <w:b/>
          <w:bCs/>
          <w:kern w:val="0"/>
          <w:sz w:val="20"/>
          <w:szCs w:val="20"/>
          <w:lang w:eastAsia="pt-BR"/>
        </w:rPr>
      </w:r>
    </w:p>
    <w:p>
      <w:pPr>
        <w:pStyle w:val="ListParagraph"/>
        <w:suppressAutoHyphens w:val="false"/>
        <w:spacing w:lineRule="auto" w:line="240" w:before="0" w:after="0"/>
        <w:ind w:left="0"/>
        <w:jc w:val="both"/>
        <w:rPr>
          <w:rFonts w:ascii="Arial" w:hAnsi="Arial" w:cs="Arial"/>
          <w:b/>
          <w:bCs/>
          <w:kern w:val="0"/>
          <w:sz w:val="20"/>
          <w:szCs w:val="20"/>
          <w:lang w:eastAsia="pt-BR"/>
        </w:rPr>
      </w:pPr>
      <w:r>
        <w:rPr>
          <w:rFonts w:cs="Arial" w:ascii="Arial" w:hAnsi="Arial"/>
          <w:b/>
          <w:bCs/>
          <w:kern w:val="0"/>
          <w:sz w:val="20"/>
          <w:szCs w:val="20"/>
          <w:lang w:eastAsia="pt-BR"/>
        </w:rPr>
        <w:t>DESCRIÇÃO das funções:</w:t>
      </w:r>
    </w:p>
    <w:p>
      <w:pPr>
        <w:pStyle w:val="ListParagraph"/>
        <w:suppressAutoHyphens w:val="false"/>
        <w:spacing w:lineRule="auto" w:line="240" w:before="0" w:after="0"/>
        <w:ind w:left="0"/>
        <w:jc w:val="both"/>
        <w:rPr>
          <w:rFonts w:ascii="Arial" w:hAnsi="Arial" w:cs="Arial"/>
          <w:kern w:val="0"/>
          <w:sz w:val="20"/>
          <w:szCs w:val="20"/>
          <w:lang w:eastAsia="pt-BR"/>
        </w:rPr>
      </w:pPr>
      <w:r>
        <w:rPr>
          <w:rFonts w:cs="Arial" w:ascii="Arial" w:hAnsi="Arial"/>
          <w:kern w:val="0"/>
          <w:sz w:val="20"/>
          <w:szCs w:val="20"/>
          <w:lang w:eastAsia="pt-BR"/>
        </w:rPr>
        <w:t>- O serviço de sonoplastia compreende preparar, operar, acompanhar e zelar pelo sistema de sonorização do espaço. Para tanto o profissional deve estar apto a desempenhar as seguintes atribuições:</w:t>
      </w:r>
    </w:p>
    <w:p>
      <w:pPr>
        <w:pStyle w:val="ListParagraph"/>
        <w:numPr>
          <w:ilvl w:val="3"/>
          <w:numId w:val="16"/>
        </w:numPr>
        <w:suppressAutoHyphens w:val="false"/>
        <w:spacing w:lineRule="auto" w:line="240" w:before="0" w:after="0"/>
        <w:ind w:hanging="283" w:left="709"/>
        <w:jc w:val="both"/>
        <w:rPr>
          <w:rFonts w:ascii="Arial" w:hAnsi="Arial" w:cs="Arial"/>
          <w:kern w:val="0"/>
          <w:sz w:val="20"/>
          <w:szCs w:val="20"/>
          <w:lang w:eastAsia="pt-BR"/>
        </w:rPr>
      </w:pPr>
      <w:r>
        <w:rPr>
          <w:rFonts w:cs="Arial" w:ascii="Arial" w:hAnsi="Arial"/>
          <w:kern w:val="0"/>
          <w:sz w:val="20"/>
          <w:szCs w:val="20"/>
          <w:lang w:eastAsia="pt-BR"/>
        </w:rPr>
        <w:t>preparar o sistema de sonorização (concepção e montagem) do Teatro (foyer, sala de espetáculo e sala de ensaio) nos eventos culturais (espetáculos teatrais, shows musicais, seminários, espetáculos de dança, cerimoniais, etc.) e institucionais, quando necessário, garantindo sua preservação;</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 xml:space="preserve">possuir uma coletânea de áudio atualizada com trilhas sonoras, efeitos (sound effects), músicas ambiente, músicas para diversos momentos de cerimonias, entre outros, para executar efeitos especiais e fundos sonoros, adequar o volume e a intensidade dos sons, inserir músicas durante determinadas cenas, criar e misturar sons, ruídos e músicas, apelaraos sentimentos e emoções pelos sons; </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orientar e acompanhar a montagem, utilização e desmontagem do sistema de sonorização dos eventos culturais e institucionais, quando realizadas por produções externas, garantindo a preservação e conservação de equipamentos e instalações;</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acompanhar e conferir entrada e saída, de equipamentos de som de terceiros (alugados pela contratante e/ou por produtores dos eventos);</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dominar o uso de console digital para mixagem de P.A. e monitor, conhecendo tipos de monitoração, equalização, amplitudes e diversos elementos de uma mixagem;</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estar apto ao uso de efeitos sonoros como delay, reverb, pitch shift, phaser, chorus, distortion,</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etc.;</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realizar técnicas de captação de áudio (microfonação) específica para apresentações mais delicadas como, sapateado, coral, orquestra, piano, elementos percussivos, uso de microfone shotgun, utilização de múltiplos headset, instrumentos, etc;</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desempenhar a função de técnico e operador de som, interpretar e executar mapa de palco, riders técnicos, input list e etc;</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estar apto e capacitado para realizar a sonorização de orquestras.</w:t>
      </w:r>
    </w:p>
    <w:p>
      <w:pPr>
        <w:pStyle w:val="ListParagraph"/>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r>
    </w:p>
    <w:p>
      <w:pPr>
        <w:pStyle w:val="Normal"/>
        <w:suppressAutoHyphens w:val="false"/>
        <w:jc w:val="both"/>
        <w:rPr>
          <w:rFonts w:ascii="Arial" w:hAnsi="Arial" w:cs="Arial"/>
          <w:b/>
          <w:bCs/>
          <w:kern w:val="0"/>
          <w:lang w:eastAsia="pt-BR"/>
        </w:rPr>
      </w:pPr>
      <w:r>
        <w:rPr>
          <w:rFonts w:cs="Arial" w:ascii="Arial" w:hAnsi="Arial"/>
          <w:b/>
          <w:bCs/>
          <w:kern w:val="0"/>
          <w:lang w:eastAsia="pt-BR"/>
        </w:rPr>
        <w:t>Descrição dos equipamentos de sonorização disponíveis no Teatro Municipal Erotides de Campos a serem utilizados durante a prestação dos serviços de sonoplastia:</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1 Mesa de som Digital Yamaha LS9 32 canais;</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Sistema de P.A. LR mais Cluster central JBL;</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5 Monitores JBL PRX612;</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Processador DBX Drive Rack 4800;</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Equalizador gráfico DBX 2231;</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Sistema de conexão Tie Line com Patchbay;</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Distribuidor de áudio Behringer MX 882</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CDJ Pionner CDJ 400;</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Leitor de DVD e Pendrive;</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CD Player;</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1 Microfone Shure SM57-LC;</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2 Microfones Shure SM58-LC;</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1 Microfone Shure Beta 52;</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1 Microfone Shure Beta 58A;</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2 Microfones sem fio Shure Beta 58ª;</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1 Microfone AKG D112;</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Microfone Condenser;</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2 Microfones Countryman com body pack Shure ULX;</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8 Direct Box;</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6 Microfones sem fio Shure auricular Blx24;</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Amplificador de distribuição de áudio;</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Filtro de linha de AC</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Sala de Ensaio e Aquecimento: caixas acústicas, cd playes duplo mp3, painel com conexão mp3, mixer Eurorack Pro RX 1202 FX 12 canais;</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Multicabo de 48 vias para P.A e monitor;</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Multicabos de 8 vias para palco;</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Cabos XLR;</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Cabos P10;</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Cabos de AC;</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Pedestais para microfone;</w:t>
      </w:r>
    </w:p>
    <w:p>
      <w:pPr>
        <w:pStyle w:val="ListParagraph"/>
        <w:numPr>
          <w:ilvl w:val="0"/>
          <w:numId w:val="16"/>
        </w:numPr>
        <w:suppressAutoHyphens w:val="false"/>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Púlpito com cabeamento e conexão para microfone do tipo gooseneck;</w:t>
      </w:r>
    </w:p>
    <w:p>
      <w:pPr>
        <w:pStyle w:val="ListParagraph"/>
        <w:numPr>
          <w:ilvl w:val="0"/>
          <w:numId w:val="16"/>
        </w:numPr>
        <w:spacing w:lineRule="auto" w:line="240" w:before="0" w:after="0"/>
        <w:jc w:val="both"/>
        <w:rPr>
          <w:rFonts w:ascii="Arial" w:hAnsi="Arial" w:cs="Arial"/>
          <w:kern w:val="0"/>
          <w:sz w:val="20"/>
          <w:szCs w:val="20"/>
          <w:lang w:eastAsia="pt-BR"/>
        </w:rPr>
      </w:pPr>
      <w:r>
        <w:rPr>
          <w:rFonts w:cs="Arial" w:ascii="Arial" w:hAnsi="Arial"/>
          <w:kern w:val="0"/>
          <w:sz w:val="20"/>
          <w:szCs w:val="20"/>
          <w:lang w:eastAsia="pt-BR"/>
        </w:rPr>
        <w:t>Caixa acústica JBL para som ambiente no Foyer</w:t>
      </w:r>
    </w:p>
    <w:p>
      <w:pPr>
        <w:pStyle w:val="ListParagraph"/>
        <w:jc w:val="both"/>
        <w:rPr>
          <w:rFonts w:ascii="Arial" w:hAnsi="Arial" w:cs="Arial"/>
          <w:b/>
        </w:rPr>
      </w:pPr>
      <w:r>
        <w:rPr>
          <w:rFonts w:cs="Arial" w:ascii="Arial" w:hAnsi="Arial"/>
          <w:b/>
        </w:rPr>
      </w:r>
    </w:p>
    <w:p>
      <w:pPr>
        <w:pStyle w:val="ListParagraph"/>
        <w:jc w:val="both"/>
        <w:rPr>
          <w:rFonts w:ascii="Arial" w:hAnsi="Arial" w:cs="Arial"/>
          <w:b/>
        </w:rPr>
      </w:pPr>
      <w:r>
        <w:rPr>
          <w:rFonts w:cs="Arial" w:ascii="Arial" w:hAnsi="Arial"/>
          <w:b/>
        </w:rPr>
        <w:t>OBS:</w:t>
      </w:r>
    </w:p>
    <w:p>
      <w:pPr>
        <w:pStyle w:val="ListParagraph"/>
        <w:jc w:val="both"/>
        <w:rPr>
          <w:rFonts w:ascii="Arial" w:hAnsi="Arial" w:cs="Arial"/>
          <w:b/>
        </w:rPr>
      </w:pPr>
      <w:r>
        <w:rPr>
          <w:rFonts w:cs="Arial" w:ascii="Arial" w:hAnsi="Arial"/>
          <w:b/>
        </w:rPr>
        <w:t>1. O preço deverá ser por hora trabalhada, sendo 875 horas/ano.</w:t>
      </w:r>
    </w:p>
    <w:p>
      <w:pPr>
        <w:pStyle w:val="ListParagraph"/>
        <w:jc w:val="both"/>
        <w:rPr>
          <w:rFonts w:ascii="Arial" w:hAnsi="Arial" w:cs="Arial"/>
          <w:b/>
        </w:rPr>
      </w:pPr>
      <w:r>
        <w:rPr>
          <w:rFonts w:cs="Arial" w:ascii="Arial" w:hAnsi="Arial"/>
          <w:b/>
        </w:rPr>
        <w:t>2. O operador deverá ter Registro Profissional correspondente a função de sonoplasta, no seguimento de shows e espetáculos (SATED).</w:t>
      </w:r>
    </w:p>
    <w:p>
      <w:pPr>
        <w:pStyle w:val="ListParagraph"/>
        <w:jc w:val="both"/>
        <w:rPr>
          <w:rFonts w:ascii="Arial" w:hAnsi="Arial" w:cs="Arial"/>
          <w:b/>
        </w:rPr>
      </w:pPr>
      <w:r>
        <w:rPr>
          <w:rFonts w:cs="Arial" w:ascii="Arial" w:hAnsi="Arial"/>
          <w:b/>
        </w:rPr>
        <w:t>3. Apresentação de atestado comprobatório de prestação de serviço de sonoplasta em teatro e sonorização de orquestra.</w:t>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5. DA SUBCONTRATAÇÃO</w:t>
      </w:r>
    </w:p>
    <w:p>
      <w:pPr>
        <w:pStyle w:val="Normal"/>
        <w:jc w:val="both"/>
        <w:rPr>
          <w:rFonts w:ascii="Arial" w:hAnsi="Arial" w:cs="Arial"/>
        </w:rPr>
      </w:pPr>
      <w:r>
        <w:rPr>
          <w:rFonts w:cs="Arial" w:ascii="Arial" w:hAnsi="Arial"/>
        </w:rPr>
        <w:t>a) Não é admitida a subcontratação do objeto contratual</w:t>
      </w:r>
    </w:p>
    <w:p>
      <w:pPr>
        <w:pStyle w:val="Normal"/>
        <w:jc w:val="both"/>
        <w:rPr>
          <w:rFonts w:ascii="Arial" w:hAnsi="Arial" w:cs="Arial"/>
        </w:rPr>
      </w:pPr>
      <w:r>
        <w:rPr>
          <w:rFonts w:cs="Arial" w:ascii="Arial" w:hAnsi="Arial"/>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6. DA EXECUÇÃO DOS SERVIÇOS</w:t>
      </w:r>
    </w:p>
    <w:p>
      <w:pPr>
        <w:pStyle w:val="Normal"/>
        <w:numPr>
          <w:ilvl w:val="0"/>
          <w:numId w:val="28"/>
        </w:numPr>
        <w:tabs>
          <w:tab w:val="clear" w:pos="709"/>
          <w:tab w:val="left" w:pos="284" w:leader="none"/>
        </w:tabs>
        <w:jc w:val="both"/>
        <w:rPr>
          <w:rFonts w:ascii="Arial" w:hAnsi="Arial" w:cs="Arial"/>
        </w:rPr>
      </w:pPr>
      <w:r>
        <w:rPr>
          <w:rFonts w:cs="Arial" w:ascii="Arial" w:hAnsi="Arial"/>
        </w:rPr>
        <w:t>Prazo de execução dos serviços:</w:t>
      </w:r>
      <w:r>
        <w:rPr>
          <w:rFonts w:cs="Arial" w:ascii="Arial" w:hAnsi="Arial"/>
          <w:b/>
          <w:bCs/>
        </w:rPr>
        <w:t xml:space="preserve"> </w:t>
      </w:r>
      <w:r>
        <w:rPr>
          <w:rFonts w:cs="Arial" w:ascii="Arial" w:hAnsi="Arial"/>
        </w:rPr>
        <w:t>Será informada a data, local e horário na Ordem de Serviço a ser emitida pela Unidade Requisitante.</w:t>
      </w:r>
    </w:p>
    <w:p>
      <w:pPr>
        <w:pStyle w:val="Normal"/>
        <w:numPr>
          <w:ilvl w:val="0"/>
          <w:numId w:val="29"/>
        </w:numPr>
        <w:tabs>
          <w:tab w:val="clear" w:pos="709"/>
          <w:tab w:val="left" w:pos="284" w:leader="none"/>
        </w:tabs>
        <w:jc w:val="both"/>
        <w:rPr>
          <w:rFonts w:ascii="Arial" w:hAnsi="Arial" w:cs="Arial"/>
        </w:rPr>
      </w:pPr>
      <w:r>
        <w:rPr>
          <w:rFonts w:cs="Arial" w:ascii="Arial" w:hAnsi="Arial"/>
        </w:rPr>
        <w:t>Local e horário para execução dos serviços: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b/>
        </w:rPr>
      </w:pPr>
      <w:r>
        <w:rPr>
          <w:rFonts w:cs="Arial" w:ascii="Arial" w:hAnsi="Arial"/>
          <w:b/>
        </w:rPr>
        <w:t>Av. Dr. Maurice Allain, n° 454, bairro: Vila Rezende – Parque Engenho Central</w:t>
      </w:r>
    </w:p>
    <w:p>
      <w:pPr>
        <w:pStyle w:val="Normal"/>
        <w:tabs>
          <w:tab w:val="clear" w:pos="709"/>
          <w:tab w:val="left" w:pos="284" w:leader="none"/>
        </w:tabs>
        <w:jc w:val="both"/>
        <w:rPr>
          <w:rFonts w:ascii="Arial" w:hAnsi="Arial" w:cs="Arial"/>
          <w:b/>
        </w:rPr>
      </w:pPr>
      <w:r>
        <w:rPr>
          <w:rFonts w:cs="Arial" w:ascii="Arial" w:hAnsi="Arial"/>
          <w:b/>
        </w:rPr>
        <w:t>Os horários e datas dos serviços a serem prestados serão informados e especificados pela</w:t>
      </w:r>
    </w:p>
    <w:p>
      <w:pPr>
        <w:pStyle w:val="Normal"/>
        <w:tabs>
          <w:tab w:val="clear" w:pos="709"/>
          <w:tab w:val="left" w:pos="284" w:leader="none"/>
        </w:tabs>
        <w:jc w:val="both"/>
        <w:rPr>
          <w:rFonts w:ascii="Arial" w:hAnsi="Arial" w:cs="Arial"/>
        </w:rPr>
      </w:pPr>
      <w:r>
        <w:rPr>
          <w:rFonts w:cs="Arial" w:ascii="Arial" w:hAnsi="Arial"/>
          <w:b/>
        </w:rPr>
        <w:t>Unidade Requisitante</w:t>
      </w: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30"/>
        </w:numPr>
        <w:tabs>
          <w:tab w:val="clear" w:pos="709"/>
          <w:tab w:val="left" w:pos="284" w:leader="none"/>
        </w:tabs>
        <w:jc w:val="both"/>
        <w:rPr>
          <w:rFonts w:ascii="Arial" w:hAnsi="Arial" w:cs="Arial"/>
        </w:rPr>
      </w:pPr>
      <w:r>
        <w:rPr>
          <w:rFonts w:cs="Arial" w:ascii="Arial" w:hAnsi="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3">
        <w:r>
          <w:rPr>
            <w:rStyle w:val="Hyperlink"/>
            <w:rFonts w:cs="Arial" w:ascii="Arial" w:hAnsi="Arial"/>
          </w:rPr>
          <w:t>https://piracicaba.sp.gov.br/wp-content/uploads/2024/07/Tutorial-Memorial-de-Segurantha-no-Sem-Papel.pdf</w:t>
        </w:r>
      </w:hyperlink>
      <w:r>
        <w:rPr>
          <w:rFonts w:cs="Arial" w:ascii="Arial" w:hAnsi="Arial"/>
        </w:rPr>
        <w:t>, para assegurar a plena execução do contrato.</w:t>
      </w:r>
    </w:p>
    <w:p>
      <w:pPr>
        <w:pStyle w:val="Normal"/>
        <w:numPr>
          <w:ilvl w:val="0"/>
          <w:numId w:val="31"/>
        </w:numPr>
        <w:tabs>
          <w:tab w:val="clear" w:pos="709"/>
          <w:tab w:val="left" w:pos="284" w:leader="none"/>
        </w:tabs>
        <w:jc w:val="both"/>
        <w:rPr>
          <w:rStyle w:val="Fontepargpadro1"/>
          <w:rFonts w:ascii="Arial" w:hAnsi="Arial" w:cs="Arial"/>
        </w:rPr>
      </w:pPr>
      <w:r>
        <w:rPr>
          <w:rStyle w:val="Fontepargpadro1"/>
          <w:rFonts w:cs="Arial" w:ascii="Arial" w:hAnsi="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7. DA VISITA TÉCNICA</w:t>
      </w:r>
    </w:p>
    <w:p>
      <w:pPr>
        <w:pStyle w:val="Normal"/>
        <w:numPr>
          <w:ilvl w:val="0"/>
          <w:numId w:val="32"/>
        </w:numPr>
        <w:tabs>
          <w:tab w:val="clear" w:pos="709"/>
          <w:tab w:val="left" w:pos="284" w:leader="none"/>
        </w:tabs>
        <w:jc w:val="both"/>
        <w:rPr>
          <w:rFonts w:ascii="Arial" w:hAnsi="Arial" w:cs="Arial"/>
        </w:rPr>
      </w:pPr>
      <w:r>
        <w:rPr>
          <w:rFonts w:cs="Arial" w:ascii="Arial" w:hAnsi="Arial"/>
        </w:rPr>
        <w:t xml:space="preserve">As empresas interessadas poderão realizar visita técnica nos locais onde serão executados os serviços, de forma que tenham conhecimento pleno das condições técnicas para a sua efetiva realização. </w:t>
      </w:r>
    </w:p>
    <w:p>
      <w:pPr>
        <w:pStyle w:val="Normal"/>
        <w:numPr>
          <w:ilvl w:val="0"/>
          <w:numId w:val="11"/>
        </w:numPr>
        <w:tabs>
          <w:tab w:val="clear" w:pos="709"/>
          <w:tab w:val="left" w:pos="284" w:leader="none"/>
        </w:tabs>
        <w:jc w:val="both"/>
        <w:rPr>
          <w:rFonts w:ascii="Arial" w:hAnsi="Arial" w:cs="Arial"/>
        </w:rPr>
      </w:pPr>
      <w:r>
        <w:rPr>
          <w:rFonts w:cs="Arial" w:ascii="Arial" w:hAnsi="Arial"/>
        </w:rPr>
        <w:t>A visita técnica é facultativa e será realizada em horário de expediente, por representante devidamente credenciado pela empresa interessada, devendo ser agendada por meio do telefone (19) 3413-5212 ou e-mail semacnaa@gmail.com, com o Sr. Henrique Mellega, de forma que tenham conhecimento pleno das condições técnicas para a sua efetiva realização.</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8. DO FORNECIMENTO DE INFORMAÇÕES:</w:t>
      </w:r>
    </w:p>
    <w:p>
      <w:pPr>
        <w:pStyle w:val="Normal"/>
        <w:numPr>
          <w:ilvl w:val="0"/>
          <w:numId w:val="15"/>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4">
        <w:r>
          <w:rPr>
            <w:rStyle w:val="Hyperlink"/>
            <w:rFonts w:cs="Arial" w:ascii="Arial" w:hAnsi="Arial"/>
          </w:rPr>
          <w:t>https://bnccompras.com</w:t>
        </w:r>
      </w:hyperlink>
      <w:r>
        <w:rPr>
          <w:rFonts w:cs="Arial" w:ascii="Arial" w:hAnsi="Arial"/>
        </w:rPr>
        <w:t xml:space="preserve"> </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numPr>
          <w:ilvl w:val="0"/>
          <w:numId w:val="13"/>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13"/>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945" w:leader="none"/>
        </w:tabs>
        <w:jc w:val="both"/>
        <w:rPr>
          <w:rFonts w:ascii="Arial" w:hAnsi="Arial" w:cs="Arial"/>
        </w:rPr>
      </w:pPr>
      <w:r>
        <w:rPr>
          <w:rFonts w:cs="Arial" w:ascii="Arial" w:hAnsi="Arial"/>
        </w:rPr>
        <w:tab/>
      </w:r>
    </w:p>
    <w:p>
      <w:pPr>
        <w:pStyle w:val="Normal"/>
        <w:numPr>
          <w:ilvl w:val="0"/>
          <w:numId w:val="13"/>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13"/>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13"/>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13"/>
        </w:numPr>
        <w:tabs>
          <w:tab w:val="clear" w:pos="709"/>
          <w:tab w:val="left" w:pos="284" w:leader="none"/>
          <w:tab w:val="left" w:pos="426" w:leader="none"/>
        </w:tabs>
        <w:jc w:val="both"/>
        <w:rPr/>
      </w:pPr>
      <w:r>
        <w:rPr>
          <w:rFonts w:cs="Arial" w:ascii="Arial" w:hAnsi="Arial"/>
          <w:color w:val="000000"/>
        </w:rPr>
        <w:t>C</w:t>
      </w:r>
      <w:r>
        <w:rPr>
          <w:rFonts w:cs="Calibri" w:ascii="Arial" w:hAnsi="Arial"/>
          <w:color w:val="000000"/>
        </w:rPr>
        <w:t>ertidão Negativa de Débitos ou Positiva com Efeito de Negativa de Débitos com a Fazenda Municipal</w:t>
      </w:r>
      <w:r>
        <w:rPr>
          <w:rFonts w:cs="Arial" w:ascii="Arial" w:hAnsi="Arial"/>
          <w:color w:val="000000"/>
        </w:rPr>
        <w:t xml:space="preserve"> de débito, relativa à sede ou do domicílio do licitante, com relação aos tributos mobiliários (ISS);</w:t>
      </w:r>
    </w:p>
    <w:p>
      <w:pPr>
        <w:pStyle w:val="Normal"/>
        <w:numPr>
          <w:ilvl w:val="1"/>
          <w:numId w:val="13"/>
        </w:numPr>
        <w:tabs>
          <w:tab w:val="clear" w:pos="709"/>
          <w:tab w:val="left" w:pos="284" w:leader="none"/>
          <w:tab w:val="left" w:pos="426" w:leader="none"/>
        </w:tabs>
        <w:jc w:val="both"/>
        <w:rPr/>
      </w:pPr>
      <w:r>
        <w:rPr>
          <w:rFonts w:cs="Arial" w:ascii="Arial" w:hAnsi="Arial"/>
          <w:color w:val="000000"/>
        </w:rPr>
        <w:t xml:space="preserve">Certidão de regularidade de débito para com o Fundo de Garantia por Tempo de Serviço (FGTS); </w:t>
      </w:r>
    </w:p>
    <w:p>
      <w:pPr>
        <w:pStyle w:val="Normal"/>
        <w:numPr>
          <w:ilvl w:val="1"/>
          <w:numId w:val="13"/>
        </w:numPr>
        <w:tabs>
          <w:tab w:val="clear" w:pos="709"/>
          <w:tab w:val="left" w:pos="284" w:leader="none"/>
          <w:tab w:val="left" w:pos="426" w:leader="none"/>
        </w:tabs>
        <w:jc w:val="both"/>
        <w:rPr/>
      </w:pPr>
      <w:r>
        <w:rPr>
          <w:rFonts w:cs="Arial" w:ascii="Arial" w:hAnsi="Arial"/>
          <w:color w:val="000000"/>
        </w:rPr>
        <w:t>Certidão Negativa de Débitos Trabalhistas ou Positiva de Débitos Trabalhistas com Efeito de Negativa.</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13"/>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13"/>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2"/>
          <w:numId w:val="13"/>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13"/>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13"/>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13"/>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13"/>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13"/>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13"/>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13"/>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13"/>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0"/>
          <w:numId w:val="13"/>
        </w:numPr>
        <w:tabs>
          <w:tab w:val="clear" w:pos="709"/>
          <w:tab w:val="left" w:pos="284" w:leader="none"/>
          <w:tab w:val="left" w:pos="426" w:leader="none"/>
          <w:tab w:val="left" w:pos="567" w:leader="none"/>
        </w:tabs>
        <w:jc w:val="both"/>
        <w:rPr>
          <w:rFonts w:ascii="Arial" w:hAnsi="Arial" w:cs="Arial"/>
        </w:rPr>
      </w:pPr>
      <w:r>
        <w:rPr>
          <w:rFonts w:cs="Arial" w:ascii="Arial" w:hAnsi="Arial"/>
          <w:b/>
          <w:bCs/>
        </w:rPr>
        <w:t>QUALIFICAÇÃO TÉCNICA</w:t>
      </w:r>
    </w:p>
    <w:p>
      <w:pPr>
        <w:pStyle w:val="ListParagraph"/>
        <w:numPr>
          <w:ilvl w:val="1"/>
          <w:numId w:val="14"/>
        </w:numPr>
        <w:tabs>
          <w:tab w:val="clear" w:pos="709"/>
          <w:tab w:val="left" w:pos="284" w:leader="none"/>
          <w:tab w:val="left" w:pos="426" w:leader="none"/>
          <w:tab w:val="left" w:pos="567" w:leader="none"/>
        </w:tabs>
        <w:suppressAutoHyphens w:val="false"/>
        <w:spacing w:before="0" w:after="0"/>
        <w:jc w:val="both"/>
        <w:rPr>
          <w:rFonts w:ascii="Arial" w:hAnsi="Arial" w:cs="Arial"/>
          <w:sz w:val="20"/>
          <w:szCs w:val="20"/>
        </w:rPr>
      </w:pPr>
      <w:r>
        <w:rPr>
          <w:rFonts w:cs="Arial" w:ascii="Arial" w:hAnsi="Arial"/>
          <w:sz w:val="20"/>
          <w:szCs w:val="20"/>
        </w:rPr>
        <w:t>Atestado(s) de capacidade técnica, expedidas por empresas Públicas ou Privadas, em nome da licitante, que comprove a execução satisfatória de serviços similares ao objeto desta licitação, com identificação de quem o assinou.</w:t>
      </w:r>
    </w:p>
    <w:p>
      <w:pPr>
        <w:pStyle w:val="ListParagraph"/>
        <w:numPr>
          <w:ilvl w:val="1"/>
          <w:numId w:val="14"/>
        </w:numPr>
        <w:tabs>
          <w:tab w:val="clear" w:pos="709"/>
          <w:tab w:val="left" w:pos="284" w:leader="none"/>
          <w:tab w:val="left" w:pos="426" w:leader="none"/>
          <w:tab w:val="left" w:pos="567" w:leader="none"/>
        </w:tabs>
        <w:suppressAutoHyphens w:val="false"/>
        <w:spacing w:before="0" w:after="0"/>
        <w:jc w:val="both"/>
        <w:rPr>
          <w:rFonts w:ascii="Arial" w:hAnsi="Arial" w:cs="Arial"/>
          <w:sz w:val="20"/>
          <w:szCs w:val="20"/>
        </w:rPr>
      </w:pPr>
      <w:r>
        <w:rPr>
          <w:rFonts w:cs="Arial" w:ascii="Arial" w:hAnsi="Arial"/>
          <w:sz w:val="20"/>
          <w:szCs w:val="20"/>
        </w:rPr>
        <w:t>Declaração que possui operador correspondente a função de sonoplasta, no seguimento de shows e espetáculos (SATED), e o indicará quando da assinatura do contrato, juntamente com as respectivas documentações exigidas (vínculo empregatício, registro profissional, atestado de capacidade profissional e demais pertinentes);</w:t>
      </w:r>
    </w:p>
    <w:p>
      <w:pPr>
        <w:pStyle w:val="ListParagraph"/>
        <w:tabs>
          <w:tab w:val="clear" w:pos="709"/>
          <w:tab w:val="left" w:pos="284" w:leader="none"/>
          <w:tab w:val="left" w:pos="426" w:leader="none"/>
          <w:tab w:val="left" w:pos="567" w:leader="none"/>
        </w:tabs>
        <w:suppressAutoHyphens w:val="false"/>
        <w:spacing w:before="0" w:after="0"/>
        <w:ind w:left="0"/>
        <w:jc w:val="both"/>
        <w:rPr>
          <w:rFonts w:ascii="Arial" w:hAnsi="Arial" w:cs="Arial"/>
          <w:sz w:val="20"/>
          <w:szCs w:val="20"/>
        </w:rPr>
      </w:pPr>
      <w:r>
        <w:rPr>
          <w:rFonts w:cs="Arial" w:ascii="Arial" w:hAnsi="Arial"/>
          <w:sz w:val="20"/>
          <w:szCs w:val="20"/>
        </w:rPr>
      </w:r>
    </w:p>
    <w:p>
      <w:pPr>
        <w:pStyle w:val="Normal"/>
        <w:jc w:val="both"/>
        <w:rPr>
          <w:rFonts w:ascii="Arial" w:hAnsi="Arial" w:cs="Arial"/>
          <w:color w:val="000000"/>
        </w:rPr>
      </w:pPr>
      <w:r>
        <w:rPr>
          <w:rFonts w:cs="Arial" w:ascii="Arial" w:hAnsi="Arial"/>
          <w:color w:val="000000"/>
        </w:rPr>
      </w:r>
    </w:p>
    <w:p>
      <w:pPr>
        <w:pStyle w:val="Normal"/>
        <w:shd w:val="clear" w:color="auto" w:fill="CCCCCC"/>
        <w:ind w:firstLine="561"/>
        <w:jc w:val="both"/>
        <w:rPr>
          <w:rFonts w:ascii="Arial" w:hAnsi="Arial" w:cs="Arial"/>
        </w:rPr>
      </w:pPr>
      <w:r>
        <w:rPr>
          <w:rFonts w:cs="Arial" w:ascii="Arial" w:hAnsi="Arial"/>
          <w:b/>
          <w:bCs/>
        </w:rPr>
        <w:t>10. ANEXOS:</w:t>
      </w:r>
    </w:p>
    <w:p>
      <w:pPr>
        <w:pStyle w:val="Normal"/>
        <w:numPr>
          <w:ilvl w:val="0"/>
          <w:numId w:val="33"/>
        </w:numPr>
        <w:tabs>
          <w:tab w:val="clear" w:pos="709"/>
          <w:tab w:val="left" w:pos="284" w:leader="none"/>
        </w:tabs>
        <w:jc w:val="both"/>
        <w:rPr>
          <w:rFonts w:ascii="Arial" w:hAnsi="Arial" w:cs="Arial"/>
        </w:rPr>
      </w:pPr>
      <w:r>
        <w:rPr>
          <w:rFonts w:cs="Arial" w:ascii="Arial" w:hAnsi="Arial"/>
        </w:rPr>
        <w:t>Faz parte integrante e indissociável deste Termo de Referência, o seguinte anexo:</w:t>
      </w:r>
    </w:p>
    <w:p>
      <w:pPr>
        <w:pStyle w:val="Normal"/>
        <w:numPr>
          <w:ilvl w:val="1"/>
          <w:numId w:val="34"/>
        </w:numPr>
        <w:tabs>
          <w:tab w:val="clear" w:pos="709"/>
          <w:tab w:val="left" w:pos="284" w:leader="none"/>
        </w:tabs>
        <w:jc w:val="both"/>
        <w:rPr>
          <w:rFonts w:ascii="Arial" w:hAnsi="Arial" w:cs="Arial"/>
        </w:rPr>
      </w:pPr>
      <w:r>
        <w:rPr>
          <w:rFonts w:cs="Arial" w:ascii="Arial" w:hAnsi="Arial"/>
        </w:rPr>
        <w:t>Memorial de Segurança.</w:t>
      </w:r>
    </w:p>
    <w:p>
      <w:pPr>
        <w:pStyle w:val="Normal"/>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 xml:space="preserve">Piracicaba, </w:t>
      </w:r>
      <w:r>
        <w:rPr>
          <w:rFonts w:cs="Arial" w:ascii="Arial" w:hAnsi="Arial"/>
        </w:rPr>
        <w:t>09 de setembro de 2025.</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bidi w:val="0"/>
        <w:ind w:hanging="0" w:left="0" w:right="0"/>
        <w:jc w:val="center"/>
        <w:rPr>
          <w:rFonts w:ascii="Arial" w:hAnsi="Arial" w:cs="Arial"/>
          <w:b/>
        </w:rPr>
      </w:pPr>
      <w:r>
        <w:rPr>
          <w:rFonts w:cs="Arial" w:ascii="Arial" w:hAnsi="Arial"/>
          <w:b/>
        </w:rPr>
        <w:t>Priscila Camargo Rodrigues Grecchi</w:t>
      </w:r>
    </w:p>
    <w:p>
      <w:pPr>
        <w:pStyle w:val="Normal"/>
        <w:suppressAutoHyphens w:val="false"/>
        <w:rPr>
          <w:rFonts w:ascii="Arial" w:hAnsi="Arial" w:cs="Arial"/>
          <w:b/>
        </w:rPr>
      </w:pPr>
      <w:r>
        <w:rPr>
          <w:rFonts w:cs="Arial" w:ascii="Arial" w:hAnsi="Arial"/>
          <w:b/>
        </w:rPr>
        <w:tab/>
        <w:tab/>
        <w:tab/>
        <w:tab/>
        <w:tab/>
        <w:tab/>
        <w:t xml:space="preserve">Chefe da Divisão </w:t>
      </w:r>
      <w:bookmarkStart w:id="0" w:name="_GoBack_Copia_1"/>
      <w:r>
        <w:br w:type="page"/>
      </w:r>
    </w:p>
    <w:p>
      <w:pPr>
        <w:pStyle w:val="Heading2"/>
        <w:numPr>
          <w:ilvl w:val="1"/>
          <w:numId w:val="1"/>
        </w:numPr>
        <w:tabs>
          <w:tab w:val="clear" w:pos="709"/>
        </w:tabs>
        <w:spacing w:before="0" w:after="0"/>
        <w:ind w:hanging="0" w:left="0"/>
        <w:rPr/>
      </w:pPr>
      <w:r>
        <w:rPr/>
      </w:r>
    </w:p>
    <w:p>
      <w:pPr>
        <w:pStyle w:val="Heading2"/>
        <w:numPr>
          <w:ilvl w:val="1"/>
          <w:numId w:val="1"/>
        </w:numPr>
        <w:tabs>
          <w:tab w:val="clear" w:pos="709"/>
        </w:tabs>
        <w:ind w:hanging="0" w:left="0"/>
        <w:rPr/>
      </w:pPr>
      <w:r>
        <w:rPr/>
        <w:t>REGULAMENTO GERAL</w:t>
      </w:r>
    </w:p>
    <w:p>
      <w:pPr>
        <w:pStyle w:val="BodyText"/>
        <w:jc w:val="center"/>
        <w:rPr>
          <w:sz w:val="20"/>
          <w:szCs w:val="20"/>
          <w:lang w:val="pt-BR"/>
        </w:rPr>
      </w:pPr>
      <w:r>
        <w:rPr>
          <w:sz w:val="20"/>
          <w:szCs w:val="20"/>
          <w:lang w:val="pt-BR"/>
        </w:rPr>
      </w:r>
    </w:p>
    <w:p>
      <w:pPr>
        <w:pStyle w:val="Normal"/>
        <w:jc w:val="center"/>
        <w:rPr>
          <w:rFonts w:ascii="Arial" w:hAnsi="Arial" w:cs="Arial"/>
          <w:sz w:val="22"/>
        </w:rPr>
      </w:pPr>
      <w:r>
        <w:rPr>
          <w:rFonts w:cs="Arial" w:ascii="Arial" w:hAnsi="Arial"/>
          <w:sz w:val="22"/>
        </w:rPr>
        <w:t>Pregão Eletrônico - Serviços</w:t>
      </w:r>
    </w:p>
    <w:p>
      <w:pPr>
        <w:pStyle w:val="Normal"/>
        <w:jc w:val="center"/>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5">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6">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4.1. </w:t>
      </w:r>
      <w:r>
        <w:rPr>
          <w:rFonts w:cs="Arial" w:ascii="Arial" w:hAnsi="Arial"/>
        </w:rPr>
        <w:t>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5.2. A participação neste Pregão é aberta as empresas de todos os portes.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5.4.</w:t>
      </w:r>
      <w:r>
        <w:rPr>
          <w:rFonts w:cs="Arial" w:ascii="Arial" w:hAnsi="Arial"/>
        </w:rPr>
        <w:t xml:space="preserve"> No caso de participação de consórcios, deverá ser observado o atendimento às condições previstas no artigo 15 da Lei Federal nº 14.133/21 e, em especial, às seguintes regras: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5.4.1.</w:t>
      </w:r>
      <w:r>
        <w:rPr>
          <w:rFonts w:cs="Arial" w:ascii="Arial" w:hAnsi="Arial"/>
        </w:rPr>
        <w:t xml:space="preserve"> Comprovação do compromisso público ou particular de constituição do consórcio, subscrito pelos consorciados;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5.4.2</w:t>
      </w:r>
      <w:r>
        <w:rPr>
          <w:rFonts w:cs="Arial" w:ascii="Arial" w:hAnsi="Arial"/>
        </w:rPr>
        <w:t>. Indicação da empresa líder do consórcio, que será responsável por sua representação perante a Administração;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5.4.3.</w:t>
      </w:r>
      <w:r>
        <w:rPr>
          <w:rFonts w:cs="Arial" w:ascii="Arial" w:hAnsi="Arial"/>
        </w:rPr>
        <w:t xml:space="preserve"> Admissão, para efeito de habilitação técnica, do somatório dos quantitativos de cada consorciado e, para efeito de habilitação econômico-financeira, do somatório dos valores de cada consorciado;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5.4.4.</w:t>
      </w:r>
      <w:r>
        <w:rPr>
          <w:rFonts w:cs="Arial" w:ascii="Arial" w:hAnsi="Arial"/>
        </w:rPr>
        <w:t xml:space="preserve"> Responsabilidade solidária dos integrantes pelos atos praticados em consórcio, tanto na fase de licitação quanto na de execução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5.4.5.</w:t>
      </w:r>
      <w:r>
        <w:rPr>
          <w:rFonts w:cs="Arial" w:ascii="Arial" w:hAnsi="Arial"/>
        </w:rPr>
        <w:t xml:space="preserve"> Procuração das consorciadas, outorgando à empresa líder poderes para representá-las perante a Contratante, em juízo ou fora dele.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5.4.6</w:t>
      </w:r>
      <w:r>
        <w:rPr>
          <w:rFonts w:cs="Arial" w:ascii="Arial" w:hAnsi="Arial"/>
        </w:rPr>
        <w:t>. É vedada a participação de empresa consorciada no presente certame, através de mais de um consórcio ou isoladamente.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7">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tabs>
          <w:tab w:val="clear" w:pos="709"/>
          <w:tab w:val="left" w:pos="284" w:leader="none"/>
        </w:tabs>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6.5.</w:t>
      </w:r>
      <w:r>
        <w:rPr>
          <w:rFonts w:cs="Arial" w:ascii="Arial" w:hAnsi="Arial"/>
        </w:rPr>
        <w:t xml:space="preserve"> 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rPr>
      </w:pPr>
      <w:r>
        <w:rPr>
          <w:rFonts w:cs="Arial" w:ascii="Arial" w:hAnsi="Arial"/>
        </w:rPr>
      </w:r>
    </w:p>
    <w:p>
      <w:pPr>
        <w:pStyle w:val="Heading9"/>
        <w:numPr>
          <w:ilvl w:val="8"/>
          <w:numId w:val="1"/>
        </w:numPr>
        <w:ind w:firstLine="284" w:left="0"/>
        <w:rPr>
          <w:sz w:val="20"/>
          <w:szCs w:val="2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8">
        <w:r>
          <w:rPr>
            <w:rStyle w:val="Hyperlink"/>
            <w:rFonts w:cs="Arial" w:ascii="Arial" w:hAnsi="Arial"/>
          </w:rPr>
          <w:t>https://bnccompras.com</w:t>
        </w:r>
      </w:hyperlink>
      <w:r>
        <w:rPr>
          <w:rFonts w:cs="Arial" w:ascii="Arial" w:hAnsi="Arial"/>
        </w:rPr>
        <w:t>, observados data e horário limite estabelecidos neste Edital.</w:t>
      </w:r>
    </w:p>
    <w:p>
      <w:pPr>
        <w:pStyle w:val="BodyTextIndent"/>
        <w:tabs>
          <w:tab w:val="clear" w:pos="709"/>
          <w:tab w:val="left" w:pos="284" w:leader="none"/>
        </w:tabs>
        <w:overflowPunct w:val="false"/>
        <w:spacing w:lineRule="auto" w:line="240"/>
        <w:ind w:firstLine="284"/>
        <w:textAlignment w:val="auto"/>
        <w:rPr>
          <w:color w:val="auto"/>
          <w:sz w:val="20"/>
          <w:szCs w:val="20"/>
          <w:lang w:val="pt-BR"/>
        </w:rPr>
      </w:pPr>
      <w:r>
        <w:rPr>
          <w:color w:val="auto"/>
          <w:sz w:val="20"/>
          <w:szCs w:val="20"/>
          <w:lang w:val="pt-BR"/>
        </w:rPr>
      </w:r>
    </w:p>
    <w:p>
      <w:pPr>
        <w:pStyle w:val="BodyTextIndent"/>
        <w:tabs>
          <w:tab w:val="clear" w:pos="709"/>
          <w:tab w:val="left" w:pos="284" w:leader="none"/>
        </w:tabs>
        <w:overflowPunct w:val="false"/>
        <w:spacing w:lineRule="auto" w:line="240"/>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pPr>
        <w:pStyle w:val="BodyTextIndent"/>
        <w:tabs>
          <w:tab w:val="clear" w:pos="709"/>
          <w:tab w:val="left" w:pos="284" w:leader="none"/>
        </w:tabs>
        <w:overflowPunct w:val="false"/>
        <w:spacing w:lineRule="auto" w:line="240"/>
        <w:ind w:firstLine="284"/>
        <w:textAlignment w:val="auto"/>
        <w:rPr>
          <w:color w:val="auto"/>
          <w:sz w:val="20"/>
          <w:szCs w:val="20"/>
        </w:rPr>
      </w:pPr>
      <w:r>
        <w:rPr>
          <w:color w:val="auto"/>
          <w:sz w:val="20"/>
          <w:szCs w:val="20"/>
        </w:rPr>
      </w:r>
    </w:p>
    <w:p>
      <w:pPr>
        <w:pStyle w:val="BodyTextIndent"/>
        <w:overflowPunct w:val="false"/>
        <w:spacing w:lineRule="auto" w:line="240"/>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pPr>
        <w:pStyle w:val="BodyTextIndent"/>
        <w:overflowPunct w:val="false"/>
        <w:spacing w:lineRule="auto" w:line="240"/>
        <w:ind w:firstLine="284"/>
        <w:textAlignment w:val="auto"/>
        <w:rPr>
          <w:color w:val="auto"/>
          <w:sz w:val="20"/>
          <w:szCs w:val="20"/>
        </w:rPr>
      </w:pPr>
      <w:r>
        <w:rPr>
          <w:color w:val="auto"/>
          <w:sz w:val="20"/>
          <w:szCs w:val="20"/>
        </w:rPr>
      </w:r>
    </w:p>
    <w:p>
      <w:pPr>
        <w:pStyle w:val="BodyTextIndent"/>
        <w:overflowPunct w:val="false"/>
        <w:spacing w:lineRule="auto" w:line="240"/>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pPr>
        <w:pStyle w:val="BodyTextIndent"/>
        <w:overflowPunct w:val="false"/>
        <w:spacing w:lineRule="auto" w:line="240"/>
        <w:ind w:firstLine="284"/>
        <w:textAlignment w:val="auto"/>
        <w:rPr>
          <w:color w:val="auto"/>
          <w:sz w:val="20"/>
          <w:szCs w:val="20"/>
        </w:rPr>
      </w:pPr>
      <w:r>
        <w:rPr>
          <w:color w:val="auto"/>
          <w:sz w:val="20"/>
          <w:szCs w:val="20"/>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 xml:space="preserve">8.1. </w:t>
      </w:r>
      <w:r>
        <w:rPr>
          <w:rFonts w:cs="Arial" w:ascii="Arial" w:hAnsi="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8.2. </w:t>
      </w:r>
      <w:r>
        <w:rPr>
          <w:rFonts w:cs="Arial" w:ascii="Arial" w:hAnsi="Arial"/>
        </w:rPr>
        <w:t>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8.3.</w:t>
      </w:r>
      <w:r>
        <w:rPr>
          <w:rFonts w:cs="Arial" w:ascii="Arial" w:hAnsi="Arial"/>
        </w:rPr>
        <w:t xml:space="preserve"> As licitantes deverão declarar sua condição de Microempresa ou Empresa de Pequeno Porte, ao selecionar se são ou não beneficiárias da Lei Complementar n.º 123/2006 alterada pela Lei Complementar nº 147/2014.</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8.5.</w:t>
      </w:r>
      <w:r>
        <w:rPr>
          <w:rFonts w:cs="Arial" w:ascii="Arial" w:hAnsi="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8.7.</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t>8.7.2. A proposta readequada deverá seguir o modelo disponível no Anexo IV deste edital.</w:t>
      </w:r>
    </w:p>
    <w:p>
      <w:pPr>
        <w:pStyle w:val="Normal"/>
        <w:numPr>
          <w:ilvl w:val="0"/>
          <w:numId w:val="1"/>
        </w:numPr>
        <w:ind w:firstLine="284" w:lef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8.8.</w:t>
      </w:r>
      <w:r>
        <w:rPr>
          <w:rFonts w:cs="Arial" w:ascii="Arial" w:hAnsi="Arial"/>
        </w:rPr>
        <w:t xml:space="preserve"> O licitante poderá suprir ou sanear eventuais omissões ou falhas relativas ao cumprimento dos requisitos do item 8.7.,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8.9.</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rFonts w:ascii="Arial" w:hAnsi="Arial" w:cs="Arial"/>
        </w:rPr>
      </w:pPr>
      <w:r>
        <w:rPr>
          <w:rFonts w:cs="Arial" w:ascii="Arial" w:hAnsi="Arial"/>
        </w:rPr>
      </w:r>
    </w:p>
    <w:p>
      <w:pPr>
        <w:pStyle w:val="Heading8"/>
        <w:numPr>
          <w:ilvl w:val="7"/>
          <w:numId w:val="35"/>
        </w:numPr>
        <w:ind w:firstLine="284" w:left="0"/>
        <w:rPr>
          <w:rFonts w:cs="Arial"/>
          <w:caps/>
          <w:kern w:val="2"/>
          <w:sz w:val="20"/>
          <w:szCs w:val="20"/>
        </w:rPr>
      </w:pPr>
      <w:r>
        <w:rPr>
          <w:rFonts w:cs="Arial"/>
          <w:caps/>
          <w:sz w:val="20"/>
          <w:szCs w:val="20"/>
        </w:rPr>
        <w:t>9</w:t>
      </w:r>
      <w:r>
        <w:rPr>
          <w:rFonts w:cs="Arial"/>
          <w:caps/>
          <w:sz w:val="20"/>
          <w:szCs w:val="20"/>
          <w:lang w:val="pt-BR"/>
        </w:rPr>
        <w:t>.</w:t>
      </w:r>
      <w:r>
        <w:rPr>
          <w:rFonts w:cs="Arial"/>
          <w:caps/>
          <w:sz w:val="20"/>
          <w:szCs w:val="20"/>
        </w:rPr>
        <w:t xml:space="preserve"> ENVIO DA DOCUMENTAÇÃO DE HABILITAÇÃO </w:t>
      </w:r>
    </w:p>
    <w:p>
      <w:pPr>
        <w:pStyle w:val="Normal"/>
        <w:ind w:firstLine="284"/>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9.2.1. </w:t>
      </w:r>
      <w:r>
        <w:rPr>
          <w:rFonts w:cs="Arial" w:ascii="Arial" w:hAnsi="Arial"/>
        </w:rPr>
        <w:t>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ind w:firstLine="284"/>
        <w:rPr>
          <w:bCs/>
          <w:color w:val="auto"/>
          <w:sz w:val="20"/>
          <w:szCs w:val="20"/>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bCs/>
        </w:rPr>
      </w:pPr>
      <w:r>
        <w:rPr>
          <w:rFonts w:cs="Arial" w:ascii="Arial" w:hAnsi="Arial"/>
          <w:bCs/>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9.3.1.</w:t>
      </w:r>
      <w:r>
        <w:rPr>
          <w:rFonts w:cs="Arial" w:ascii="Arial" w:hAnsi="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9.3.2.</w:t>
      </w:r>
      <w:r>
        <w:rPr>
          <w:rFonts w:cs="Arial" w:ascii="Arial" w:hAnsi="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9.4.</w:t>
      </w:r>
      <w:r>
        <w:rPr>
          <w:rFonts w:cs="Arial" w:ascii="Arial" w:hAnsi="Arial"/>
        </w:rPr>
        <w:t xml:space="preserve"> Os documentos que compõem a habilitação do licitante melhor classificado somente serão disponibilizados para avaliação do pregoeiro e para acesso público após o encerramento do envio de lances.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9.5.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color w:val="00B050"/>
        </w:rPr>
      </w:pPr>
      <w:r>
        <w:rPr>
          <w:rFonts w:cs="Arial" w:ascii="Arial" w:hAnsi="Arial"/>
          <w:color w:val="00B050"/>
        </w:rPr>
      </w:r>
    </w:p>
    <w:p>
      <w:pPr>
        <w:pStyle w:val="Normal"/>
        <w:ind w:firstLine="284"/>
        <w:jc w:val="both"/>
        <w:rPr>
          <w:rFonts w:ascii="Arial" w:hAnsi="Arial" w:cs="Arial"/>
        </w:rPr>
      </w:pPr>
      <w:r>
        <w:rPr>
          <w:rFonts w:cs="Arial" w:ascii="Arial" w:hAnsi="Arial"/>
          <w:b/>
          <w:bCs/>
        </w:rPr>
        <w:t>9.5.2.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rPr>
      </w:pPr>
      <w:r>
        <w:rPr>
          <w:rFonts w:cs="Arial" w:ascii="Arial" w:hAnsi="Arial"/>
        </w:rPr>
      </w:r>
    </w:p>
    <w:p>
      <w:pPr>
        <w:pStyle w:val="Heading8"/>
        <w:numPr>
          <w:ilvl w:val="7"/>
          <w:numId w:val="36"/>
        </w:numPr>
        <w:ind w:firstLine="284" w:left="0"/>
        <w:rPr>
          <w:rFonts w:cs="Arial"/>
          <w:sz w:val="20"/>
          <w:szCs w:val="20"/>
        </w:rPr>
      </w:pPr>
      <w:r>
        <w:rPr>
          <w:rFonts w:cs="Arial"/>
          <w:caps/>
          <w:sz w:val="20"/>
          <w:szCs w:val="20"/>
        </w:rPr>
        <w:t>10</w:t>
      </w:r>
      <w:r>
        <w:rPr>
          <w:rFonts w:cs="Arial"/>
          <w:caps/>
          <w:sz w:val="20"/>
          <w:szCs w:val="20"/>
          <w:lang w:val="pt-BR"/>
        </w:rPr>
        <w:t>.</w:t>
      </w:r>
      <w:r>
        <w:rPr>
          <w:rFonts w:cs="Arial"/>
          <w:caps/>
          <w:sz w:val="20"/>
          <w:szCs w:val="20"/>
        </w:rPr>
        <w:t xml:space="preserve"> abertura</w:t>
      </w:r>
    </w:p>
    <w:p>
      <w:pPr>
        <w:pStyle w:val="Normal"/>
        <w:ind w:firstLine="284"/>
        <w:jc w:val="both"/>
        <w:rPr>
          <w:rFonts w:ascii="Arial" w:hAnsi="Arial" w:cs="Arial"/>
          <w:sz w:val="18"/>
        </w:rPr>
      </w:pPr>
      <w:r>
        <w:rPr>
          <w:rFonts w:cs="Arial" w:ascii="Arial" w:hAnsi="Arial"/>
          <w:sz w:val="18"/>
        </w:rPr>
      </w:r>
    </w:p>
    <w:p>
      <w:pPr>
        <w:pStyle w:val="Normal"/>
        <w:numPr>
          <w:ilvl w:val="0"/>
          <w:numId w:val="37"/>
        </w:numPr>
        <w:ind w:firstLine="284" w:left="0"/>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38"/>
        </w:numPr>
        <w:ind w:firstLine="284" w:left="0"/>
        <w:jc w:val="both"/>
        <w:rPr>
          <w:rFonts w:ascii="Arial" w:hAnsi="Arial" w:cs="Arial"/>
          <w:sz w:val="18"/>
        </w:rPr>
      </w:pPr>
      <w:r>
        <w:rPr>
          <w:rFonts w:cs="Arial" w:ascii="Arial" w:hAnsi="Arial"/>
          <w:sz w:val="18"/>
        </w:rPr>
      </w:r>
    </w:p>
    <w:p>
      <w:pPr>
        <w:pStyle w:val="Normal"/>
        <w:numPr>
          <w:ilvl w:val="0"/>
          <w:numId w:val="39"/>
        </w:numPr>
        <w:ind w:firstLine="284" w:left="0"/>
        <w:jc w:val="both"/>
        <w:rPr>
          <w:rFonts w:ascii="Arial" w:hAnsi="Arial" w:cs="Arial"/>
        </w:rPr>
      </w:pPr>
      <w:r>
        <w:rPr>
          <w:rFonts w:cs="Arial" w:ascii="Arial" w:hAnsi="Arial"/>
          <w:b/>
          <w:bCs/>
        </w:rPr>
        <w:t xml:space="preserve">10.2. </w:t>
      </w:r>
      <w:r>
        <w:rPr>
          <w:rFonts w:cs="Arial" w:ascii="Arial" w:hAnsi="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40"/>
        </w:numPr>
        <w:ind w:firstLine="284" w:left="0"/>
        <w:jc w:val="both"/>
        <w:rPr>
          <w:rFonts w:ascii="Arial" w:hAnsi="Arial" w:cs="Arial"/>
          <w:sz w:val="18"/>
        </w:rPr>
      </w:pPr>
      <w:r>
        <w:rPr>
          <w:rFonts w:cs="Arial" w:ascii="Arial" w:hAnsi="Arial"/>
          <w:sz w:val="18"/>
        </w:rPr>
      </w:r>
    </w:p>
    <w:p>
      <w:pPr>
        <w:pStyle w:val="Normal"/>
        <w:numPr>
          <w:ilvl w:val="0"/>
          <w:numId w:val="41"/>
        </w:numPr>
        <w:tabs>
          <w:tab w:val="clear" w:pos="709"/>
          <w:tab w:val="left" w:pos="284" w:leader="none"/>
        </w:tabs>
        <w:ind w:firstLine="284" w:left="0"/>
        <w:jc w:val="both"/>
        <w:rPr>
          <w:rFonts w:ascii="Arial" w:hAnsi="Arial" w:cs="Arial"/>
        </w:rPr>
      </w:pPr>
      <w:r>
        <w:rPr>
          <w:rFonts w:cs="Arial" w:ascii="Arial" w:hAnsi="Arial"/>
          <w:b/>
          <w:bCs/>
        </w:rPr>
        <w:t>10.2.1.</w:t>
      </w:r>
      <w:r>
        <w:rPr>
          <w:rFonts w:cs="Arial" w:ascii="Arial" w:hAnsi="Arial"/>
        </w:rPr>
        <w:t xml:space="preserve"> Não serão aceitos dois ou mais lances de mesmo valor, prevalecendo aquele que for recebido e registrado em primeiro lugar.</w:t>
      </w:r>
    </w:p>
    <w:p>
      <w:pPr>
        <w:pStyle w:val="Normal"/>
        <w:numPr>
          <w:ilvl w:val="0"/>
          <w:numId w:val="42"/>
        </w:numPr>
        <w:ind w:firstLine="284" w:left="0"/>
        <w:jc w:val="both"/>
        <w:rPr>
          <w:rFonts w:ascii="Arial" w:hAnsi="Arial" w:cs="Arial"/>
          <w:sz w:val="18"/>
        </w:rPr>
      </w:pPr>
      <w:r>
        <w:rPr>
          <w:rFonts w:cs="Arial" w:ascii="Arial" w:hAnsi="Arial"/>
          <w:sz w:val="18"/>
        </w:rPr>
      </w:r>
    </w:p>
    <w:p>
      <w:pPr>
        <w:pStyle w:val="Normal"/>
        <w:numPr>
          <w:ilvl w:val="0"/>
          <w:numId w:val="43"/>
        </w:numPr>
        <w:tabs>
          <w:tab w:val="clear" w:pos="709"/>
          <w:tab w:val="left" w:pos="284" w:leader="none"/>
        </w:tabs>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44"/>
        </w:numPr>
        <w:ind w:firstLine="284" w:left="0"/>
        <w:jc w:val="both"/>
        <w:rPr>
          <w:rFonts w:ascii="Arial" w:hAnsi="Arial" w:cs="Arial"/>
          <w:sz w:val="18"/>
        </w:rPr>
      </w:pPr>
      <w:r>
        <w:rPr>
          <w:rFonts w:cs="Arial" w:ascii="Arial" w:hAnsi="Arial"/>
          <w:sz w:val="18"/>
        </w:rPr>
      </w:r>
    </w:p>
    <w:p>
      <w:pPr>
        <w:pStyle w:val="Normal"/>
        <w:numPr>
          <w:ilvl w:val="0"/>
          <w:numId w:val="45"/>
        </w:numPr>
        <w:ind w:firstLine="284" w:left="0"/>
        <w:jc w:val="both"/>
        <w:rPr>
          <w:rFonts w:ascii="Arial" w:hAnsi="Arial" w:cs="Arial"/>
        </w:rPr>
      </w:pPr>
      <w:r>
        <w:rPr>
          <w:rFonts w:cs="Arial" w:ascii="Arial" w:hAnsi="Arial"/>
          <w:b/>
          <w:bCs/>
        </w:rPr>
        <w:t>10.3.</w:t>
      </w:r>
      <w:r>
        <w:rPr>
          <w:rFonts w:cs="Arial" w:ascii="Arial" w:hAnsi="Arial"/>
        </w:rPr>
        <w:t xml:space="preserve"> Durante o transcurso da sessão pública, as licitantes serão informadas, em tempo real, do valor do menor lance registrado. O sistema eletrônico não identificará a autora dos lances às demais licitantes.</w:t>
      </w:r>
    </w:p>
    <w:p>
      <w:pPr>
        <w:pStyle w:val="Normal"/>
        <w:numPr>
          <w:ilvl w:val="0"/>
          <w:numId w:val="46"/>
        </w:numPr>
        <w:ind w:firstLine="284" w:left="0"/>
        <w:jc w:val="both"/>
        <w:rPr>
          <w:rFonts w:ascii="Arial" w:hAnsi="Arial" w:cs="Arial"/>
          <w:sz w:val="18"/>
        </w:rPr>
      </w:pPr>
      <w:r>
        <w:rPr>
          <w:rFonts w:cs="Arial" w:ascii="Arial" w:hAnsi="Arial"/>
          <w:sz w:val="18"/>
        </w:rPr>
      </w:r>
    </w:p>
    <w:p>
      <w:pPr>
        <w:pStyle w:val="Normal"/>
        <w:numPr>
          <w:ilvl w:val="0"/>
          <w:numId w:val="47"/>
        </w:numPr>
        <w:ind w:firstLine="284" w:left="0"/>
        <w:jc w:val="both"/>
        <w:rPr>
          <w:rFonts w:ascii="Arial" w:hAnsi="Arial" w:cs="Arial"/>
        </w:rPr>
      </w:pPr>
      <w:r>
        <w:rPr>
          <w:rFonts w:cs="Arial" w:ascii="Arial" w:hAnsi="Arial"/>
          <w:b/>
          <w:bCs/>
        </w:rPr>
        <w:t>10.4.</w:t>
      </w:r>
      <w:r>
        <w:rPr>
          <w:rFonts w:cs="Arial" w:ascii="Arial" w:hAnsi="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48"/>
        </w:numPr>
        <w:ind w:firstLine="284" w:left="0"/>
        <w:jc w:val="both"/>
        <w:rPr>
          <w:rFonts w:ascii="Arial" w:hAnsi="Arial" w:cs="Arial"/>
          <w:sz w:val="18"/>
        </w:rPr>
      </w:pPr>
      <w:r>
        <w:rPr>
          <w:rFonts w:cs="Arial" w:ascii="Arial" w:hAnsi="Arial"/>
          <w:sz w:val="18"/>
        </w:rPr>
      </w:r>
    </w:p>
    <w:p>
      <w:pPr>
        <w:pStyle w:val="BodyText"/>
        <w:numPr>
          <w:ilvl w:val="0"/>
          <w:numId w:val="49"/>
        </w:numPr>
        <w:ind w:firstLine="284" w:left="0"/>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pPr>
        <w:pStyle w:val="BodyText"/>
        <w:numPr>
          <w:ilvl w:val="0"/>
          <w:numId w:val="50"/>
        </w:numPr>
        <w:ind w:firstLine="284" w:left="0"/>
        <w:rPr>
          <w:sz w:val="18"/>
          <w:szCs w:val="20"/>
        </w:rPr>
      </w:pPr>
      <w:r>
        <w:rPr>
          <w:sz w:val="18"/>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pPr>
        <w:pStyle w:val="BodyText"/>
        <w:ind w:firstLine="284"/>
        <w:rPr>
          <w:sz w:val="18"/>
          <w:szCs w:val="20"/>
        </w:rPr>
      </w:pPr>
      <w:r>
        <w:rPr>
          <w:sz w:val="18"/>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pPr>
        <w:pStyle w:val="BodyText"/>
        <w:ind w:firstLine="284"/>
        <w:rPr>
          <w:sz w:val="18"/>
          <w:szCs w:val="20"/>
        </w:rPr>
      </w:pPr>
      <w:r>
        <w:rPr>
          <w:sz w:val="18"/>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pPr>
        <w:pStyle w:val="BodyText"/>
        <w:ind w:firstLine="284"/>
        <w:rPr>
          <w:sz w:val="18"/>
          <w:szCs w:val="20"/>
        </w:rPr>
      </w:pPr>
      <w:r>
        <w:rPr>
          <w:sz w:val="18"/>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pPr>
        <w:pStyle w:val="BodyText"/>
        <w:ind w:firstLine="284"/>
        <w:rPr>
          <w:sz w:val="18"/>
          <w:szCs w:val="20"/>
        </w:rPr>
      </w:pPr>
      <w:r>
        <w:rPr>
          <w:sz w:val="18"/>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pPr>
        <w:pStyle w:val="BodyText"/>
        <w:ind w:firstLine="284"/>
        <w:rPr>
          <w:sz w:val="18"/>
          <w:szCs w:val="20"/>
          <w:highlight w:val="yellow"/>
        </w:rPr>
      </w:pPr>
      <w:r>
        <w:rPr>
          <w:sz w:val="18"/>
          <w:szCs w:val="20"/>
          <w:highlight w:val="yellow"/>
        </w:rPr>
      </w:r>
    </w:p>
    <w:p>
      <w:pPr>
        <w:pStyle w:val="BodyText"/>
        <w:numPr>
          <w:ilvl w:val="0"/>
          <w:numId w:val="51"/>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pPr>
        <w:pStyle w:val="BodyText"/>
        <w:numPr>
          <w:ilvl w:val="0"/>
          <w:numId w:val="52"/>
        </w:numPr>
        <w:ind w:firstLine="284" w:left="0"/>
        <w:rPr>
          <w:sz w:val="18"/>
          <w:szCs w:val="20"/>
        </w:rPr>
      </w:pPr>
      <w:r>
        <w:rPr>
          <w:sz w:val="18"/>
          <w:szCs w:val="20"/>
        </w:rPr>
      </w:r>
    </w:p>
    <w:p>
      <w:pPr>
        <w:pStyle w:val="BodyText"/>
        <w:numPr>
          <w:ilvl w:val="0"/>
          <w:numId w:val="53"/>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18"/>
          <w:szCs w:val="20"/>
        </w:rPr>
        <w:t xml:space="preserve"> </w:t>
      </w:r>
      <w:r>
        <w:rPr>
          <w:sz w:val="20"/>
          <w:szCs w:val="20"/>
        </w:rPr>
        <w:t>poderá negociar com a licitante para que seja obtido menor preço.</w:t>
      </w:r>
    </w:p>
    <w:p>
      <w:pPr>
        <w:pStyle w:val="BodyText"/>
        <w:numPr>
          <w:ilvl w:val="0"/>
          <w:numId w:val="54"/>
        </w:numPr>
        <w:ind w:firstLine="284" w:left="0"/>
        <w:rPr>
          <w:sz w:val="20"/>
          <w:szCs w:val="20"/>
        </w:rPr>
      </w:pPr>
      <w:r>
        <w:rPr>
          <w:sz w:val="20"/>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da Unidade Requisitante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tabs>
          <w:tab w:val="clear" w:pos="709"/>
          <w:tab w:val="left" w:pos="795" w:leader="none"/>
        </w:tabs>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9">
        <w:r>
          <w:rPr>
            <w:rStyle w:val="Style"/>
            <w:rFonts w:cs="Arial" w:ascii="Arial" w:hAnsi="Arial"/>
          </w:rPr>
          <w:t>Lei nº 14.133, de 2021</w:t>
        </w:r>
      </w:hyperlink>
      <w:r>
        <w:rPr>
          <w:rFonts w:cs="Arial" w:ascii="Arial" w:hAnsi="Arial"/>
        </w:rPr>
        <w:t>, devendo protocolar o pedido até 03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ind w:firstLine="284"/>
        <w:jc w:val="both"/>
        <w:rPr>
          <w:rFonts w:ascii="Arial" w:hAnsi="Arial" w:cs="Arial"/>
        </w:rPr>
      </w:pPr>
      <w:r>
        <w:rPr>
          <w:rFonts w:cs="Arial" w:ascii="Arial" w:hAnsi="Arial"/>
        </w:rPr>
      </w:r>
      <w:bookmarkStart w:id="3" w:name="_Ref114668108"/>
      <w:bookmarkStart w:id="4"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4"/>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5" w:name="_Ref114668139"/>
      <w:bookmarkStart w:id="6"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7" w:name="_Ref114668249"/>
      <w:bookmarkStart w:id="8"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8"/>
    </w:p>
    <w:p>
      <w:pPr>
        <w:pStyle w:val="Normal"/>
        <w:ind w:firstLine="284"/>
        <w:jc w:val="both"/>
        <w:rPr>
          <w:rFonts w:ascii="Arial" w:hAnsi="Arial" w:cs="Arial"/>
        </w:rPr>
      </w:pPr>
      <w:r>
        <w:rPr>
          <w:rFonts w:cs="Arial" w:ascii="Arial" w:hAnsi="Arial"/>
        </w:rPr>
      </w:r>
      <w:bookmarkStart w:id="9" w:name="_Ref114668245"/>
      <w:bookmarkStart w:id="10"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10"/>
    </w:p>
    <w:p>
      <w:pPr>
        <w:pStyle w:val="Normal"/>
        <w:ind w:firstLine="284"/>
        <w:jc w:val="both"/>
        <w:rPr>
          <w:rFonts w:ascii="Arial" w:hAnsi="Arial" w:cs="Arial"/>
        </w:rPr>
      </w:pPr>
      <w:r>
        <w:rPr>
          <w:rFonts w:cs="Arial" w:ascii="Arial" w:hAnsi="Arial"/>
        </w:rPr>
      </w:r>
      <w:bookmarkStart w:id="11" w:name="_Ref114668247"/>
      <w:bookmarkStart w:id="12"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2"/>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3" w:name="_Ref114668251"/>
      <w:bookmarkStart w:id="14"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4"/>
    </w:p>
    <w:p>
      <w:pPr>
        <w:pStyle w:val="Normal"/>
        <w:ind w:firstLine="284"/>
        <w:jc w:val="both"/>
        <w:rPr>
          <w:rFonts w:ascii="Arial" w:hAnsi="Arial" w:cs="Arial"/>
        </w:rPr>
      </w:pPr>
      <w:r>
        <w:rPr>
          <w:rFonts w:cs="Arial" w:ascii="Arial" w:hAnsi="Arial"/>
        </w:rPr>
      </w:r>
      <w:bookmarkStart w:id="15" w:name="_Ref114668252"/>
      <w:bookmarkStart w:id="16"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10">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14.1.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14.1.2.</w:t>
      </w:r>
      <w:r>
        <w:rPr>
          <w:rFonts w:cs="Arial" w:ascii="Arial" w:hAnsi="Arial"/>
        </w:rPr>
        <w:t xml:space="preserve"> E-mail para envio da NF-e: </w:t>
      </w:r>
      <w:hyperlink r:id="rId11">
        <w:r>
          <w:rPr>
            <w:rStyle w:val="Hyperlink"/>
            <w:rFonts w:cs="Arial" w:ascii="Arial" w:hAnsi="Arial"/>
            <w:color w:val="auto"/>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14.2.</w:t>
      </w:r>
      <w:r>
        <w:rPr>
          <w:rFonts w:cs="Arial" w:ascii="Arial" w:hAnsi="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15. FORMALIZAÇÃO DO INSTRUMENTO CONTRATUAL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15.1.</w:t>
      </w:r>
      <w:r>
        <w:rPr>
          <w:rFonts w:cs="Arial" w:ascii="Arial" w:hAnsi="Arial"/>
        </w:rPr>
        <w:t xml:space="preserve"> Homologada a licitação pela autoridade competente, a PREFEITURA MUNICIPAL DE PIRACICABA firmará contrato específico com a ADJUDICATÁRIA visando à execução do objeto desta licitação.</w:t>
      </w:r>
    </w:p>
    <w:p>
      <w:pPr>
        <w:pStyle w:val="Normal"/>
        <w:ind w:firstLine="284"/>
        <w:jc w:val="both"/>
        <w:rPr>
          <w:rFonts w:ascii="Arial" w:hAnsi="Arial" w:cs="Arial"/>
          <w:highlight w:val="yellow"/>
        </w:rPr>
      </w:pPr>
      <w:r>
        <w:rPr>
          <w:rFonts w:cs="Arial" w:ascii="Arial" w:hAnsi="Arial"/>
          <w:highlight w:val="yellow"/>
        </w:rPr>
      </w:r>
    </w:p>
    <w:p>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pPr>
        <w:pStyle w:val="Normal"/>
        <w:ind w:firstLine="284"/>
        <w:rPr>
          <w:rFonts w:ascii="Arial" w:hAnsi="Arial" w:cs="Arial"/>
        </w:rPr>
      </w:pPr>
      <w:r>
        <w:rPr>
          <w:rFonts w:cs="Arial" w:ascii="Arial" w:hAnsi="Arial"/>
        </w:rPr>
      </w:r>
    </w:p>
    <w:p>
      <w:pPr>
        <w:pStyle w:val="BodyText"/>
        <w:ind w:firstLine="284"/>
        <w:rPr>
          <w:sz w:val="20"/>
          <w:szCs w:val="20"/>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pPr>
        <w:pStyle w:val="Corpodetexto31"/>
        <w:ind w:firstLine="284"/>
        <w:rPr>
          <w:color w:val="auto"/>
        </w:rPr>
      </w:pPr>
      <w:r>
        <w:rPr>
          <w:color w:val="auto"/>
        </w:rPr>
      </w:r>
    </w:p>
    <w:p>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pPr>
        <w:pStyle w:val="Corpodetexto31"/>
        <w:ind w:firstLine="284"/>
        <w:rPr>
          <w:color w:val="auto"/>
        </w:rPr>
      </w:pPr>
      <w:r>
        <w:rPr>
          <w:color w:val="auto"/>
        </w:rPr>
      </w:r>
    </w:p>
    <w:p>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pPr>
        <w:pStyle w:val="Corpodetexto31"/>
        <w:ind w:firstLine="284"/>
        <w:rPr>
          <w:color w:val="auto"/>
        </w:rPr>
      </w:pPr>
      <w:r>
        <w:rPr>
          <w:color w:val="auto"/>
        </w:rPr>
      </w:r>
    </w:p>
    <w:p>
      <w:pPr>
        <w:pStyle w:val="Corpodetexto31"/>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16.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16.1. </w:t>
      </w:r>
      <w:r>
        <w:rPr>
          <w:rFonts w:cs="Arial" w:ascii="Arial" w:hAnsi="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 </w:t>
      </w:r>
      <w:r>
        <w:rPr>
          <w:rFonts w:cs="Arial" w:ascii="Arial" w:hAnsi="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 </w:t>
      </w:r>
      <w:r>
        <w:rPr>
          <w:rFonts w:cs="Arial" w:ascii="Arial" w:hAnsi="Arial"/>
        </w:rPr>
        <w:t>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16.5. </w:t>
      </w:r>
      <w:r>
        <w:rPr>
          <w:rFonts w:cs="Arial" w:ascii="Arial" w:hAnsi="Arial"/>
        </w:rPr>
        <w:t>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16.6. </w:t>
      </w:r>
      <w:r>
        <w:rPr>
          <w:rFonts w:cs="Arial" w:ascii="Arial" w:hAnsi="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16.7. </w:t>
      </w:r>
      <w:r>
        <w:rPr>
          <w:rFonts w:cs="Arial" w:ascii="Arial" w:hAnsi="Arial"/>
        </w:rPr>
        <w:t>As licitantes intimadas para prestar qualquer esclarecimento adicional deverão fazê-lo no prazo determinado pelo Pregoeiro, sob pena de desclassificação/inabilitação.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16.15.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16.16.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kern w:val="2"/>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r>
        <w:br w:type="page"/>
      </w:r>
    </w:p>
    <w:p>
      <w:pPr>
        <w:pStyle w:val="BodyTextIndent"/>
        <w:widowControl w:val="false"/>
        <w:tabs>
          <w:tab w:val="clear" w:pos="709"/>
          <w:tab w:val="left" w:pos="284" w:leader="none"/>
        </w:tabs>
        <w:overflowPunct w:val="false"/>
        <w:spacing w:lineRule="auto" w:line="240"/>
        <w:jc w:val="center"/>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55"/>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12"/>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12"/>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12"/>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12"/>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12"/>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12"/>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false"/>
        <w:spacing w:lineRule="auto" w:line="24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9"/>
        <w:gridCol w:w="850"/>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Item</w:t>
            </w:r>
          </w:p>
        </w:tc>
        <w:tc>
          <w:tcPr>
            <w:tcW w:w="849"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r>
    </w:tbl>
    <w:p>
      <w:pPr>
        <w:pStyle w:val="Normal"/>
        <w:tabs>
          <w:tab w:val="clear" w:pos="709"/>
          <w:tab w:val="left" w:pos="284" w:leader="none"/>
        </w:tabs>
        <w:jc w:val="both"/>
        <w:rPr>
          <w:rFonts w:ascii="Arial" w:hAnsi="Arial" w:cs="Arial"/>
          <w:kern w:val="2"/>
        </w:rPr>
      </w:pPr>
      <w:r>
        <w:rPr>
          <w:rFonts w:cs="Arial" w:ascii="Arial" w:hAnsi="Arial"/>
          <w:kern w:val="2"/>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overflowPunct w:val="false"/>
        <w:spacing w:lineRule="auto" w:line="240"/>
        <w:jc w:val="center"/>
        <w:rPr>
          <w:color w:val="auto"/>
          <w:sz w:val="20"/>
          <w:szCs w:val="20"/>
        </w:rPr>
      </w:pPr>
      <w:r>
        <w:rPr>
          <w:color w:val="auto"/>
          <w:sz w:val="20"/>
          <w:szCs w:val="20"/>
        </w:rPr>
      </w:r>
      <w:r>
        <w:br w:type="page"/>
      </w:r>
    </w:p>
    <w:p>
      <w:pPr>
        <w:pStyle w:val="BodyTextIndent"/>
        <w:widowControl w:val="false"/>
        <w:tabs>
          <w:tab w:val="clear" w:pos="709"/>
          <w:tab w:val="left" w:pos="284" w:leader="none"/>
        </w:tabs>
        <w:overflowPunct w:val="false"/>
        <w:spacing w:lineRule="auto" w:line="240"/>
        <w:jc w:val="center"/>
        <w:rPr>
          <w:b/>
          <w:bCs/>
          <w:color w:val="auto"/>
          <w:sz w:val="20"/>
          <w:szCs w:val="20"/>
          <w:shd w:fill="FFFFFF" w:val="clear"/>
          <w:lang w:val="pt-BR"/>
        </w:rPr>
      </w:pPr>
      <w:r>
        <w:rPr>
          <w:b/>
          <w:color w:val="auto"/>
          <w:sz w:val="20"/>
          <w:szCs w:val="20"/>
        </w:rPr>
        <w:t>ANEXO V</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rPr>
      </w:pPr>
      <w:r>
        <w:rPr>
          <w:rFonts w:cs="Arial" w:ascii="Arial" w:hAnsi="Arial"/>
          <w:b/>
          <w:bCs/>
        </w:rPr>
        <w:t>MINUTA DE CONTRATO OU TERMO EQUIVALENTE</w:t>
      </w:r>
    </w:p>
    <w:p>
      <w:pPr>
        <w:pStyle w:val="Normal"/>
        <w:tabs>
          <w:tab w:val="clear" w:pos="709"/>
          <w:tab w:val="left" w:pos="284" w:leader="none"/>
        </w:tabs>
        <w:jc w:val="center"/>
        <w:rPr>
          <w:rFonts w:ascii="Arial" w:hAnsi="Arial" w:cs="Arial"/>
          <w:b/>
          <w:bCs/>
        </w:rPr>
      </w:pPr>
      <w:r>
        <w:rPr>
          <w:rFonts w:cs="Arial" w:ascii="Arial" w:hAnsi="Arial"/>
        </w:rPr>
        <w:t>====================================================================================</w:t>
      </w:r>
    </w:p>
    <w:p>
      <w:pPr>
        <w:pStyle w:val="Normal"/>
        <w:jc w:val="both"/>
        <w:rPr/>
      </w:pPr>
      <w:r>
        <w:rPr>
          <w:b/>
          <w:sz w:val="24"/>
          <w:szCs w:val="24"/>
          <w:u w:val="single"/>
        </w:rPr>
        <w:t>CONTRATO QUE ENTRE SI FAZEM A PREFEITURA DO MUNICÍPIO DE PIRACICABA E ................................................, PARA A PRESTAÇÃO DE SERVIÇOS DE SONOPLASTIA PARA O TEATRO EROTIDES DE CAMPOS.</w:t>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pPr>
      <w:r>
        <w:rPr>
          <w:b/>
          <w:sz w:val="24"/>
          <w:szCs w:val="24"/>
        </w:rPr>
        <w:t>Data: ... de ................. de 2025.</w:t>
      </w:r>
    </w:p>
    <w:p>
      <w:pPr>
        <w:pStyle w:val="Normal"/>
        <w:jc w:val="both"/>
        <w:rPr/>
      </w:pPr>
      <w:r>
        <w:rPr>
          <w:b/>
          <w:sz w:val="24"/>
          <w:szCs w:val="24"/>
        </w:rPr>
        <w:t>Prazo: 12 (doze) meses.</w:t>
      </w:r>
    </w:p>
    <w:p>
      <w:pPr>
        <w:pStyle w:val="Normal"/>
        <w:jc w:val="both"/>
        <w:rPr/>
      </w:pPr>
      <w:r>
        <w:rPr>
          <w:b/>
          <w:sz w:val="24"/>
          <w:szCs w:val="24"/>
        </w:rPr>
        <w:t>Valor: R$ ........ (............).</w:t>
      </w:r>
    </w:p>
    <w:p>
      <w:pPr>
        <w:pStyle w:val="Normal"/>
        <w:jc w:val="both"/>
        <w:rPr/>
      </w:pPr>
      <w:r>
        <w:rPr>
          <w:b/>
          <w:sz w:val="24"/>
          <w:szCs w:val="24"/>
        </w:rPr>
        <w:t>Processo Administrativo nº 2025/100.389</w:t>
      </w:r>
    </w:p>
    <w:p>
      <w:pPr>
        <w:pStyle w:val="Normal"/>
        <w:jc w:val="both"/>
        <w:rPr/>
      </w:pPr>
      <w:r>
        <w:rPr>
          <w:b/>
          <w:sz w:val="24"/>
          <w:szCs w:val="24"/>
        </w:rPr>
        <w:t>Pregão Eletrônico n.º ..../2025.</w:t>
      </w:r>
    </w:p>
    <w:p>
      <w:pPr>
        <w:pStyle w:val="Normal"/>
        <w:jc w:val="both"/>
        <w:rPr/>
      </w:pPr>
      <w:r>
        <w:rPr>
          <w:b/>
          <w:sz w:val="24"/>
          <w:szCs w:val="24"/>
        </w:rPr>
        <w:t>Contrato n.º …./2025.</w:t>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b/>
          <w:strike/>
          <w:sz w:val="24"/>
          <w:szCs w:val="24"/>
        </w:rPr>
      </w:pPr>
      <w:r>
        <w:rPr>
          <w:b/>
          <w:strike/>
          <w:sz w:val="24"/>
          <w:szCs w:val="24"/>
        </w:rPr>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pPr>
            <w:r>
              <w:rPr>
                <w:b/>
                <w:sz w:val="24"/>
                <w:szCs w:val="24"/>
              </w:rPr>
              <w:t>CLÁUSULA 1ª - DAS PARTES</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seu Secretário Municipal de Cultura, Sr. </w:t>
      </w:r>
      <w:r>
        <w:rPr>
          <w:b/>
          <w:sz w:val="24"/>
          <w:szCs w:val="24"/>
        </w:rPr>
        <w:t>CARLOS ALBERTO LORDELLO BELTRAME</w:t>
      </w:r>
      <w:r>
        <w:rPr>
          <w:sz w:val="24"/>
          <w:szCs w:val="24"/>
          <w:shd w:fill="FFFFFF" w:val="clear"/>
        </w:rPr>
        <w:t>, inscrito no CPF nº 017.217.888-67</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pPr>
            <w:r>
              <w:rPr>
                <w:b/>
                <w:sz w:val="24"/>
                <w:szCs w:val="24"/>
              </w:rPr>
              <w:t>CLÁUSULA 2ª - DO OBJETO</w:t>
            </w:r>
          </w:p>
        </w:tc>
      </w:tr>
    </w:tbl>
    <w:p>
      <w:pPr>
        <w:pStyle w:val="Normal"/>
        <w:ind w:firstLine="851"/>
        <w:jc w:val="both"/>
        <w:rPr>
          <w:b/>
          <w:sz w:val="24"/>
          <w:szCs w:val="24"/>
        </w:rPr>
      </w:pPr>
      <w:r>
        <w:rPr>
          <w:b/>
          <w:sz w:val="24"/>
          <w:szCs w:val="24"/>
        </w:rPr>
      </w:r>
    </w:p>
    <w:p>
      <w:pPr>
        <w:pStyle w:val="BodyTextIndent"/>
        <w:ind w:firstLine="851"/>
        <w:rPr/>
      </w:pPr>
      <w:r>
        <w:rPr>
          <w:b/>
        </w:rPr>
        <w:t>2.1. A CONTRATADA se obriga a prestar 875 horas de serviços de sonoplastia para o Teatro Erotides de Campos, conforme descrição detalhada constante do Edital de Pregão Eletrônico nº .../2025, bem como seu Termo de Referência, o qual fica fazendo parte integrante do presente instrumento.</w:t>
      </w:r>
    </w:p>
    <w:p>
      <w:pPr>
        <w:pStyle w:val="Normal"/>
        <w:keepLines/>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pPr>
            <w:r>
              <w:rPr>
                <w:b/>
                <w:sz w:val="24"/>
                <w:szCs w:val="24"/>
              </w:rPr>
              <w:t>CLÁUSULA 3ª - DOS RECURSOS FINANCEIROS</w:t>
            </w:r>
          </w:p>
        </w:tc>
      </w:tr>
    </w:tbl>
    <w:p>
      <w:pPr>
        <w:pStyle w:val="BodyTextIndent"/>
        <w:ind w:firstLine="851"/>
        <w:rPr>
          <w:b/>
        </w:rPr>
      </w:pPr>
      <w:r>
        <w:rPr>
          <w:b/>
        </w:rPr>
      </w:r>
    </w:p>
    <w:p>
      <w:pPr>
        <w:pStyle w:val="Normal"/>
        <w:ind w:firstLine="851"/>
        <w:jc w:val="both"/>
        <w:rPr/>
      </w:pPr>
      <w:r>
        <w:rPr>
          <w:b/>
          <w:sz w:val="24"/>
          <w:szCs w:val="24"/>
        </w:rPr>
        <w:t>3.1.</w:t>
      </w:r>
      <w:r>
        <w:rPr>
          <w:sz w:val="24"/>
          <w:szCs w:val="24"/>
        </w:rPr>
        <w:t xml:space="preserve"> A despesa supra será atendida pela dotação orçamentária nº 1 12011 13392002121120000 0101011000 339039, constante do exercício de 2025, correspondente para 2026 e demais exercícios no caso de prorrogação.</w:t>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pPr>
            <w:r>
              <w:rPr>
                <w:b/>
                <w:sz w:val="24"/>
                <w:szCs w:val="24"/>
              </w:rPr>
              <w:t>CLÁUSULA 4ª – DO SUPORTE LEGAL</w:t>
            </w:r>
          </w:p>
        </w:tc>
      </w:tr>
    </w:tbl>
    <w:p>
      <w:pPr>
        <w:pStyle w:val="Normal"/>
        <w:ind w:firstLine="851"/>
        <w:jc w:val="both"/>
        <w:rPr>
          <w:szCs w:val="24"/>
        </w:rPr>
      </w:pPr>
      <w:r>
        <w:rPr>
          <w:szCs w:val="24"/>
        </w:rPr>
      </w:r>
    </w:p>
    <w:p>
      <w:pPr>
        <w:pStyle w:val="Normal"/>
        <w:keepLines/>
        <w:ind w:firstLine="851"/>
        <w:jc w:val="both"/>
        <w:rPr/>
      </w:pPr>
      <w:r>
        <w:rPr>
          <w:b/>
          <w:sz w:val="24"/>
          <w:szCs w:val="24"/>
        </w:rPr>
        <w:t>4.1.</w:t>
      </w:r>
      <w:r>
        <w:rPr>
          <w:sz w:val="24"/>
          <w:szCs w:val="24"/>
        </w:rPr>
        <w:t xml:space="preserve"> Este contrato é regulado pelos seguintes dispositivos legais:</w:t>
      </w:r>
    </w:p>
    <w:p>
      <w:pPr>
        <w:pStyle w:val="Normal"/>
        <w:keepLines/>
        <w:ind w:firstLine="851"/>
        <w:jc w:val="both"/>
        <w:rPr/>
      </w:pPr>
      <w:r>
        <w:rPr>
          <w:b/>
          <w:sz w:val="24"/>
          <w:szCs w:val="24"/>
        </w:rPr>
        <w:t>4.1.1.</w:t>
      </w:r>
      <w:r>
        <w:rPr>
          <w:sz w:val="24"/>
          <w:szCs w:val="24"/>
        </w:rPr>
        <w:t xml:space="preserve"> Constituição da República Federativa do Brasil;</w:t>
      </w:r>
    </w:p>
    <w:p>
      <w:pPr>
        <w:pStyle w:val="Normal"/>
        <w:keepLines/>
        <w:ind w:firstLine="851"/>
        <w:jc w:val="both"/>
        <w:rPr/>
      </w:pPr>
      <w:r>
        <w:rPr>
          <w:b/>
          <w:sz w:val="24"/>
          <w:szCs w:val="24"/>
        </w:rPr>
        <w:t>4.1.2.</w:t>
      </w:r>
      <w:r>
        <w:rPr>
          <w:sz w:val="24"/>
          <w:szCs w:val="24"/>
        </w:rPr>
        <w:t xml:space="preserve"> Lei Orgânica do Município de Piracicaba;</w:t>
      </w:r>
    </w:p>
    <w:p>
      <w:pPr>
        <w:pStyle w:val="Normal"/>
        <w:keepLines/>
        <w:ind w:firstLine="851"/>
        <w:jc w:val="both"/>
        <w:rPr/>
      </w:pPr>
      <w:r>
        <w:rPr>
          <w:b/>
          <w:sz w:val="24"/>
          <w:szCs w:val="24"/>
        </w:rPr>
        <w:t>4.1.3.</w:t>
      </w:r>
      <w:r>
        <w:rPr>
          <w:sz w:val="24"/>
          <w:szCs w:val="24"/>
        </w:rPr>
        <w:t xml:space="preserve"> Lei Federal nº 14.133, de 01/04/2021;</w:t>
      </w:r>
    </w:p>
    <w:p>
      <w:pPr>
        <w:pStyle w:val="Normal"/>
        <w:keepLines/>
        <w:ind w:firstLine="851"/>
        <w:jc w:val="both"/>
        <w:rPr/>
      </w:pPr>
      <w:r>
        <w:rPr>
          <w:b/>
          <w:sz w:val="24"/>
          <w:szCs w:val="24"/>
        </w:rPr>
        <w:t>4.1.4.</w:t>
      </w:r>
      <w:r>
        <w:rPr>
          <w:sz w:val="24"/>
          <w:szCs w:val="24"/>
        </w:rPr>
        <w:t xml:space="preserve"> Decreto Municipal nº 17.640, de 30/10/2018;</w:t>
      </w:r>
    </w:p>
    <w:p>
      <w:pPr>
        <w:pStyle w:val="Normal"/>
        <w:keepLines/>
        <w:ind w:firstLine="851"/>
        <w:jc w:val="both"/>
        <w:rPr/>
      </w:pPr>
      <w:r>
        <w:rPr>
          <w:b/>
          <w:sz w:val="24"/>
          <w:szCs w:val="24"/>
        </w:rPr>
        <w:t>4.1.5.</w:t>
      </w:r>
      <w:r>
        <w:rPr>
          <w:sz w:val="24"/>
          <w:szCs w:val="24"/>
        </w:rPr>
        <w:t xml:space="preserve"> Demais disposições legais aplicáveis, inclusive subsidiariamente, os princípios gerais de Direito.</w:t>
      </w:r>
    </w:p>
    <w:p>
      <w:pPr>
        <w:pStyle w:val="Normal"/>
        <w:keepLines/>
        <w:ind w:firstLine="851"/>
        <w:jc w:val="both"/>
        <w:rPr>
          <w:szCs w:val="24"/>
        </w:rPr>
      </w:pPr>
      <w:r>
        <w:rPr>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pPr>
            <w:r>
              <w:rPr>
                <w:b/>
                <w:sz w:val="24"/>
                <w:szCs w:val="24"/>
              </w:rPr>
              <w:t>CLÁUSULA 5ª - DO PREÇO</w:t>
            </w:r>
          </w:p>
        </w:tc>
      </w:tr>
    </w:tbl>
    <w:p>
      <w:pPr>
        <w:pStyle w:val="Normal"/>
        <w:ind w:firstLine="851"/>
        <w:jc w:val="both"/>
        <w:rPr>
          <w:sz w:val="24"/>
          <w:szCs w:val="24"/>
        </w:rPr>
      </w:pPr>
      <w:r>
        <w:rPr>
          <w:sz w:val="24"/>
          <w:szCs w:val="24"/>
        </w:rPr>
      </w:r>
    </w:p>
    <w:p>
      <w:pPr>
        <w:pStyle w:val="Normal"/>
        <w:ind w:firstLine="851"/>
        <w:jc w:val="both"/>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pPr>
        <w:pStyle w:val="Normal"/>
        <w:ind w:firstLine="851"/>
        <w:jc w:val="both"/>
        <w:rPr>
          <w:b/>
          <w:szCs w:val="24"/>
        </w:rPr>
      </w:pPr>
      <w:r>
        <w:rPr>
          <w:b/>
          <w:szCs w:val="24"/>
        </w:rPr>
      </w:r>
    </w:p>
    <w:p>
      <w:pPr>
        <w:pStyle w:val="Normal"/>
        <w:ind w:firstLine="851"/>
        <w:jc w:val="both"/>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b/>
          <w:szCs w:val="24"/>
        </w:rPr>
      </w:pPr>
      <w:r>
        <w:rPr>
          <w:b/>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pPr>
            <w:r>
              <w:rPr>
                <w:b/>
                <w:sz w:val="24"/>
                <w:szCs w:val="24"/>
              </w:rPr>
              <w:t>CLÁUSULA 6ª - DOS PAGAMENTOS</w:t>
            </w:r>
          </w:p>
        </w:tc>
      </w:tr>
    </w:tbl>
    <w:p>
      <w:pPr>
        <w:pStyle w:val="Normal"/>
        <w:ind w:firstLine="851"/>
        <w:jc w:val="both"/>
        <w:rPr>
          <w:szCs w:val="24"/>
        </w:rPr>
      </w:pPr>
      <w:r>
        <w:rPr>
          <w:szCs w:val="24"/>
        </w:rPr>
      </w:r>
    </w:p>
    <w:p>
      <w:pPr>
        <w:pStyle w:val="Normal"/>
        <w:ind w:firstLine="850"/>
        <w:jc w:val="both"/>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pPr>
        <w:pStyle w:val="Normal"/>
        <w:ind w:firstLine="850"/>
        <w:jc w:val="both"/>
        <w:rPr>
          <w:b/>
          <w:szCs w:val="24"/>
        </w:rPr>
      </w:pPr>
      <w:r>
        <w:rPr>
          <w:b/>
          <w:szCs w:val="24"/>
        </w:rPr>
      </w:r>
    </w:p>
    <w:p>
      <w:pPr>
        <w:pStyle w:val="Normal"/>
        <w:ind w:firstLine="850"/>
        <w:jc w:val="both"/>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Cultura,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pPr>
        <w:pStyle w:val="Normal"/>
        <w:ind w:firstLine="850"/>
        <w:jc w:val="both"/>
        <w:rPr>
          <w:szCs w:val="24"/>
        </w:rPr>
      </w:pPr>
      <w:r>
        <w:rPr>
          <w:szCs w:val="24"/>
        </w:rPr>
      </w:r>
    </w:p>
    <w:p>
      <w:pPr>
        <w:pStyle w:val="Normal"/>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b/>
          <w:sz w:val="24"/>
          <w:szCs w:val="24"/>
        </w:rPr>
      </w:pPr>
      <w:r>
        <w:rPr>
          <w:sz w:val="24"/>
          <w:szCs w:val="24"/>
        </w:rPr>
        <w:t xml:space="preserve">E-mail para emissão da NF-e: </w:t>
      </w:r>
      <w:hyperlink r:id="rId12">
        <w:r>
          <w:rPr>
            <w:rStyle w:val="Hyperlink"/>
            <w:sz w:val="24"/>
            <w:szCs w:val="24"/>
          </w:rPr>
          <w:t>notafiscal@piracicaba.sp.gov.br</w:t>
        </w:r>
      </w:hyperlink>
    </w:p>
    <w:p>
      <w:pPr>
        <w:pStyle w:val="Normal"/>
        <w:jc w:val="both"/>
        <w:rPr>
          <w:b/>
          <w:sz w:val="24"/>
          <w:szCs w:val="24"/>
        </w:rPr>
      </w:pPr>
      <w:r>
        <w:rPr>
          <w:b/>
          <w:sz w:val="24"/>
          <w:szCs w:val="24"/>
        </w:rPr>
      </w:r>
    </w:p>
    <w:p>
      <w:pPr>
        <w:pStyle w:val="Normal"/>
        <w:ind w:firstLine="850"/>
        <w:jc w:val="both"/>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pPr>
        <w:pStyle w:val="Normal"/>
        <w:ind w:firstLine="850"/>
        <w:jc w:val="both"/>
        <w:rPr>
          <w:sz w:val="24"/>
          <w:szCs w:val="24"/>
        </w:rPr>
      </w:pPr>
      <w:r>
        <w:rPr>
          <w:sz w:val="24"/>
          <w:szCs w:val="24"/>
        </w:rPr>
      </w:r>
    </w:p>
    <w:p>
      <w:pPr>
        <w:pStyle w:val="Normal"/>
        <w:ind w:firstLine="850"/>
        <w:jc w:val="both"/>
        <w:rPr/>
      </w:pPr>
      <w:r>
        <w:rPr>
          <w:b/>
          <w:sz w:val="24"/>
          <w:szCs w:val="24"/>
        </w:rPr>
        <w:t xml:space="preserve">6.3.1. </w:t>
      </w:r>
      <w:r>
        <w:rPr>
          <w:sz w:val="24"/>
          <w:szCs w:val="24"/>
        </w:rPr>
        <w:t>Certidão de Regularidade perante a Fazenda Federal (INSS), com validade em vigor;</w:t>
      </w:r>
    </w:p>
    <w:p>
      <w:pPr>
        <w:pStyle w:val="Normal"/>
        <w:ind w:firstLine="850"/>
        <w:jc w:val="both"/>
        <w:rPr>
          <w:sz w:val="24"/>
          <w:szCs w:val="24"/>
        </w:rPr>
      </w:pPr>
      <w:r>
        <w:rPr>
          <w:sz w:val="24"/>
          <w:szCs w:val="24"/>
        </w:rPr>
      </w:r>
    </w:p>
    <w:p>
      <w:pPr>
        <w:pStyle w:val="Normal"/>
        <w:ind w:firstLine="850"/>
        <w:jc w:val="both"/>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pPr>
        <w:pStyle w:val="Normal"/>
        <w:keepLines/>
        <w:ind w:firstLine="850"/>
        <w:jc w:val="both"/>
        <w:rPr/>
      </w:pPr>
      <w:r>
        <w:rPr>
          <w:b/>
          <w:sz w:val="24"/>
          <w:szCs w:val="24"/>
        </w:rPr>
        <w:t>6.3.3.</w:t>
      </w:r>
      <w:r>
        <w:rPr>
          <w:sz w:val="24"/>
          <w:szCs w:val="24"/>
        </w:rPr>
        <w:t xml:space="preserve"> Certidão de Regularidade perante a Fazenda Municipal, com validade em vigor, e;</w:t>
      </w:r>
    </w:p>
    <w:p>
      <w:pPr>
        <w:pStyle w:val="Normal"/>
        <w:keepLines/>
        <w:ind w:firstLine="850"/>
        <w:jc w:val="both"/>
        <w:rPr>
          <w:sz w:val="24"/>
          <w:szCs w:val="24"/>
        </w:rPr>
      </w:pPr>
      <w:r>
        <w:rPr>
          <w:sz w:val="24"/>
          <w:szCs w:val="24"/>
        </w:rPr>
      </w:r>
    </w:p>
    <w:p>
      <w:pPr>
        <w:pStyle w:val="Normal"/>
        <w:keepLines/>
        <w:ind w:firstLine="850"/>
        <w:jc w:val="both"/>
        <w:rPr/>
      </w:pPr>
      <w:r>
        <w:rPr>
          <w:b/>
          <w:sz w:val="24"/>
          <w:szCs w:val="24"/>
        </w:rPr>
        <w:t>6.3.4.</w:t>
      </w:r>
      <w:r>
        <w:rPr>
          <w:sz w:val="24"/>
          <w:szCs w:val="24"/>
        </w:rPr>
        <w:t xml:space="preserve"> Certidão Negativa de Débitos Trabalhistas (CNDT).</w:t>
      </w:r>
    </w:p>
    <w:p>
      <w:pPr>
        <w:pStyle w:val="Normal"/>
        <w:jc w:val="both"/>
        <w:rPr>
          <w:b/>
          <w:sz w:val="24"/>
          <w:szCs w:val="24"/>
        </w:rPr>
      </w:pPr>
      <w:r>
        <w:rPr>
          <w:b/>
          <w:sz w:val="24"/>
          <w:szCs w:val="24"/>
        </w:rPr>
      </w:r>
    </w:p>
    <w:p>
      <w:pPr>
        <w:pStyle w:val="Normal"/>
        <w:ind w:firstLine="850"/>
        <w:jc w:val="both"/>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pPr>
        <w:pStyle w:val="Normal"/>
        <w:ind w:firstLine="850"/>
        <w:jc w:val="both"/>
        <w:rPr>
          <w:sz w:val="24"/>
          <w:szCs w:val="24"/>
        </w:rPr>
      </w:pPr>
      <w:r>
        <w:rPr>
          <w:sz w:val="24"/>
          <w:szCs w:val="24"/>
        </w:rPr>
      </w:r>
    </w:p>
    <w:p>
      <w:pPr>
        <w:pStyle w:val="Normal"/>
        <w:ind w:firstLine="851"/>
        <w:jc w:val="both"/>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pPr>
            <w:r>
              <w:rPr>
                <w:b/>
                <w:sz w:val="24"/>
                <w:szCs w:val="24"/>
              </w:rPr>
              <w:t>CLÁUSULA 7ª - DA FISCALIZAÇÃO</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7.1.</w:t>
      </w:r>
      <w:r>
        <w:rPr>
          <w:sz w:val="24"/>
          <w:szCs w:val="24"/>
        </w:rPr>
        <w:t xml:space="preserve"> A Secretaria Municipal de Cultura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pPr>
        <w:pStyle w:val="Normal"/>
        <w:ind w:firstLine="851"/>
        <w:jc w:val="both"/>
        <w:rPr>
          <w:b/>
          <w:sz w:val="24"/>
          <w:szCs w:val="24"/>
        </w:rPr>
      </w:pPr>
      <w:r>
        <w:rPr>
          <w:b/>
          <w:sz w:val="24"/>
          <w:szCs w:val="24"/>
        </w:rPr>
      </w:r>
      <w:bookmarkStart w:id="17" w:name="art1p"/>
      <w:bookmarkStart w:id="18" w:name="art2§1"/>
      <w:bookmarkStart w:id="19" w:name="art1p"/>
      <w:bookmarkStart w:id="20" w:name="art2§1"/>
      <w:bookmarkEnd w:id="19"/>
      <w:bookmarkEnd w:id="20"/>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pPr>
            <w:r>
              <w:rPr>
                <w:b/>
                <w:sz w:val="24"/>
                <w:szCs w:val="24"/>
              </w:rPr>
              <w:t>CLÁUSULA 8ª - DO PRAZO DE VIGÊNCIA</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pPr>
        <w:pStyle w:val="Normal"/>
        <w:jc w:val="both"/>
        <w:rPr>
          <w:bCs/>
          <w:sz w:val="24"/>
          <w:szCs w:val="24"/>
        </w:rPr>
      </w:pPr>
      <w:r>
        <w:rPr>
          <w:bCs/>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936"/>
              <w:jc w:val="both"/>
              <w:rPr/>
            </w:pPr>
            <w:r>
              <w:rPr>
                <w:b/>
                <w:sz w:val="24"/>
                <w:szCs w:val="24"/>
              </w:rPr>
              <w:t xml:space="preserve">CLÁUSULA 9ª – </w:t>
            </w:r>
            <w:r>
              <w:rPr>
                <w:b/>
                <w:bCs/>
                <w:sz w:val="24"/>
                <w:szCs w:val="24"/>
              </w:rPr>
              <w:t>DO REAJUSTE</w:t>
            </w:r>
          </w:p>
        </w:tc>
      </w:tr>
    </w:tbl>
    <w:p>
      <w:pPr>
        <w:pStyle w:val="Normal"/>
        <w:jc w:val="both"/>
        <w:rPr>
          <w:sz w:val="24"/>
          <w:szCs w:val="24"/>
        </w:rPr>
      </w:pPr>
      <w:r>
        <w:rPr>
          <w:sz w:val="24"/>
          <w:szCs w:val="24"/>
        </w:rPr>
      </w:r>
    </w:p>
    <w:p>
      <w:pPr>
        <w:pStyle w:val="Normal"/>
        <w:ind w:firstLine="851"/>
        <w:jc w:val="both"/>
        <w:rPr/>
      </w:pPr>
      <w:r>
        <w:rPr>
          <w:b/>
          <w:sz w:val="24"/>
          <w:szCs w:val="24"/>
        </w:rPr>
        <w:t>9.1.</w:t>
      </w:r>
      <w:r>
        <w:rPr>
          <w:sz w:val="24"/>
          <w:szCs w:val="24"/>
        </w:rPr>
        <w:t xml:space="preserve"> O reajuste, se houver, será efetuado nos termos da Lei Federal n.º 9.069, de 29/06/95, de acordo com a variação do índice INPC/IBGE.</w:t>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pPr>
            <w:r>
              <w:rPr>
                <w:b/>
                <w:sz w:val="24"/>
                <w:szCs w:val="24"/>
              </w:rPr>
              <w:t>CLÁUSULA 10 - DA EXTINÇÃO DO CONTRATO</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10.1.</w:t>
      </w:r>
      <w:r>
        <w:rPr>
          <w:sz w:val="24"/>
          <w:szCs w:val="24"/>
        </w:rPr>
        <w:t xml:space="preserve"> Independentemente de interpelação judicial, o contrato será extinto nas hipóteses previstas no art. 137 da Lei Federal nº 14.133/21 e suas alterações.</w:t>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pPr>
            <w:r>
              <w:rPr>
                <w:b/>
                <w:sz w:val="24"/>
                <w:szCs w:val="24"/>
              </w:rPr>
              <w:t>CLÁUSULA 11. - DO RECEBIMENTO</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11.1.</w:t>
      </w:r>
      <w:r>
        <w:rPr>
          <w:sz w:val="24"/>
          <w:szCs w:val="24"/>
        </w:rPr>
        <w:t xml:space="preserve"> O objeto deste contrato será recebido por servidor a ser designado para o ato do recebimento, da seguinte forma: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pPr>
        <w:pStyle w:val="Normal"/>
        <w:ind w:firstLine="851"/>
        <w:jc w:val="both"/>
        <w:rPr/>
      </w:pPr>
      <w:r>
        <w:rPr/>
      </w:r>
    </w:p>
    <w:p>
      <w:pPr>
        <w:pStyle w:val="Normal"/>
        <w:ind w:firstLine="851"/>
        <w:jc w:val="both"/>
        <w:rPr/>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pPr>
        <w:pStyle w:val="Normal"/>
        <w:ind w:firstLine="851"/>
        <w:jc w:val="both"/>
        <w:rPr/>
      </w:pPr>
      <w:r>
        <w:rPr>
          <w:b/>
          <w:sz w:val="24"/>
          <w:szCs w:val="24"/>
        </w:rPr>
        <w:t xml:space="preserve">11.2. </w:t>
      </w:r>
      <w:r>
        <w:rPr>
          <w:sz w:val="24"/>
          <w:szCs w:val="24"/>
        </w:rPr>
        <w:t>O recebimento de que trata este item far-se-á mediante recibo.</w:t>
      </w:r>
    </w:p>
    <w:p>
      <w:pPr>
        <w:pStyle w:val="Normal"/>
        <w:ind w:firstLine="851"/>
        <w:jc w:val="both"/>
        <w:rPr>
          <w:b/>
          <w:sz w:val="24"/>
          <w:szCs w:val="24"/>
        </w:rPr>
      </w:pPr>
      <w:r>
        <w:rPr>
          <w:b/>
          <w:sz w:val="24"/>
          <w:szCs w:val="24"/>
        </w:rPr>
      </w:r>
    </w:p>
    <w:p>
      <w:pPr>
        <w:pStyle w:val="Normal"/>
        <w:ind w:firstLine="851"/>
        <w:jc w:val="both"/>
        <w:rPr/>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pPr>
            <w:r>
              <w:rPr>
                <w:b/>
                <w:sz w:val="24"/>
                <w:szCs w:val="24"/>
              </w:rPr>
              <w:t>CLÁUSULA 12. - DAS SANÇÕES ADMINISTRATIVAS</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12.1.</w:t>
      </w:r>
      <w:r>
        <w:rPr>
          <w:sz w:val="24"/>
          <w:szCs w:val="24"/>
        </w:rPr>
        <w:t xml:space="preserve"> Comete infração administrativa, nos termos da lei, o licitante que, com dolo ou culpa: </w:t>
      </w:r>
    </w:p>
    <w:p>
      <w:pPr>
        <w:pStyle w:val="Normal"/>
        <w:ind w:firstLine="851"/>
        <w:jc w:val="both"/>
        <w:rPr>
          <w:b/>
          <w:sz w:val="24"/>
          <w:szCs w:val="24"/>
        </w:rPr>
      </w:pPr>
      <w:r>
        <w:rPr>
          <w:b/>
          <w:sz w:val="24"/>
          <w:szCs w:val="24"/>
        </w:rPr>
      </w:r>
    </w:p>
    <w:p>
      <w:pPr>
        <w:pStyle w:val="Normal"/>
        <w:ind w:firstLine="851"/>
        <w:jc w:val="both"/>
        <w:rPr/>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pPr>
        <w:pStyle w:val="Normal"/>
        <w:ind w:firstLine="851"/>
        <w:jc w:val="both"/>
        <w:rPr>
          <w:sz w:val="24"/>
          <w:szCs w:val="24"/>
        </w:rPr>
      </w:pPr>
      <w:r>
        <w:rPr>
          <w:sz w:val="24"/>
          <w:szCs w:val="24"/>
        </w:rPr>
      </w:r>
    </w:p>
    <w:p>
      <w:pPr>
        <w:pStyle w:val="Normal"/>
        <w:ind w:firstLine="851"/>
        <w:jc w:val="both"/>
        <w:rPr/>
      </w:pPr>
      <w:r>
        <w:rPr>
          <w:b/>
          <w:sz w:val="24"/>
          <w:szCs w:val="24"/>
        </w:rPr>
        <w:t>12.1.2.</w:t>
      </w:r>
      <w:r>
        <w:rPr>
          <w:sz w:val="24"/>
          <w:szCs w:val="24"/>
        </w:rPr>
        <w:t xml:space="preserve"> Salvo em decorrência de fato superveniente devidamente justificado, não mantiver a proposta em especial quando: </w:t>
      </w:r>
    </w:p>
    <w:p>
      <w:pPr>
        <w:pStyle w:val="Normal"/>
        <w:ind w:firstLine="851"/>
        <w:jc w:val="both"/>
        <w:rPr>
          <w:sz w:val="24"/>
          <w:szCs w:val="24"/>
        </w:rPr>
      </w:pPr>
      <w:r>
        <w:rPr>
          <w:sz w:val="24"/>
          <w:szCs w:val="24"/>
        </w:rPr>
      </w:r>
    </w:p>
    <w:p>
      <w:pPr>
        <w:pStyle w:val="Normal"/>
        <w:ind w:firstLine="851"/>
        <w:jc w:val="both"/>
        <w:rPr/>
      </w:pPr>
      <w:r>
        <w:rPr>
          <w:b/>
          <w:sz w:val="24"/>
          <w:szCs w:val="24"/>
        </w:rPr>
        <w:t>12.1.2.1.</w:t>
      </w:r>
      <w:r>
        <w:rPr>
          <w:sz w:val="24"/>
          <w:szCs w:val="24"/>
        </w:rPr>
        <w:t xml:space="preserve"> Não enviar a proposta adequada ao último lance ofertado ou após a negociação; </w:t>
      </w:r>
    </w:p>
    <w:p>
      <w:pPr>
        <w:pStyle w:val="Normal"/>
        <w:ind w:firstLine="851"/>
        <w:jc w:val="both"/>
        <w:rPr>
          <w:sz w:val="24"/>
          <w:szCs w:val="24"/>
        </w:rPr>
      </w:pPr>
      <w:r>
        <w:rPr>
          <w:sz w:val="24"/>
          <w:szCs w:val="24"/>
        </w:rPr>
      </w:r>
    </w:p>
    <w:p>
      <w:pPr>
        <w:pStyle w:val="Normal"/>
        <w:ind w:firstLine="851"/>
        <w:jc w:val="both"/>
        <w:rPr/>
      </w:pPr>
      <w:r>
        <w:rPr>
          <w:b/>
          <w:sz w:val="24"/>
          <w:szCs w:val="24"/>
        </w:rPr>
        <w:t>12.1.2.2.</w:t>
      </w:r>
      <w:r>
        <w:rPr>
          <w:sz w:val="24"/>
          <w:szCs w:val="24"/>
        </w:rPr>
        <w:t xml:space="preserve"> Recusar-se a enviar o detalhamento da proposta quando exigível; </w:t>
      </w:r>
    </w:p>
    <w:p>
      <w:pPr>
        <w:pStyle w:val="Normal"/>
        <w:ind w:firstLine="851"/>
        <w:jc w:val="both"/>
        <w:rPr>
          <w:sz w:val="24"/>
          <w:szCs w:val="24"/>
        </w:rPr>
      </w:pPr>
      <w:r>
        <w:rPr>
          <w:sz w:val="24"/>
          <w:szCs w:val="24"/>
        </w:rPr>
      </w:r>
    </w:p>
    <w:p>
      <w:pPr>
        <w:pStyle w:val="Normal"/>
        <w:ind w:firstLine="851"/>
        <w:jc w:val="both"/>
        <w:rPr/>
      </w:pPr>
      <w:r>
        <w:rPr>
          <w:b/>
          <w:sz w:val="24"/>
          <w:szCs w:val="24"/>
        </w:rPr>
        <w:t>12.1.2.3.</w:t>
      </w:r>
      <w:r>
        <w:rPr>
          <w:sz w:val="24"/>
          <w:szCs w:val="24"/>
        </w:rPr>
        <w:t xml:space="preserve"> Pedir para ser desclassificado quando encerrada a etapa competitiva; </w:t>
      </w:r>
    </w:p>
    <w:p>
      <w:pPr>
        <w:pStyle w:val="Normal"/>
        <w:jc w:val="both"/>
        <w:rPr>
          <w:sz w:val="24"/>
          <w:szCs w:val="24"/>
        </w:rPr>
      </w:pPr>
      <w:r>
        <w:rPr>
          <w:sz w:val="24"/>
          <w:szCs w:val="24"/>
        </w:rPr>
      </w:r>
    </w:p>
    <w:p>
      <w:pPr>
        <w:pStyle w:val="Normal"/>
        <w:ind w:firstLine="851"/>
        <w:jc w:val="both"/>
        <w:rPr/>
      </w:pPr>
      <w:r>
        <w:rPr>
          <w:b/>
          <w:sz w:val="24"/>
          <w:szCs w:val="24"/>
        </w:rPr>
        <w:t>12.1.2.4.</w:t>
      </w:r>
      <w:r>
        <w:rPr>
          <w:sz w:val="24"/>
          <w:szCs w:val="24"/>
        </w:rPr>
        <w:t xml:space="preserve"> Deixar de apresentar amostra; </w:t>
      </w:r>
    </w:p>
    <w:p>
      <w:pPr>
        <w:pStyle w:val="Normal"/>
        <w:ind w:firstLine="851"/>
        <w:jc w:val="both"/>
        <w:rPr>
          <w:sz w:val="24"/>
          <w:szCs w:val="24"/>
        </w:rPr>
      </w:pPr>
      <w:r>
        <w:rPr>
          <w:sz w:val="24"/>
          <w:szCs w:val="24"/>
        </w:rPr>
      </w:r>
    </w:p>
    <w:p>
      <w:pPr>
        <w:pStyle w:val="Normal"/>
        <w:ind w:firstLine="851"/>
        <w:jc w:val="both"/>
        <w:rPr/>
      </w:pPr>
      <w:r>
        <w:rPr>
          <w:b/>
          <w:sz w:val="24"/>
          <w:szCs w:val="24"/>
        </w:rPr>
        <w:t>12.1.2.5</w:t>
      </w:r>
      <w:r>
        <w:rPr>
          <w:sz w:val="24"/>
          <w:szCs w:val="24"/>
        </w:rPr>
        <w:t xml:space="preserve">. Apresentar proposta ou amostra em desacordo com as especificações do edital; </w:t>
      </w:r>
    </w:p>
    <w:p>
      <w:pPr>
        <w:pStyle w:val="Normal"/>
        <w:ind w:firstLine="851"/>
        <w:jc w:val="both"/>
        <w:rPr>
          <w:sz w:val="24"/>
          <w:szCs w:val="24"/>
        </w:rPr>
      </w:pPr>
      <w:r>
        <w:rPr>
          <w:sz w:val="24"/>
          <w:szCs w:val="24"/>
        </w:rPr>
      </w:r>
    </w:p>
    <w:p>
      <w:pPr>
        <w:pStyle w:val="Normal"/>
        <w:ind w:firstLine="851"/>
        <w:jc w:val="both"/>
        <w:rPr/>
      </w:pPr>
      <w:r>
        <w:rPr>
          <w:b/>
          <w:sz w:val="24"/>
          <w:szCs w:val="24"/>
        </w:rPr>
        <w:t>12.1.3.</w:t>
      </w:r>
      <w:r>
        <w:rPr>
          <w:sz w:val="24"/>
          <w:szCs w:val="24"/>
        </w:rPr>
        <w:t xml:space="preserve"> Não celebrar o contrato ou não entregar a documentação exigida para a contratação, quando convocado dentro do prazo de validade de sua proposta; </w:t>
      </w:r>
    </w:p>
    <w:p>
      <w:pPr>
        <w:pStyle w:val="Normal"/>
        <w:ind w:firstLine="851"/>
        <w:jc w:val="both"/>
        <w:rPr>
          <w:sz w:val="24"/>
          <w:szCs w:val="24"/>
        </w:rPr>
      </w:pPr>
      <w:r>
        <w:rPr>
          <w:sz w:val="24"/>
          <w:szCs w:val="24"/>
        </w:rPr>
      </w:r>
    </w:p>
    <w:p>
      <w:pPr>
        <w:pStyle w:val="Normal"/>
        <w:ind w:firstLine="851"/>
        <w:jc w:val="both"/>
        <w:rPr/>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pPr>
        <w:pStyle w:val="Normal"/>
        <w:ind w:firstLine="851"/>
        <w:jc w:val="both"/>
        <w:rPr>
          <w:sz w:val="24"/>
          <w:szCs w:val="24"/>
        </w:rPr>
      </w:pPr>
      <w:r>
        <w:rPr>
          <w:sz w:val="24"/>
          <w:szCs w:val="24"/>
        </w:rPr>
      </w:r>
    </w:p>
    <w:p>
      <w:pPr>
        <w:pStyle w:val="Normal"/>
        <w:ind w:firstLine="851"/>
        <w:jc w:val="both"/>
        <w:rPr/>
      </w:pPr>
      <w:r>
        <w:rPr>
          <w:b/>
          <w:sz w:val="24"/>
          <w:szCs w:val="24"/>
        </w:rPr>
        <w:t>12.1.4.</w:t>
      </w:r>
      <w:r>
        <w:rPr>
          <w:sz w:val="24"/>
          <w:szCs w:val="24"/>
        </w:rPr>
        <w:t xml:space="preserve"> Apresentar declaração ou documentação falsa exigida para o certame ou prestar declaração falsa durante a licitação;</w:t>
      </w:r>
    </w:p>
    <w:p>
      <w:pPr>
        <w:pStyle w:val="Normal"/>
        <w:ind w:firstLine="851"/>
        <w:jc w:val="both"/>
        <w:rPr>
          <w:sz w:val="24"/>
          <w:szCs w:val="24"/>
        </w:rPr>
      </w:pPr>
      <w:r>
        <w:rPr>
          <w:sz w:val="24"/>
          <w:szCs w:val="24"/>
        </w:rPr>
      </w:r>
    </w:p>
    <w:p>
      <w:pPr>
        <w:pStyle w:val="Normal"/>
        <w:ind w:firstLine="851"/>
        <w:jc w:val="both"/>
        <w:rPr/>
      </w:pPr>
      <w:r>
        <w:rPr>
          <w:b/>
          <w:sz w:val="24"/>
          <w:szCs w:val="24"/>
        </w:rPr>
        <w:t>12.1.5.</w:t>
      </w:r>
      <w:r>
        <w:rPr>
          <w:sz w:val="24"/>
          <w:szCs w:val="24"/>
        </w:rPr>
        <w:t xml:space="preserve"> Fraudar a licitação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pPr>
        <w:pStyle w:val="Normal"/>
        <w:ind w:firstLine="851"/>
        <w:jc w:val="both"/>
        <w:rPr/>
      </w:pPr>
      <w:r>
        <w:rPr/>
      </w:r>
    </w:p>
    <w:p>
      <w:pPr>
        <w:pStyle w:val="Normal"/>
        <w:ind w:firstLine="851"/>
        <w:jc w:val="both"/>
        <w:rPr/>
      </w:pPr>
      <w:r>
        <w:rPr>
          <w:b/>
          <w:sz w:val="24"/>
          <w:szCs w:val="24"/>
        </w:rPr>
        <w:t>12.1.6.1.</w:t>
      </w:r>
      <w:r>
        <w:rPr>
          <w:sz w:val="24"/>
          <w:szCs w:val="24"/>
        </w:rPr>
        <w:t xml:space="preserve"> Agir em conluio ou em desconformidade com a lei; </w:t>
      </w:r>
    </w:p>
    <w:p>
      <w:pPr>
        <w:pStyle w:val="Normal"/>
        <w:ind w:firstLine="851"/>
        <w:jc w:val="both"/>
        <w:rPr>
          <w:sz w:val="24"/>
          <w:szCs w:val="24"/>
        </w:rPr>
      </w:pPr>
      <w:r>
        <w:rPr>
          <w:sz w:val="24"/>
          <w:szCs w:val="24"/>
        </w:rPr>
      </w:r>
    </w:p>
    <w:p>
      <w:pPr>
        <w:pStyle w:val="Normal"/>
        <w:ind w:firstLine="851"/>
        <w:jc w:val="both"/>
        <w:rPr/>
      </w:pPr>
      <w:r>
        <w:rPr>
          <w:b/>
          <w:sz w:val="24"/>
          <w:szCs w:val="24"/>
        </w:rPr>
        <w:t>12.1.6.2.</w:t>
      </w:r>
      <w:r>
        <w:rPr>
          <w:sz w:val="24"/>
          <w:szCs w:val="24"/>
        </w:rPr>
        <w:t xml:space="preserve"> Induzir deliberadamente a erro no julgamento; </w:t>
      </w:r>
    </w:p>
    <w:p>
      <w:pPr>
        <w:pStyle w:val="Normal"/>
        <w:ind w:firstLine="851"/>
        <w:jc w:val="both"/>
        <w:rPr>
          <w:b/>
          <w:sz w:val="24"/>
          <w:szCs w:val="24"/>
        </w:rPr>
      </w:pPr>
      <w:r>
        <w:rPr>
          <w:b/>
          <w:sz w:val="24"/>
          <w:szCs w:val="24"/>
        </w:rPr>
      </w:r>
    </w:p>
    <w:p>
      <w:pPr>
        <w:pStyle w:val="Normal"/>
        <w:ind w:firstLine="851"/>
        <w:jc w:val="both"/>
        <w:rPr/>
      </w:pPr>
      <w:r>
        <w:rPr>
          <w:b/>
          <w:sz w:val="24"/>
          <w:szCs w:val="24"/>
        </w:rPr>
        <w:t>12.1.6.3.</w:t>
      </w:r>
      <w:r>
        <w:rPr>
          <w:sz w:val="24"/>
          <w:szCs w:val="24"/>
        </w:rPr>
        <w:t xml:space="preserve"> Apresentar amostra falsificada ou deteriorada;</w:t>
      </w:r>
    </w:p>
    <w:p>
      <w:pPr>
        <w:pStyle w:val="Normal"/>
        <w:ind w:firstLine="851"/>
        <w:jc w:val="both"/>
        <w:rPr>
          <w:sz w:val="24"/>
          <w:szCs w:val="24"/>
        </w:rPr>
      </w:pPr>
      <w:r>
        <w:rPr>
          <w:sz w:val="24"/>
          <w:szCs w:val="24"/>
        </w:rPr>
      </w:r>
    </w:p>
    <w:p>
      <w:pPr>
        <w:pStyle w:val="Normal"/>
        <w:ind w:firstLine="851"/>
        <w:jc w:val="both"/>
        <w:rPr/>
      </w:pPr>
      <w:r>
        <w:rPr>
          <w:b/>
          <w:sz w:val="24"/>
          <w:szCs w:val="24"/>
        </w:rPr>
        <w:t>12.1.7.</w:t>
      </w:r>
      <w:r>
        <w:rPr>
          <w:sz w:val="24"/>
          <w:szCs w:val="24"/>
        </w:rPr>
        <w:t xml:space="preserve"> Praticar atos ilícitos com vistas a frustrar os objetivos da licitação </w:t>
      </w:r>
    </w:p>
    <w:p>
      <w:pPr>
        <w:pStyle w:val="Normal"/>
        <w:ind w:firstLine="851"/>
        <w:jc w:val="both"/>
        <w:rPr>
          <w:sz w:val="24"/>
          <w:szCs w:val="24"/>
        </w:rPr>
      </w:pPr>
      <w:r>
        <w:rPr>
          <w:sz w:val="24"/>
          <w:szCs w:val="24"/>
        </w:rPr>
      </w:r>
    </w:p>
    <w:p>
      <w:pPr>
        <w:pStyle w:val="Normal"/>
        <w:ind w:firstLine="851"/>
        <w:jc w:val="both"/>
        <w:rPr/>
      </w:pPr>
      <w:r>
        <w:rPr>
          <w:b/>
          <w:sz w:val="24"/>
          <w:szCs w:val="24"/>
        </w:rPr>
        <w:t>12.1.8.</w:t>
      </w:r>
      <w:r>
        <w:rPr>
          <w:sz w:val="24"/>
          <w:szCs w:val="24"/>
        </w:rPr>
        <w:t xml:space="preserve"> Praticar ato lesivo previsto no art. 5º da Lei n.º 12.846, de 2013. </w:t>
      </w:r>
    </w:p>
    <w:p>
      <w:pPr>
        <w:pStyle w:val="Normal"/>
        <w:ind w:firstLine="851"/>
        <w:jc w:val="both"/>
        <w:rPr>
          <w:sz w:val="24"/>
          <w:szCs w:val="24"/>
        </w:rPr>
      </w:pPr>
      <w:r>
        <w:rPr>
          <w:sz w:val="24"/>
          <w:szCs w:val="24"/>
        </w:rPr>
      </w:r>
    </w:p>
    <w:p>
      <w:pPr>
        <w:pStyle w:val="Normal"/>
        <w:ind w:firstLine="851"/>
        <w:jc w:val="both"/>
        <w:rPr/>
      </w:pPr>
      <w:r>
        <w:rPr>
          <w:b/>
          <w:sz w:val="24"/>
          <w:szCs w:val="24"/>
        </w:rPr>
        <w:t>12.2.</w:t>
      </w:r>
      <w:r>
        <w:rPr>
          <w:sz w:val="24"/>
          <w:szCs w:val="24"/>
        </w:rPr>
        <w:t xml:space="preserve"> A sanção de que trata o subitem poderá ser aplicada juntamente com as multas previstas, garantindo o exercício de prévia e ampla defesa.</w:t>
      </w:r>
    </w:p>
    <w:p>
      <w:pPr>
        <w:pStyle w:val="Normal"/>
        <w:ind w:firstLine="851"/>
        <w:jc w:val="both"/>
        <w:rPr>
          <w:sz w:val="24"/>
          <w:szCs w:val="24"/>
        </w:rPr>
      </w:pPr>
      <w:r>
        <w:rPr>
          <w:sz w:val="24"/>
          <w:szCs w:val="24"/>
        </w:rPr>
      </w:r>
    </w:p>
    <w:p>
      <w:pPr>
        <w:pStyle w:val="Normal"/>
        <w:ind w:firstLine="851"/>
        <w:jc w:val="both"/>
        <w:rPr/>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b/>
          <w:sz w:val="24"/>
          <w:szCs w:val="24"/>
        </w:rPr>
      </w:pPr>
      <w:r>
        <w:rPr>
          <w:b/>
          <w:sz w:val="24"/>
          <w:szCs w:val="24"/>
        </w:rPr>
      </w:r>
    </w:p>
    <w:p>
      <w:pPr>
        <w:pStyle w:val="Normal"/>
        <w:ind w:firstLine="851"/>
        <w:jc w:val="both"/>
        <w:rPr/>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b/>
          <w:sz w:val="24"/>
          <w:szCs w:val="24"/>
        </w:rPr>
      </w:pPr>
      <w:r>
        <w:rPr>
          <w:b/>
          <w:sz w:val="24"/>
          <w:szCs w:val="24"/>
        </w:rPr>
      </w:r>
    </w:p>
    <w:p>
      <w:pPr>
        <w:pStyle w:val="Normal"/>
        <w:ind w:firstLine="851"/>
        <w:jc w:val="both"/>
        <w:rPr/>
      </w:pPr>
      <w:r>
        <w:rPr>
          <w:b/>
          <w:sz w:val="24"/>
          <w:szCs w:val="24"/>
        </w:rPr>
        <w:t>12.3.1.</w:t>
      </w:r>
      <w:r>
        <w:rPr>
          <w:sz w:val="24"/>
          <w:szCs w:val="24"/>
        </w:rPr>
        <w:t xml:space="preserve"> Advertência; </w:t>
      </w:r>
    </w:p>
    <w:p>
      <w:pPr>
        <w:pStyle w:val="Normal"/>
        <w:ind w:firstLine="851"/>
        <w:jc w:val="both"/>
        <w:rPr>
          <w:sz w:val="24"/>
          <w:szCs w:val="24"/>
        </w:rPr>
      </w:pPr>
      <w:r>
        <w:rPr>
          <w:sz w:val="24"/>
          <w:szCs w:val="24"/>
        </w:rPr>
      </w:r>
    </w:p>
    <w:p>
      <w:pPr>
        <w:pStyle w:val="Normal"/>
        <w:ind w:firstLine="851"/>
        <w:jc w:val="both"/>
        <w:rPr/>
      </w:pPr>
      <w:r>
        <w:rPr>
          <w:b/>
          <w:sz w:val="24"/>
          <w:szCs w:val="24"/>
        </w:rPr>
        <w:t>12.3.2.</w:t>
      </w:r>
      <w:r>
        <w:rPr>
          <w:sz w:val="24"/>
          <w:szCs w:val="24"/>
        </w:rPr>
        <w:t xml:space="preserve"> Multa de mora;</w:t>
      </w:r>
    </w:p>
    <w:p>
      <w:pPr>
        <w:pStyle w:val="Normal"/>
        <w:ind w:firstLine="851"/>
        <w:jc w:val="both"/>
        <w:rPr>
          <w:sz w:val="24"/>
          <w:szCs w:val="24"/>
        </w:rPr>
      </w:pPr>
      <w:r>
        <w:rPr>
          <w:sz w:val="24"/>
          <w:szCs w:val="24"/>
        </w:rPr>
      </w:r>
    </w:p>
    <w:p>
      <w:pPr>
        <w:pStyle w:val="Normal"/>
        <w:ind w:firstLine="851"/>
        <w:jc w:val="both"/>
        <w:rPr/>
      </w:pPr>
      <w:r>
        <w:rPr>
          <w:b/>
          <w:sz w:val="24"/>
          <w:szCs w:val="24"/>
        </w:rPr>
        <w:t>12.3.2.1.</w:t>
      </w:r>
      <w:r>
        <w:rPr>
          <w:sz w:val="24"/>
          <w:szCs w:val="24"/>
        </w:rPr>
        <w:t xml:space="preserve"> Multa de 10% (dez por cento) sobre a parcela remanescente, no caso de inexecução parcial de contrato; </w:t>
      </w:r>
    </w:p>
    <w:p>
      <w:pPr>
        <w:pStyle w:val="Normal"/>
        <w:ind w:firstLine="851"/>
        <w:jc w:val="both"/>
        <w:rPr>
          <w:sz w:val="24"/>
          <w:szCs w:val="24"/>
        </w:rPr>
      </w:pPr>
      <w:r>
        <w:rPr>
          <w:sz w:val="24"/>
          <w:szCs w:val="24"/>
        </w:rPr>
      </w:r>
    </w:p>
    <w:p>
      <w:pPr>
        <w:pStyle w:val="Normal"/>
        <w:ind w:firstLine="851"/>
        <w:jc w:val="both"/>
        <w:rPr/>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pPr>
        <w:pStyle w:val="Normal"/>
        <w:ind w:firstLine="851"/>
        <w:jc w:val="both"/>
        <w:rPr>
          <w:sz w:val="24"/>
          <w:szCs w:val="24"/>
        </w:rPr>
      </w:pPr>
      <w:r>
        <w:rPr>
          <w:sz w:val="24"/>
          <w:szCs w:val="24"/>
        </w:rPr>
      </w:r>
    </w:p>
    <w:p>
      <w:pPr>
        <w:pStyle w:val="Normal"/>
        <w:ind w:firstLine="851"/>
        <w:jc w:val="both"/>
        <w:rPr/>
      </w:pPr>
      <w:r>
        <w:rPr>
          <w:b/>
          <w:sz w:val="24"/>
          <w:szCs w:val="24"/>
        </w:rPr>
        <w:t>12.3.2.3.</w:t>
      </w:r>
      <w:r>
        <w:rPr>
          <w:sz w:val="24"/>
          <w:szCs w:val="24"/>
        </w:rPr>
        <w:t xml:space="preserve"> Multa de 20% (vinte por cento) sobre o valor total do contrato, no caso de sua inexecução total; </w:t>
      </w:r>
    </w:p>
    <w:p>
      <w:pPr>
        <w:pStyle w:val="Normal"/>
        <w:ind w:firstLine="851"/>
        <w:jc w:val="both"/>
        <w:rPr>
          <w:sz w:val="24"/>
          <w:szCs w:val="24"/>
        </w:rPr>
      </w:pPr>
      <w:r>
        <w:rPr>
          <w:sz w:val="24"/>
          <w:szCs w:val="24"/>
        </w:rPr>
      </w:r>
    </w:p>
    <w:p>
      <w:pPr>
        <w:pStyle w:val="Normal"/>
        <w:ind w:firstLine="851"/>
        <w:jc w:val="both"/>
        <w:rPr/>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sz w:val="24"/>
          <w:szCs w:val="24"/>
        </w:rPr>
      </w:pPr>
      <w:r>
        <w:rPr>
          <w:sz w:val="24"/>
          <w:szCs w:val="24"/>
        </w:rPr>
      </w:r>
    </w:p>
    <w:p>
      <w:pPr>
        <w:pStyle w:val="Normal"/>
        <w:ind w:firstLine="851"/>
        <w:jc w:val="both"/>
        <w:rPr/>
      </w:pPr>
      <w:r>
        <w:rPr>
          <w:b/>
          <w:sz w:val="24"/>
          <w:szCs w:val="24"/>
        </w:rPr>
        <w:t>12.3.2.5.</w:t>
      </w:r>
      <w:r>
        <w:rPr>
          <w:sz w:val="24"/>
          <w:szCs w:val="24"/>
        </w:rPr>
        <w:t xml:space="preserve"> Multa de 20% (vinte por cento) sobre o valor total do contrato, no caso recusa injustificada de assinar/receber o contrato. </w:t>
      </w:r>
    </w:p>
    <w:p>
      <w:pPr>
        <w:pStyle w:val="Normal"/>
        <w:ind w:firstLine="851"/>
        <w:jc w:val="both"/>
        <w:rPr>
          <w:b/>
          <w:sz w:val="24"/>
          <w:szCs w:val="24"/>
        </w:rPr>
      </w:pPr>
      <w:r>
        <w:rPr>
          <w:b/>
          <w:sz w:val="24"/>
          <w:szCs w:val="24"/>
        </w:rPr>
      </w:r>
    </w:p>
    <w:p>
      <w:pPr>
        <w:pStyle w:val="Normal"/>
        <w:ind w:firstLine="851"/>
        <w:jc w:val="both"/>
        <w:rPr/>
      </w:pPr>
      <w:r>
        <w:rPr>
          <w:b/>
          <w:sz w:val="24"/>
          <w:szCs w:val="24"/>
        </w:rPr>
        <w:t>12.4.</w:t>
      </w:r>
      <w:r>
        <w:rPr>
          <w:sz w:val="24"/>
          <w:szCs w:val="24"/>
        </w:rPr>
        <w:t xml:space="preserve"> As multas são independentes entre si; a aplicação de uma, não exclui a aplicação de outras, bem como das demais penalidades previstas em lei. </w:t>
      </w:r>
    </w:p>
    <w:p>
      <w:pPr>
        <w:pStyle w:val="Normal"/>
        <w:ind w:firstLine="851"/>
        <w:jc w:val="both"/>
        <w:rPr>
          <w:b/>
          <w:sz w:val="24"/>
          <w:szCs w:val="24"/>
        </w:rPr>
      </w:pPr>
      <w:r>
        <w:rPr>
          <w:b/>
          <w:sz w:val="24"/>
          <w:szCs w:val="24"/>
        </w:rPr>
      </w:r>
    </w:p>
    <w:p>
      <w:pPr>
        <w:pStyle w:val="Normal"/>
        <w:ind w:firstLine="851"/>
        <w:jc w:val="both"/>
        <w:rPr/>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pPr>
        <w:pStyle w:val="Normal"/>
        <w:ind w:firstLine="851"/>
        <w:jc w:val="both"/>
        <w:rPr>
          <w:b/>
          <w:sz w:val="24"/>
          <w:szCs w:val="24"/>
        </w:rPr>
      </w:pPr>
      <w:r>
        <w:rPr>
          <w:b/>
          <w:sz w:val="24"/>
          <w:szCs w:val="24"/>
        </w:rPr>
      </w:r>
    </w:p>
    <w:p>
      <w:pPr>
        <w:pStyle w:val="Normal"/>
        <w:ind w:firstLine="851"/>
        <w:jc w:val="both"/>
        <w:rPr>
          <w:b/>
          <w:sz w:val="24"/>
          <w:szCs w:val="24"/>
        </w:rPr>
      </w:pPr>
      <w:r>
        <w:rPr>
          <w:b/>
          <w:sz w:val="24"/>
          <w:szCs w:val="24"/>
        </w:rPr>
      </w:r>
    </w:p>
    <w:p>
      <w:pPr>
        <w:pStyle w:val="Normal"/>
        <w:ind w:firstLine="851"/>
        <w:jc w:val="both"/>
        <w:rPr/>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b/>
          <w:sz w:val="24"/>
          <w:szCs w:val="24"/>
        </w:rPr>
      </w:pPr>
      <w:r>
        <w:rPr>
          <w:b/>
          <w:sz w:val="24"/>
          <w:szCs w:val="24"/>
        </w:rPr>
      </w:r>
    </w:p>
    <w:p>
      <w:pPr>
        <w:pStyle w:val="Normal"/>
        <w:ind w:firstLine="851"/>
        <w:jc w:val="both"/>
        <w:rPr/>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sz w:val="24"/>
          <w:szCs w:val="24"/>
        </w:rPr>
      </w:pPr>
      <w:r>
        <w:rPr>
          <w:sz w:val="24"/>
          <w:szCs w:val="24"/>
        </w:rPr>
      </w:r>
    </w:p>
    <w:p>
      <w:pPr>
        <w:pStyle w:val="Normal"/>
        <w:ind w:firstLine="851"/>
        <w:jc w:val="both"/>
        <w:rPr/>
      </w:pPr>
      <w:r>
        <w:rPr>
          <w:b/>
          <w:sz w:val="24"/>
          <w:szCs w:val="24"/>
        </w:rPr>
        <w:t>12.8.</w:t>
      </w:r>
      <w:r>
        <w:rPr>
          <w:sz w:val="24"/>
          <w:szCs w:val="24"/>
        </w:rPr>
        <w:t xml:space="preserve"> Pelo descumprimento de quaisquer cláusulas ou condições do contrato, as multas e penalidade serão elevadas em dobro, em caso de reincidência. </w:t>
      </w:r>
    </w:p>
    <w:p>
      <w:pPr>
        <w:pStyle w:val="Normal"/>
        <w:ind w:firstLine="851"/>
        <w:jc w:val="both"/>
        <w:rPr>
          <w:sz w:val="24"/>
          <w:szCs w:val="24"/>
        </w:rPr>
      </w:pPr>
      <w:r>
        <w:rPr>
          <w:sz w:val="24"/>
          <w:szCs w:val="24"/>
        </w:rPr>
      </w:r>
    </w:p>
    <w:p>
      <w:pPr>
        <w:pStyle w:val="Normal"/>
        <w:ind w:firstLine="851"/>
        <w:jc w:val="both"/>
        <w:rPr/>
      </w:pPr>
      <w:r>
        <w:rPr>
          <w:b/>
          <w:sz w:val="24"/>
          <w:szCs w:val="24"/>
        </w:rPr>
        <w:t>12.9.</w:t>
      </w:r>
      <w:r>
        <w:rPr>
          <w:sz w:val="24"/>
          <w:szCs w:val="24"/>
        </w:rPr>
        <w:t xml:space="preserve"> A aplicação das sanções previstas neste edital não exclui, em hipótese alguma, a obrigação de reparação integral dos danos causados.</w:t>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pPr>
            <w:r>
              <w:rPr>
                <w:b/>
                <w:sz w:val="24"/>
                <w:szCs w:val="24"/>
              </w:rPr>
              <w:t>CLÁUSULA 13. - DAS MEDIDAS ANTICORRUPÇÃO</w:t>
            </w:r>
          </w:p>
        </w:tc>
      </w:tr>
    </w:tbl>
    <w:p>
      <w:pPr>
        <w:pStyle w:val="Normal"/>
        <w:rPr>
          <w:b/>
          <w:sz w:val="24"/>
          <w:szCs w:val="24"/>
        </w:rPr>
      </w:pPr>
      <w:r>
        <w:rPr>
          <w:b/>
          <w:sz w:val="24"/>
          <w:szCs w:val="24"/>
        </w:rPr>
      </w:r>
    </w:p>
    <w:p>
      <w:pPr>
        <w:pStyle w:val="Normal"/>
        <w:ind w:firstLine="850"/>
        <w:jc w:val="both"/>
        <w:rPr/>
      </w:pPr>
      <w:r>
        <w:rPr>
          <w:b/>
          <w:sz w:val="24"/>
          <w:szCs w:val="24"/>
          <w:shd w:fill="FFFFFF" w:val="clear"/>
        </w:rPr>
        <w:t>13.1.</w:t>
      </w:r>
      <w:r>
        <w:rPr>
          <w:sz w:val="24"/>
          <w:szCs w:val="24"/>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pPr>
            <w:r>
              <w:rPr>
                <w:b/>
                <w:sz w:val="24"/>
                <w:szCs w:val="24"/>
              </w:rPr>
              <w:t>CLÁUSULA 14. - DAS DISPOSIÇÕES FINAIS</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sz w:val="24"/>
          <w:szCs w:val="24"/>
        </w:rPr>
      </w:pPr>
      <w:r>
        <w:rPr>
          <w:sz w:val="24"/>
          <w:szCs w:val="24"/>
        </w:rPr>
      </w:r>
    </w:p>
    <w:p>
      <w:pPr>
        <w:pStyle w:val="Normal"/>
        <w:keepLines/>
        <w:ind w:firstLine="851"/>
        <w:jc w:val="both"/>
        <w:rPr/>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pPr>
        <w:pStyle w:val="Normal"/>
        <w:keepLines/>
        <w:ind w:firstLine="851"/>
        <w:jc w:val="both"/>
        <w:rPr>
          <w:b/>
          <w:sz w:val="24"/>
          <w:szCs w:val="24"/>
        </w:rPr>
      </w:pPr>
      <w:r>
        <w:rPr>
          <w:b/>
          <w:sz w:val="24"/>
          <w:szCs w:val="24"/>
        </w:rPr>
      </w:r>
    </w:p>
    <w:p>
      <w:pPr>
        <w:pStyle w:val="Normal"/>
        <w:keepLines/>
        <w:ind w:firstLine="851"/>
        <w:jc w:val="both"/>
        <w:rPr/>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pPr>
        <w:pStyle w:val="Normal"/>
        <w:keepLines/>
        <w:ind w:firstLine="851"/>
        <w:jc w:val="both"/>
        <w:rPr>
          <w:sz w:val="24"/>
          <w:szCs w:val="24"/>
        </w:rPr>
      </w:pPr>
      <w:r>
        <w:rPr>
          <w:sz w:val="24"/>
          <w:szCs w:val="24"/>
        </w:rPr>
      </w:r>
    </w:p>
    <w:p>
      <w:pPr>
        <w:pStyle w:val="Normal"/>
        <w:keepLines/>
        <w:ind w:firstLine="851"/>
        <w:jc w:val="both"/>
        <w:rPr/>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pPr>
        <w:pStyle w:val="Normal"/>
        <w:keepLines/>
        <w:ind w:firstLine="851"/>
        <w:jc w:val="both"/>
        <w:rPr>
          <w:sz w:val="24"/>
          <w:szCs w:val="24"/>
        </w:rPr>
      </w:pPr>
      <w:r>
        <w:rPr>
          <w:sz w:val="24"/>
          <w:szCs w:val="24"/>
        </w:rPr>
      </w:r>
    </w:p>
    <w:p>
      <w:pPr>
        <w:pStyle w:val="Normal"/>
        <w:keepLines/>
        <w:ind w:firstLine="851"/>
        <w:jc w:val="both"/>
        <w:rPr/>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pPr>
        <w:pStyle w:val="Normal"/>
        <w:keepLines/>
        <w:jc w:val="both"/>
        <w:rPr>
          <w:b/>
          <w:sz w:val="24"/>
          <w:szCs w:val="24"/>
        </w:rPr>
      </w:pPr>
      <w:r>
        <w:rPr>
          <w:b/>
          <w:sz w:val="24"/>
          <w:szCs w:val="24"/>
        </w:rPr>
      </w:r>
    </w:p>
    <w:p>
      <w:pPr>
        <w:pStyle w:val="Normal"/>
        <w:ind w:firstLine="851"/>
        <w:jc w:val="both"/>
        <w:rPr/>
      </w:pPr>
      <w:r>
        <w:rPr>
          <w:b/>
          <w:sz w:val="24"/>
          <w:szCs w:val="24"/>
        </w:rPr>
        <w:t xml:space="preserve">14.6. </w:t>
      </w:r>
      <w:r>
        <w:rPr>
          <w:sz w:val="24"/>
          <w:szCs w:val="24"/>
        </w:rPr>
        <w:t>É vedada a subcontratação.</w:t>
      </w:r>
    </w:p>
    <w:p>
      <w:pPr>
        <w:pStyle w:val="Normal"/>
        <w:ind w:firstLine="851"/>
        <w:jc w:val="both"/>
        <w:rPr>
          <w:b/>
          <w:sz w:val="24"/>
          <w:szCs w:val="24"/>
        </w:rPr>
      </w:pPr>
      <w:r>
        <w:rPr>
          <w:b/>
          <w:sz w:val="24"/>
          <w:szCs w:val="24"/>
        </w:rPr>
      </w:r>
    </w:p>
    <w:p>
      <w:pPr>
        <w:pStyle w:val="Normal"/>
        <w:ind w:firstLine="851"/>
        <w:jc w:val="both"/>
        <w:rPr/>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pPr>
        <w:pStyle w:val="Normal"/>
        <w:keepLines/>
        <w:jc w:val="both"/>
        <w:rPr>
          <w:b/>
          <w:sz w:val="24"/>
          <w:szCs w:val="24"/>
        </w:rPr>
      </w:pPr>
      <w:r>
        <w:rPr>
          <w:b/>
          <w:sz w:val="24"/>
          <w:szCs w:val="24"/>
        </w:rPr>
      </w:r>
    </w:p>
    <w:p>
      <w:pPr>
        <w:pStyle w:val="Normal"/>
        <w:keepLines/>
        <w:ind w:firstLine="851"/>
        <w:jc w:val="both"/>
        <w:rPr/>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sz w:val="24"/>
          <w:szCs w:val="24"/>
        </w:rPr>
      </w:pPr>
      <w:r>
        <w:rPr>
          <w:sz w:val="24"/>
          <w:szCs w:val="24"/>
        </w:rPr>
      </w:r>
    </w:p>
    <w:p>
      <w:pPr>
        <w:pStyle w:val="Normal"/>
        <w:ind w:firstLine="851"/>
        <w:jc w:val="both"/>
        <w:rPr/>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sz w:val="24"/>
          <w:szCs w:val="24"/>
        </w:rPr>
      </w:pPr>
      <w:r>
        <w:rPr>
          <w:sz w:val="24"/>
          <w:szCs w:val="24"/>
        </w:rPr>
      </w:r>
    </w:p>
    <w:p>
      <w:pPr>
        <w:pStyle w:val="Normal"/>
        <w:ind w:firstLine="851"/>
        <w:jc w:val="both"/>
        <w:rPr/>
      </w:pPr>
      <w:r>
        <w:rPr>
          <w:sz w:val="24"/>
          <w:szCs w:val="24"/>
        </w:rPr>
        <w:t>Lido e achado conforme, assinam este instrumento em 02 (duas) vias, de igual teor e forma, as partes e testemunha, sendo 01 (uma) via destinada ao processo e a outra para arquivo.</w:t>
      </w:r>
    </w:p>
    <w:p>
      <w:pPr>
        <w:pStyle w:val="Normal"/>
        <w:ind w:firstLine="851"/>
        <w:jc w:val="both"/>
        <w:rPr>
          <w:sz w:val="24"/>
          <w:szCs w:val="24"/>
        </w:rPr>
      </w:pPr>
      <w:r>
        <w:rPr>
          <w:sz w:val="24"/>
          <w:szCs w:val="24"/>
        </w:rPr>
      </w:r>
    </w:p>
    <w:p>
      <w:pPr>
        <w:pStyle w:val="Normal"/>
        <w:ind w:firstLine="851"/>
        <w:jc w:val="both"/>
        <w:rPr/>
      </w:pPr>
      <w:r>
        <w:rPr>
          <w:sz w:val="24"/>
          <w:szCs w:val="24"/>
        </w:rPr>
        <w:t>Piracicaba, ..... de ........................... de 2025.</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800"/>
        <w:gridCol w:w="319"/>
        <w:gridCol w:w="4803"/>
      </w:tblGrid>
      <w:tr>
        <w:trPr/>
        <w:tc>
          <w:tcPr>
            <w:tcW w:w="4800" w:type="dxa"/>
            <w:tcBorders>
              <w:top w:val="single" w:sz="4" w:space="0" w:color="000000"/>
              <w:left w:val="single" w:sz="4" w:space="0" w:color="000000"/>
              <w:bottom w:val="single" w:sz="4" w:space="0" w:color="000000"/>
            </w:tcBorders>
            <w:shd w:color="auto" w:fill="auto" w:val="clear"/>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pPr>
            <w:r>
              <w:rPr>
                <w:b/>
                <w:sz w:val="24"/>
                <w:szCs w:val="24"/>
              </w:rPr>
              <w:t>CARLOS ALBERTO L. BELTRAME</w:t>
            </w:r>
          </w:p>
          <w:p>
            <w:pPr>
              <w:pStyle w:val="Normal"/>
              <w:jc w:val="center"/>
              <w:rPr/>
            </w:pPr>
            <w:r>
              <w:rPr>
                <w:b/>
                <w:sz w:val="24"/>
                <w:szCs w:val="24"/>
              </w:rPr>
              <w:t>Secretário Municipal de Cultura</w:t>
            </w:r>
          </w:p>
        </w:tc>
        <w:tc>
          <w:tcPr>
            <w:tcW w:w="319" w:type="dxa"/>
            <w:tcBorders>
              <w:left w:val="single" w:sz="4" w:space="0" w:color="000000"/>
            </w:tcBorders>
            <w:shd w:color="auto" w:fill="auto" w:val="clear"/>
          </w:tcPr>
          <w:p>
            <w:pPr>
              <w:pStyle w:val="Normal"/>
              <w:snapToGrid w:val="false"/>
              <w:jc w:val="both"/>
              <w:rPr>
                <w:b/>
                <w:sz w:val="24"/>
                <w:szCs w:val="24"/>
              </w:rPr>
            </w:pPr>
            <w:r>
              <w:rPr>
                <w:b/>
                <w:sz w:val="24"/>
                <w:szCs w:val="24"/>
              </w:rPr>
            </w:r>
          </w:p>
        </w:tc>
        <w:tc>
          <w:tcPr>
            <w:tcW w:w="4803"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center"/>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r>
          </w:p>
          <w:p>
            <w:pPr>
              <w:pStyle w:val="Normal"/>
              <w:jc w:val="center"/>
              <w:rPr/>
            </w:pPr>
            <w:r>
              <w:rPr>
                <w:b/>
                <w:sz w:val="24"/>
                <w:szCs w:val="24"/>
              </w:rPr>
              <w:t>::: EMPRESA CONTRATADA :::</w:t>
            </w:r>
          </w:p>
          <w:p>
            <w:pPr>
              <w:pStyle w:val="Normal"/>
              <w:jc w:val="center"/>
              <w:rPr/>
            </w:pPr>
            <w:r>
              <w:rPr>
                <w:b/>
                <w:sz w:val="24"/>
                <w:szCs w:val="24"/>
              </w:rPr>
              <w:t>Representante Legal</w:t>
            </w:r>
          </w:p>
        </w:tc>
      </w:tr>
    </w:tbl>
    <w:p>
      <w:pPr>
        <w:pStyle w:val="Normal"/>
        <w:rPr>
          <w:b/>
          <w:sz w:val="24"/>
          <w:szCs w:val="24"/>
        </w:rPr>
      </w:pPr>
      <w:r>
        <w:rPr>
          <w:b/>
          <w:sz w:val="24"/>
          <w:szCs w:val="24"/>
        </w:rPr>
      </w:r>
    </w:p>
    <w:p>
      <w:pPr>
        <w:pStyle w:val="Normal"/>
        <w:jc w:val="both"/>
        <w:rPr/>
      </w:pPr>
      <w:r>
        <w:rPr>
          <w:b/>
          <w:sz w:val="24"/>
          <w:szCs w:val="24"/>
          <w:u w:val="single"/>
        </w:rPr>
        <w:t>TESTEMUNHAS:</w:t>
      </w:r>
    </w:p>
    <w:p>
      <w:pPr>
        <w:pStyle w:val="Normal"/>
        <w:jc w:val="both"/>
        <w:rPr>
          <w:b/>
          <w:sz w:val="24"/>
          <w:szCs w:val="24"/>
          <w:u w:val="single"/>
        </w:rPr>
      </w:pPr>
      <w:r>
        <w:rPr>
          <w:b/>
          <w:sz w:val="24"/>
          <w:szCs w:val="24"/>
          <w:u w:val="single"/>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802"/>
        <w:gridCol w:w="317"/>
        <w:gridCol w:w="4803"/>
      </w:tblGrid>
      <w:tr>
        <w:trPr>
          <w:trHeight w:val="1089" w:hRule="atLeast"/>
        </w:trPr>
        <w:tc>
          <w:tcPr>
            <w:tcW w:w="4802" w:type="dxa"/>
            <w:tcBorders>
              <w:top w:val="single" w:sz="4" w:space="0" w:color="000000"/>
              <w:left w:val="single" w:sz="4" w:space="0" w:color="000000"/>
              <w:bottom w:val="single" w:sz="4" w:space="0" w:color="000000"/>
            </w:tcBorders>
            <w:shd w:color="auto" w:fill="auto" w:val="clear"/>
          </w:tcPr>
          <w:p>
            <w:pPr>
              <w:pStyle w:val="Normal"/>
              <w:snapToGrid w:val="false"/>
              <w:rPr>
                <w:b/>
                <w:sz w:val="24"/>
                <w:szCs w:val="24"/>
              </w:rPr>
            </w:pPr>
            <w:r>
              <w:rPr>
                <w:b/>
                <w:sz w:val="24"/>
                <w:szCs w:val="24"/>
              </w:rPr>
            </w:r>
          </w:p>
          <w:p>
            <w:pPr>
              <w:pStyle w:val="Normal"/>
              <w:snapToGrid w:val="false"/>
              <w:rPr>
                <w:b/>
                <w:sz w:val="24"/>
                <w:szCs w:val="24"/>
              </w:rPr>
            </w:pPr>
            <w:r>
              <w:rPr>
                <w:b/>
                <w:sz w:val="24"/>
                <w:szCs w:val="24"/>
              </w:rPr>
            </w:r>
          </w:p>
          <w:p>
            <w:pPr>
              <w:pStyle w:val="Normal"/>
              <w:rPr/>
            </w:pPr>
            <w:r>
              <w:rPr>
                <w:b/>
                <w:sz w:val="24"/>
                <w:szCs w:val="24"/>
              </w:rPr>
              <w:t>_________________________</w:t>
            </w:r>
          </w:p>
          <w:p>
            <w:pPr>
              <w:pStyle w:val="Normal"/>
              <w:rPr/>
            </w:pPr>
            <w:r>
              <w:rPr>
                <w:b/>
                <w:sz w:val="24"/>
                <w:szCs w:val="24"/>
              </w:rPr>
              <w:t>Nome:</w:t>
            </w:r>
          </w:p>
          <w:p>
            <w:pPr>
              <w:pStyle w:val="Normal"/>
              <w:rPr/>
            </w:pPr>
            <w:r>
              <w:rPr>
                <w:b/>
                <w:sz w:val="24"/>
                <w:szCs w:val="24"/>
              </w:rPr>
              <w:t>CPF:</w:t>
            </w:r>
          </w:p>
        </w:tc>
        <w:tc>
          <w:tcPr>
            <w:tcW w:w="317" w:type="dxa"/>
            <w:tcBorders>
              <w:left w:val="single" w:sz="4" w:space="0" w:color="000000"/>
            </w:tcBorders>
            <w:shd w:color="auto" w:fill="auto" w:val="clear"/>
          </w:tcPr>
          <w:p>
            <w:pPr>
              <w:pStyle w:val="Normal"/>
              <w:snapToGrid w:val="false"/>
              <w:jc w:val="both"/>
              <w:rPr>
                <w:b/>
                <w:sz w:val="24"/>
                <w:szCs w:val="24"/>
              </w:rPr>
            </w:pPr>
            <w:r>
              <w:rPr>
                <w:b/>
                <w:sz w:val="24"/>
                <w:szCs w:val="24"/>
              </w:rPr>
            </w:r>
          </w:p>
        </w:tc>
        <w:tc>
          <w:tcPr>
            <w:tcW w:w="4803"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b/>
                <w:sz w:val="24"/>
                <w:szCs w:val="24"/>
              </w:rPr>
            </w:pPr>
            <w:r>
              <w:rPr>
                <w:b/>
                <w:sz w:val="24"/>
                <w:szCs w:val="24"/>
              </w:rPr>
            </w:r>
          </w:p>
          <w:p>
            <w:pPr>
              <w:pStyle w:val="Normal"/>
              <w:snapToGrid w:val="false"/>
              <w:rPr>
                <w:b/>
                <w:sz w:val="24"/>
                <w:szCs w:val="24"/>
              </w:rPr>
            </w:pPr>
            <w:r>
              <w:rPr>
                <w:b/>
                <w:sz w:val="24"/>
                <w:szCs w:val="24"/>
              </w:rPr>
            </w:r>
          </w:p>
          <w:p>
            <w:pPr>
              <w:pStyle w:val="Normal"/>
              <w:rPr/>
            </w:pPr>
            <w:r>
              <w:rPr>
                <w:b/>
                <w:sz w:val="24"/>
                <w:szCs w:val="24"/>
              </w:rPr>
              <w:t>__________________________</w:t>
            </w:r>
          </w:p>
          <w:p>
            <w:pPr>
              <w:pStyle w:val="Normal"/>
              <w:rPr/>
            </w:pPr>
            <w:r>
              <w:rPr>
                <w:b/>
                <w:sz w:val="24"/>
                <w:szCs w:val="24"/>
              </w:rPr>
              <w:t>Nome:</w:t>
            </w:r>
          </w:p>
          <w:p>
            <w:pPr>
              <w:pStyle w:val="Normal"/>
              <w:jc w:val="both"/>
              <w:rPr/>
            </w:pPr>
            <w:r>
              <w:rPr>
                <w:b/>
                <w:sz w:val="24"/>
                <w:szCs w:val="24"/>
              </w:rPr>
              <w:t>CPF:</w:t>
            </w:r>
          </w:p>
        </w:tc>
      </w:tr>
    </w:tbl>
    <w:p>
      <w:pPr>
        <w:pStyle w:val="Normal"/>
        <w:tabs>
          <w:tab w:val="clear" w:pos="709"/>
          <w:tab w:val="left" w:pos="284" w:leader="none"/>
        </w:tabs>
        <w:jc w:val="both"/>
        <w:rPr>
          <w:rFonts w:ascii="Arial" w:hAnsi="Arial" w:cs="Arial"/>
        </w:rPr>
      </w:pPr>
      <w:r>
        <w:rPr>
          <w:rFonts w:cs="Arial" w:ascii="Arial" w:hAnsi="Arial"/>
        </w:rPr>
      </w:r>
      <w:bookmarkStart w:id="21" w:name="_GoBack"/>
      <w:bookmarkStart w:id="22" w:name="_GoBack"/>
      <w:bookmarkEnd w:id="22"/>
    </w:p>
    <w:p>
      <w:pPr>
        <w:pStyle w:val="Normal"/>
        <w:ind w:firstLine="567"/>
        <w:jc w:val="both"/>
        <w:rPr/>
      </w:pPr>
      <w:r>
        <w:rPr/>
      </w:r>
      <w:bookmarkEnd w:id="0"/>
    </w:p>
    <w:sectPr>
      <w:headerReference w:type="even" r:id="rId13"/>
      <w:headerReference w:type="default" r:id="rId14"/>
      <w:headerReference w:type="first" r:id="rId15"/>
      <w:footerReference w:type="even" r:id="rId16"/>
      <w:footerReference w:type="default" r:id="rId17"/>
      <w:footerReference w:type="first" r:id="rId18"/>
      <w:type w:val="nextPage"/>
      <w:pgSz w:w="11906" w:h="16838"/>
      <w:pgMar w:left="1134" w:right="850" w:gutter="0" w:header="283" w:top="1134" w:footer="283" w:bottom="568"/>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ArialMT">
    <w:charset w:val="00"/>
    <w:family w:val="roman"/>
    <w:pitch w:val="variable"/>
  </w:font>
  <w:font w:name="Arial">
    <w:charset w:val="00"/>
    <w:family w:val="roman"/>
    <w:pitch w:val="variable"/>
  </w:font>
  <w:font w:name="Book Antiqua">
    <w:charset w:val="00"/>
    <w:family w:val="roman"/>
    <w:pitch w:val="variable"/>
  </w:font>
  <w:font w:name="Times New Roman">
    <w:charset w:val="00"/>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w:t>
    </w:r>
    <w:r>
      <w:rPr>
        <w:rFonts w:cs="Arial" w:ascii="Arial" w:hAnsi="Arial"/>
        <w:sz w:val="16"/>
      </w:rPr>
      <w:t xml:space="preserve">210/2025 </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 ARABIC </w:instrText>
    </w:r>
    <w:r>
      <w:rPr>
        <w:sz w:val="16"/>
        <w:b/>
        <w:rFonts w:cs="Arial" w:ascii="Arial" w:hAnsi="Arial"/>
      </w:rPr>
      <w:fldChar w:fldCharType="separate"/>
    </w:r>
    <w:r>
      <w:rPr>
        <w:sz w:val="16"/>
        <w:b/>
        <w:rFonts w:cs="Arial" w:ascii="Arial" w:hAnsi="Arial"/>
      </w:rPr>
      <w:t>25</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 ARABIC </w:instrText>
    </w:r>
    <w:r>
      <w:rPr>
        <w:sz w:val="16"/>
        <w:b/>
        <w:rFonts w:cs="Arial" w:ascii="Arial" w:hAnsi="Arial"/>
      </w:rPr>
      <w:fldChar w:fldCharType="separate"/>
    </w:r>
    <w:r>
      <w:rPr>
        <w:sz w:val="16"/>
        <w:b/>
        <w:rFonts w:cs="Arial" w:ascii="Arial" w:hAnsi="Arial"/>
      </w:rPr>
      <w:t>25</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299835" cy="618490"/>
          <wp:effectExtent l="0" t="0" r="0" b="0"/>
          <wp:docPr id="5"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w:t>
    </w:r>
    <w:r>
      <w:rPr>
        <w:rFonts w:cs="Arial" w:ascii="Arial" w:hAnsi="Arial"/>
        <w:sz w:val="16"/>
      </w:rPr>
      <w:t xml:space="preserve">210/2025 </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 ARABIC </w:instrText>
    </w:r>
    <w:r>
      <w:rPr>
        <w:sz w:val="16"/>
        <w:b/>
        <w:rFonts w:cs="Arial" w:ascii="Arial" w:hAnsi="Arial"/>
      </w:rPr>
      <w:fldChar w:fldCharType="separate"/>
    </w:r>
    <w:r>
      <w:rPr>
        <w:sz w:val="16"/>
        <w:b/>
        <w:rFonts w:cs="Arial" w:ascii="Arial" w:hAnsi="Arial"/>
      </w:rPr>
      <w:t>25</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 ARABIC </w:instrText>
    </w:r>
    <w:r>
      <w:rPr>
        <w:sz w:val="16"/>
        <w:b/>
        <w:rFonts w:cs="Arial" w:ascii="Arial" w:hAnsi="Arial"/>
      </w:rPr>
      <w:fldChar w:fldCharType="separate"/>
    </w:r>
    <w:r>
      <w:rPr>
        <w:sz w:val="16"/>
        <w:b/>
        <w:rFonts w:cs="Arial" w:ascii="Arial" w:hAnsi="Arial"/>
      </w:rPr>
      <w:t>25</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299835" cy="618490"/>
          <wp:effectExtent l="0" t="0" r="0" b="0"/>
          <wp:docPr id="6"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descr=""/>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26">
          <wp:simplePos x="0" y="0"/>
          <wp:positionH relativeFrom="column">
            <wp:posOffset>-41910</wp:posOffset>
          </wp:positionH>
          <wp:positionV relativeFrom="paragraph">
            <wp:posOffset>-172720</wp:posOffset>
          </wp:positionV>
          <wp:extent cx="1770380" cy="989965"/>
          <wp:effectExtent l="0" t="0" r="0" b="0"/>
          <wp:wrapTopAndBottom/>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3665" simplePos="0" locked="0" layoutInCell="0" allowOverlap="1" relativeHeight="75" wp14:anchorId="6701A03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fillcolor="white" stroked="f" o:allowincell="f" style="position:absolute;margin-left:119.25pt;margin-top:6.75pt;width:367.7pt;height:70.45pt;mso-wrap-style:square;v-text-anchor:top;mso-position-horizontal:right;mso-position-horizontal-relative:margin;mso-position-vertical-relative:page" wp14:anchorId="6701A033">
              <v:fill o:detectmouseclick="t" type="solid" color2="black" opacity="0"/>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26">
          <wp:simplePos x="0" y="0"/>
          <wp:positionH relativeFrom="column">
            <wp:posOffset>-41910</wp:posOffset>
          </wp:positionH>
          <wp:positionV relativeFrom="paragraph">
            <wp:posOffset>-172720</wp:posOffset>
          </wp:positionV>
          <wp:extent cx="1770380" cy="989965"/>
          <wp:effectExtent l="0" t="0" r="0" b="0"/>
          <wp:wrapTopAndBottom/>
          <wp:docPr id="3"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3665" simplePos="0" locked="0" layoutInCell="0" allowOverlap="1" relativeHeight="75" wp14:anchorId="6701A03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fillcolor="white" stroked="f" o:allowincell="f" style="position:absolute;margin-left:119.25pt;margin-top:6.75pt;width:367.7pt;height:70.45pt;mso-wrap-style:square;v-text-anchor:top;mso-position-horizontal:right;mso-position-horizontal-relative:margin;mso-position-vertical-relative:page" wp14:anchorId="6701A033">
              <v:fill o:detectmouseclick="t" type="solid" color2="black" opacity="0"/>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18"/>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none"/>
      <w:suff w:val="nothing"/>
      <w:lvlText w:val=""/>
      <w:lvlJc w:val="left"/>
      <w:pPr>
        <w:tabs>
          <w:tab w:val="num" w:pos="0"/>
        </w:tabs>
        <w:ind w:left="432" w:hanging="432"/>
      </w:pPr>
      <w:rPr>
        <w:sz w:val="18"/>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11"/>
    <w:lvlOverride w:ilvl="0">
      <w:startOverride w:val="1"/>
    </w:lvlOverride>
  </w:num>
  <w:num w:numId="33">
    <w:abstractNumId w:val="6"/>
  </w:num>
  <w:num w:numId="34">
    <w:abstractNumId w:val="6"/>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 w:numId="51">
    <w:abstractNumId w:val="1"/>
  </w:num>
  <w:num w:numId="52">
    <w:abstractNumId w:val="1"/>
  </w:num>
  <w:num w:numId="53">
    <w:abstractNumId w:val="1"/>
  </w:num>
  <w:num w:numId="54">
    <w:abstractNumId w:val="1"/>
  </w:num>
  <w:num w:numId="55">
    <w:abstractNumId w:val="12"/>
    <w:lvlOverride w:ilvl="0">
      <w:startOverride w:val="1"/>
    </w:lvlOverride>
  </w:num>
</w:numbering>
</file>

<file path=word/settings.xml><?xml version="1.0" encoding="utf-8"?>
<w:settings xmlns:w="http://schemas.openxmlformats.org/wordprocessingml/2006/main">
  <w:zoom w:percent="100"/>
  <w:displayBackgroundShape/>
  <w:defaultTabStop w:val="709"/>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uiPriority="0"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UnresolvedMention" w:customStyle="1">
    <w:name w:val="Unresolved Mention"/>
    <w:basedOn w:val="DefaultParagraphFont"/>
    <w:uiPriority w:val="99"/>
    <w:semiHidden/>
    <w:unhideWhenUsed/>
    <w:qFormat/>
    <w:rsid w:val="007a7a52"/>
    <w:rPr>
      <w:color w:val="605E5C"/>
      <w:shd w:fill="E1DFDD" w:val="clear"/>
    </w:rPr>
  </w:style>
  <w:style w:type="character" w:styleId="Nvel2-RedChar" w:customStyle="1">
    <w:name w:val="Nível 2 -Red Char"/>
    <w:link w:val="Nvel2-Red"/>
    <w:qFormat/>
    <w:rsid w:val="00d71aea"/>
    <w:rPr>
      <w:rFonts w:ascii="Arial" w:hAnsi="Arial" w:eastAsia="MS Mincho" w:cs="Arial"/>
      <w:i/>
      <w:iCs/>
      <w:color w:val="FF0000"/>
    </w:rPr>
  </w:style>
  <w:style w:type="character" w:styleId="ouChar" w:customStyle="1">
    <w:name w:val="ou Char"/>
    <w:link w:val="ou"/>
    <w:qFormat/>
    <w:rsid w:val="00d71aea"/>
    <w:rPr>
      <w:rFonts w:ascii="Arial" w:hAnsi="Arial" w:eastAsia="Cambria" w:cs="Arial"/>
      <w:b/>
      <w:bCs/>
      <w:i/>
      <w:iCs/>
      <w:color w:val="FF0000"/>
      <w:sz w:val="24"/>
      <w:szCs w:val="24"/>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w:rPr>
  </w:style>
  <w:style w:type="paragraph" w:styleId="Ttulo21" w:customStyle="1">
    <w:name w:val="Título21"/>
    <w:basedOn w:val="Ttulo20"/>
    <w:next w:val="BodyText"/>
    <w:qFormat/>
    <w:pPr/>
    <w:rPr>
      <w:sz w:val="56"/>
      <w:szCs w:val="56"/>
    </w:rPr>
  </w:style>
  <w:style w:type="paragraph" w:styleId="ndiceuser" w:customStyle="1">
    <w:name w:val="Índice (user)"/>
    <w:basedOn w:val="Normal"/>
    <w:qFormat/>
    <w:pPr>
      <w:suppressLineNumbers/>
    </w:pPr>
    <w:rPr>
      <w:rFonts w:cs="Mangal"/>
    </w:rPr>
  </w:style>
  <w:style w:type="paragraph" w:styleId="Ttulo20" w:customStyle="1">
    <w:name w:val="Título20"/>
    <w:basedOn w:val="Normal"/>
    <w:next w:val="Subtitle"/>
    <w:qFormat/>
    <w:pPr>
      <w:overflowPunct w:val="tru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tru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pPr>
    <w:rPr/>
  </w:style>
  <w:style w:type="paragraph" w:styleId="Title">
    <w:name w:val="Title"/>
    <w:basedOn w:val="Ttulo21"/>
    <w:next w:val="BodyText"/>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8"/>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8"/>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8"/>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Nvel2-Red" w:customStyle="1">
    <w:name w:val="Nível 2 -Red"/>
    <w:basedOn w:val="Nivel2"/>
    <w:link w:val="Nvel2-RedChar"/>
    <w:qFormat/>
    <w:rsid w:val="00d71aea"/>
    <w:pPr>
      <w:numPr>
        <w:ilvl w:val="0"/>
        <w:numId w:val="0"/>
      </w:numPr>
      <w:tabs>
        <w:tab w:val="clear" w:pos="709"/>
        <w:tab w:val="left" w:pos="0" w:leader="none"/>
      </w:tabs>
    </w:pPr>
    <w:rPr>
      <w:i/>
      <w:iCs/>
      <w:color w:val="FF0000"/>
    </w:rPr>
  </w:style>
  <w:style w:type="paragraph" w:styleId="ou" w:customStyle="1">
    <w:name w:val="ou"/>
    <w:basedOn w:val="ListParagraph"/>
    <w:link w:val="ouChar"/>
    <w:qFormat/>
    <w:rsid w:val="00d71aea"/>
    <w:pPr>
      <w:suppressAutoHyphens w:val="false"/>
      <w:spacing w:lineRule="auto" w:line="259" w:before="60" w:after="60"/>
      <w:ind w:left="0"/>
      <w:jc w:val="center"/>
    </w:pPr>
    <w:rPr>
      <w:rFonts w:ascii="Arial" w:hAnsi="Arial" w:eastAsia="Cambria" w:cs="Arial"/>
      <w:b/>
      <w:bCs/>
      <w:i/>
      <w:iCs/>
      <w:color w:val="FF0000"/>
      <w:kern w:val="0"/>
      <w:sz w:val="24"/>
      <w:szCs w:val="24"/>
      <w:u w:val="single"/>
      <w:lang w:eastAsia="pt-BR"/>
    </w:rPr>
  </w:style>
  <w:style w:type="paragraph" w:styleId="textos" w:customStyle="1">
    <w:name w:val="textos"/>
    <w:basedOn w:val="Normal"/>
    <w:qFormat/>
    <w:rsid w:val="00b2786d"/>
    <w:pPr>
      <w:spacing w:lineRule="atLeast" w:line="271" w:before="280" w:after="280"/>
    </w:pPr>
    <w:rPr>
      <w:rFonts w:ascii="Verdana" w:hAnsi="Verdana" w:cs="Verdana"/>
      <w:color w:val="333333"/>
      <w:kern w:val="0"/>
      <w:sz w:val="19"/>
      <w:szCs w:val="19"/>
      <w:lang w:eastAsia="ar-SA"/>
    </w:rPr>
  </w:style>
  <w:style w:type="paragraph" w:styleId="Pa5" w:customStyle="1">
    <w:name w:val="Pa5"/>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Pa4" w:customStyle="1">
    <w:name w:val="Pa4"/>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Contedodatabela" w:customStyle="1">
    <w:name w:val="Conteúdo da tabela"/>
    <w:basedOn w:val="Standard"/>
    <w:qFormat/>
    <w:rsid w:val="00e95547"/>
    <w:pPr>
      <w:suppressLineNumbers/>
    </w:pPr>
    <w:rPr>
      <w:rFonts w:ascii="Liberation Serif" w:hAnsi="Liberation Serif" w:eastAsia="SimSun" w:cs="Mangal"/>
      <w:sz w:val="24"/>
      <w:szCs w:val="24"/>
      <w:lang w:bidi="hi-IN"/>
    </w:rPr>
  </w:style>
  <w:style w:type="paragraph" w:styleId="Pa6" w:customStyle="1">
    <w:name w:val="Pa6"/>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Standard1" w:customStyle="1">
    <w:name w:val="Standard1"/>
    <w:qFormat/>
    <w:rsid w:val="00e95547"/>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eastAsia="zh-CN" w:bidi="hi-IN" w:val="pt-BR"/>
    </w:rPr>
  </w:style>
  <w:style w:type="paragraph" w:styleId="TableContents" w:customStyle="1">
    <w:name w:val="Table Contents"/>
    <w:basedOn w:val="Standard1"/>
    <w:qFormat/>
    <w:rsid w:val="00e95547"/>
    <w:pPr>
      <w:suppressLineNumbers/>
    </w:pPr>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8a1ec4"/>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piracicaba.sp.gov.br/wp-content/uploads/2024/07/Tutorial-Memorial-de-Segurantha-no-Sem-Papel.pdf"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s://bnccompras.co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mailto:notafiscal@piracicaba.sp.gov.br" TargetMode="External"/><Relationship Id="rId12" Type="http://schemas.openxmlformats.org/officeDocument/2006/relationships/hyperlink" Target="mailto:notafiscal@piracicaba.sp.gov.br"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oter" Target="footer3.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Relationship Id="rId23" Type="http://schemas.openxmlformats.org/officeDocument/2006/relationships/customXml" Target="../customXml/item1.xml"/><Relationship Id="rId24" Type="http://schemas.openxmlformats.org/officeDocument/2006/relationships/customXml" Target="../customXml/item2.xml"/><Relationship Id="rId25" Type="http://schemas.openxmlformats.org/officeDocument/2006/relationships/customXml" Target="../customXml/item3.xml"/><Relationship Id="rId26"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71763c0a-43a9-4215-9c1e-ac13867d38db"/>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schemas.microsoft.com/office/2006/documentManagement/typ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50DDF400-1B41-41EC-9CCE-DC5EF4A99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Application>LibreOffice/25.2.5.2$Windows_X86_64 LibreOffice_project/03d19516eb2e1dd5d4ccd751a0d6f35f35e08022</Application>
  <AppVersion>15.0000</AppVersion>
  <Pages>25</Pages>
  <Words>9879</Words>
  <Characters>57220</Characters>
  <CharactersWithSpaces>66643</CharactersWithSpaces>
  <Paragraphs>520</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2025-07-31T14:38:00Z</dcterms:created>
  <dc:creator>Thiago Luiz Araujo Santos</dc:creator>
  <dc:description/>
  <dc:language>pt-BR</dc:language>
  <cp:lastModifiedBy/>
  <cp:lastPrinted>2022-08-03T17:48:00Z</cp:lastPrinted>
  <dcterms:modified xsi:type="dcterms:W3CDTF">2025-09-09T12:50:06Z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