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xlsx" ContentType="application/vnd.openxmlformats-officedocument.spreadsheetml.sheet"/>
  <Override PartName="/word/media/image1.emf" ContentType="image/x-emf"/>
  <Override PartName="/word/media/image2.png" ContentType="image/png"/>
  <Override PartName="/word/media/image3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Arial" w:hAnsi="Arial"/>
          <w:b/>
          <w:bCs/>
          <w:sz w:val="20"/>
          <w:szCs w:val="20"/>
        </w:rPr>
      </w:pPr>
      <w:bookmarkStart w:id="0" w:name="_GoBack"/>
      <w:bookmarkEnd w:id="0"/>
      <w:r>
        <w:rPr>
          <w:rFonts w:ascii="Arial" w:hAnsi="Arial"/>
          <w:b/>
          <w:bCs/>
          <w:sz w:val="20"/>
          <w:szCs w:val="20"/>
        </w:rPr>
        <w:t>MEMORIAL DESCRITIVO</w:t>
      </w:r>
    </w:p>
    <w:p>
      <w:pPr>
        <w:pStyle w:val="Normal"/>
        <w:jc w:val="center"/>
        <w:rPr>
          <w:rFonts w:cs="Times New Roman"/>
          <w:i/>
          <w:i/>
        </w:rPr>
      </w:pPr>
      <w:r>
        <w:rPr>
          <w:rFonts w:cs="Times New Roman"/>
          <w:i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A prefeitura do município de Piracicaba - SP, apresenta proposta de contratação de empresa especializada para a prestação de serviços contínuos de engenharia agronômica/florestal, incluindo poda, limpeza de palmeiras, erradicação de árvores e supressão de Leucenas, com trituração e remoção do resíduo, bem como, o destocamento de troncos, plantio com aquisição de mudas DAP igual ou maior que 5cm, serviços de tomografia sônica em árvores, com laudo de caracterização e serviço de compostagem do produto da arborização urbana para manutenção dos espaços e próprios públicos do município de Piracicaba – SP, com fornecimento de materiais, mão-de-obra, equipamentos e ferramentas, conforme especificações detalhadas constantes dos Anexos, os quais são parte integrante deste Edital.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PROJETO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object w:dxaOrig="12620" w:dyaOrig="17596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-85.05pt;margin-top:-58.95pt;width:595.3pt;height:830pt;mso-position-horizontal-relative:text;mso-position-vertical-relative:text" filled="f" o:ole="">
            <v:imagedata r:id="rId3" o:title=""/>
            <w10:wrap type="square" side="largest"/>
          </v:shape>
          <o:OLEObject Type="Embed" ProgID="Excel.Sheet.12" ShapeID="ole_rId2" DrawAspect="Content" ObjectID="_1434519152" r:id="rId2"/>
        </w:objec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 xml:space="preserve">A </w:t>
      </w:r>
      <w:r>
        <w:rPr>
          <w:rFonts w:ascii="Arial" w:hAnsi="Arial"/>
          <w:b/>
          <w:bCs/>
          <w:iCs/>
          <w:sz w:val="20"/>
          <w:szCs w:val="20"/>
        </w:rPr>
        <w:t>Leucaena (Leucaena leucocephala)</w:t>
      </w:r>
      <w:r>
        <w:rPr>
          <w:rFonts w:ascii="Arial" w:hAnsi="Arial"/>
          <w:iCs/>
          <w:sz w:val="20"/>
          <w:szCs w:val="20"/>
        </w:rPr>
        <w:t xml:space="preserve"> é uma espécie de árvore nativa da América Central, mas amplamente introduzida em regiões tropicais e subtropicais, inclusive no Brasil, devido às suas características favoráveis, como rápido crescimento, capacidade de fixação de nitrogênio no solo e utilidade na alimentação animal e adubação verde. Apesar dessas vantagens, a remoção ou supressão da Leucaena é muitas vezes necessária devido a aspectos específicos, destacando-se seu comportamento de </w:t>
      </w:r>
      <w:r>
        <w:rPr>
          <w:rFonts w:ascii="Arial" w:hAnsi="Arial"/>
          <w:b/>
          <w:bCs/>
          <w:iCs/>
          <w:sz w:val="20"/>
          <w:szCs w:val="20"/>
        </w:rPr>
        <w:t>rebrotamento vigoroso</w:t>
      </w:r>
      <w:r>
        <w:rPr>
          <w:rFonts w:ascii="Arial" w:hAnsi="Arial"/>
          <w:iCs/>
          <w:sz w:val="20"/>
          <w:szCs w:val="20"/>
        </w:rPr>
        <w:t xml:space="preserve"> e seu </w:t>
      </w:r>
      <w:r>
        <w:rPr>
          <w:rFonts w:ascii="Arial" w:hAnsi="Arial"/>
          <w:b/>
          <w:bCs/>
          <w:iCs/>
          <w:sz w:val="20"/>
          <w:szCs w:val="20"/>
        </w:rPr>
        <w:t>potencial invasor</w:t>
      </w:r>
      <w:r>
        <w:rPr>
          <w:rFonts w:ascii="Arial" w:hAnsi="Arial"/>
          <w:iCs/>
          <w:sz w:val="20"/>
          <w:szCs w:val="20"/>
        </w:rPr>
        <w:t>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 xml:space="preserve">A Leucaena apresenta </w:t>
      </w:r>
      <w:r>
        <w:rPr>
          <w:rFonts w:ascii="Arial" w:hAnsi="Arial"/>
          <w:b/>
          <w:bCs/>
          <w:iCs/>
          <w:sz w:val="20"/>
          <w:szCs w:val="20"/>
        </w:rPr>
        <w:t>capacidade excepcional de rebrotamento</w:t>
      </w:r>
      <w:r>
        <w:rPr>
          <w:rFonts w:ascii="Arial" w:hAnsi="Arial"/>
          <w:iCs/>
          <w:sz w:val="20"/>
          <w:szCs w:val="20"/>
        </w:rPr>
        <w:t xml:space="preserve"> após poda ou corte. Esse comportamento pode dificultar significativamente o controle da espécie, uma vez que novos brotos emergem rapidamente, comprometendo a eficácia das ações de supressão inicialmente aplicadas. A persistência dessa rebrota exige </w:t>
      </w:r>
      <w:r>
        <w:rPr>
          <w:rFonts w:ascii="Arial" w:hAnsi="Arial"/>
          <w:b/>
          <w:bCs/>
          <w:iCs/>
          <w:sz w:val="20"/>
          <w:szCs w:val="20"/>
        </w:rPr>
        <w:t>manejo contínuo e monitoramento ativo</w:t>
      </w:r>
      <w:r>
        <w:rPr>
          <w:rFonts w:ascii="Arial" w:hAnsi="Arial"/>
          <w:iCs/>
          <w:sz w:val="20"/>
          <w:szCs w:val="20"/>
        </w:rPr>
        <w:t>, incluindo a remoção de tocos e, quando possível, do sistema radicular, a fim de reduzir a regeneração da espécie.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 xml:space="preserve">A Leucaena possui um </w:t>
      </w:r>
      <w:r>
        <w:rPr>
          <w:rFonts w:ascii="Arial" w:hAnsi="Arial"/>
          <w:b/>
          <w:bCs/>
          <w:iCs/>
          <w:sz w:val="20"/>
          <w:szCs w:val="20"/>
        </w:rPr>
        <w:t>comportamento invasor</w:t>
      </w:r>
      <w:r>
        <w:rPr>
          <w:rFonts w:ascii="Arial" w:hAnsi="Arial"/>
          <w:iCs/>
          <w:sz w:val="20"/>
          <w:szCs w:val="20"/>
        </w:rPr>
        <w:t xml:space="preserve">, competindo agressivamente por recursos como luz solar, água e nutrientes com espécies vegetais nativas. Sua </w:t>
      </w:r>
      <w:r>
        <w:rPr>
          <w:rFonts w:ascii="Arial" w:hAnsi="Arial"/>
          <w:b/>
          <w:bCs/>
          <w:iCs/>
          <w:sz w:val="20"/>
          <w:szCs w:val="20"/>
        </w:rPr>
        <w:t>adaptabilidade a diferentes solos e climas</w:t>
      </w:r>
      <w:r>
        <w:rPr>
          <w:rFonts w:ascii="Arial" w:hAnsi="Arial"/>
          <w:iCs/>
          <w:sz w:val="20"/>
          <w:szCs w:val="20"/>
        </w:rPr>
        <w:t xml:space="preserve">, aliada à produção abundante de sementes e capacidade de dispersão, aumenta ainda mais seu potencial invasivo. Esse comportamento pode resultar na formação de </w:t>
      </w:r>
      <w:r>
        <w:rPr>
          <w:rFonts w:ascii="Arial" w:hAnsi="Arial"/>
          <w:b/>
          <w:bCs/>
          <w:iCs/>
          <w:sz w:val="20"/>
          <w:szCs w:val="20"/>
        </w:rPr>
        <w:t>densas monoculturas</w:t>
      </w:r>
      <w:r>
        <w:rPr>
          <w:rFonts w:ascii="Arial" w:hAnsi="Arial"/>
          <w:iCs/>
          <w:sz w:val="20"/>
          <w:szCs w:val="20"/>
        </w:rPr>
        <w:t xml:space="preserve">, que reduzem a biodiversidade local, alteram a estrutura dos ecossistemas naturais e impactam negativamente a flora e fauna autóctones. Estudos realizados em áreas de cerrado e caatinga indicam que a presença descontrolada de Leucaena compromete a regeneração de espécies nativas e pode provocar alterações no </w:t>
      </w:r>
      <w:r>
        <w:rPr>
          <w:rFonts w:ascii="Arial" w:hAnsi="Arial"/>
          <w:b/>
          <w:bCs/>
          <w:iCs/>
          <w:sz w:val="20"/>
          <w:szCs w:val="20"/>
        </w:rPr>
        <w:t>equilíbrio ecológico</w:t>
      </w:r>
      <w:r>
        <w:rPr>
          <w:rFonts w:ascii="Arial" w:hAnsi="Arial"/>
          <w:iCs/>
          <w:sz w:val="20"/>
          <w:szCs w:val="20"/>
        </w:rPr>
        <w:t xml:space="preserve"> do ambiente.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 xml:space="preserve">A presença desordenada de Leucaena em áreas urbanas e rurais também apresenta impactos </w:t>
      </w:r>
      <w:r>
        <w:rPr>
          <w:rFonts w:ascii="Arial" w:hAnsi="Arial"/>
          <w:b/>
          <w:bCs/>
          <w:iCs/>
          <w:sz w:val="20"/>
          <w:szCs w:val="20"/>
        </w:rPr>
        <w:t>paisagísticos e de infraestrutura</w:t>
      </w:r>
      <w:r>
        <w:rPr>
          <w:rFonts w:ascii="Arial" w:hAnsi="Arial"/>
          <w:iCs/>
          <w:sz w:val="20"/>
          <w:szCs w:val="20"/>
        </w:rPr>
        <w:t xml:space="preserve">. Árvores de crescimento rápido e desordenado podem gerar aglomerados vegetais que bloqueiam vias de acesso, calçadas e interferem na visibilidade de motoristas e pedestres, representando riscos à </w:t>
      </w:r>
      <w:r>
        <w:rPr>
          <w:rFonts w:ascii="Arial" w:hAnsi="Arial"/>
          <w:b/>
          <w:bCs/>
          <w:iCs/>
          <w:sz w:val="20"/>
          <w:szCs w:val="20"/>
        </w:rPr>
        <w:t>segurança pública</w:t>
      </w:r>
      <w:r>
        <w:rPr>
          <w:rFonts w:ascii="Arial" w:hAnsi="Arial"/>
          <w:iCs/>
          <w:sz w:val="20"/>
          <w:szCs w:val="20"/>
        </w:rPr>
        <w:t>. Suas raízes robustas podem danificar calçadas, tubulações de água e esgoto, além de estruturas de edificações, exigindo medidas de manejo preventivo.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iCs/>
          <w:sz w:val="20"/>
          <w:szCs w:val="20"/>
        </w:rPr>
        <w:t>Manejo e supressão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 xml:space="preserve">O manejo da Leucaena deve ser </w:t>
      </w:r>
      <w:r>
        <w:rPr>
          <w:rFonts w:ascii="Arial" w:hAnsi="Arial"/>
          <w:b/>
          <w:bCs/>
          <w:iCs/>
          <w:sz w:val="20"/>
          <w:szCs w:val="20"/>
        </w:rPr>
        <w:t>integrado</w:t>
      </w:r>
      <w:r>
        <w:rPr>
          <w:rFonts w:ascii="Arial" w:hAnsi="Arial"/>
          <w:iCs/>
          <w:sz w:val="20"/>
          <w:szCs w:val="20"/>
        </w:rPr>
        <w:t>, envolvendo tanto a remoção física quanto estratégias para minimizar a rebrota e controlar sua invasividade. O planejamento deve incluir:</w:t>
      </w:r>
    </w:p>
    <w:p>
      <w:pPr>
        <w:pStyle w:val="Normal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iCs/>
          <w:sz w:val="20"/>
          <w:szCs w:val="20"/>
        </w:rPr>
        <w:t>Supressão mecânica:</w:t>
      </w:r>
      <w:r>
        <w:rPr>
          <w:rFonts w:ascii="Arial" w:hAnsi="Arial"/>
          <w:iCs/>
          <w:sz w:val="20"/>
          <w:szCs w:val="20"/>
        </w:rPr>
        <w:t xml:space="preserve"> corte da árvore a aproximadamente 20 cm do solo, utilizando equipamentos adequados como trituradores, serrotes curvos, tesouras, motosserras, motopodas e guindauto ou cesto articulado. Todo o material vegetal proveniente da supressão deve ser coletado e transportado para destino adequado, como pátios de compostagem ou incineração controlada.</w:t>
      </w:r>
    </w:p>
    <w:p>
      <w:pPr>
        <w:pStyle w:val="Normal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iCs/>
          <w:sz w:val="20"/>
          <w:szCs w:val="20"/>
        </w:rPr>
        <w:t>SUPRESSÃO DE LEUCAENAS:</w:t>
      </w:r>
      <w:r>
        <w:rPr>
          <w:rFonts w:eastAsia="Times New Roman" w:cs="Times New Roman" w:ascii="Arial" w:hAnsi="Arial"/>
          <w:kern w:val="0"/>
          <w:sz w:val="20"/>
          <w:szCs w:val="20"/>
          <w:lang w:eastAsia="pt-BR"/>
          <w14:ligatures w14:val="none"/>
        </w:rPr>
        <w:t xml:space="preserve"> </w:t>
      </w:r>
      <w:r>
        <w:rPr>
          <w:rFonts w:ascii="Arial" w:hAnsi="Arial"/>
          <w:iCs/>
          <w:sz w:val="20"/>
          <w:szCs w:val="20"/>
        </w:rPr>
        <w:t>Árvores até 10 M com trituração e remoção dos resíduos. Os galhos e troncos devem ser triturados e transportados.</w:t>
      </w:r>
    </w:p>
    <w:p>
      <w:pPr>
        <w:pStyle w:val="Normal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iCs/>
          <w:sz w:val="20"/>
          <w:szCs w:val="20"/>
        </w:rPr>
        <w:t>SUPRESSÃO DE LEUCAENAS</w:t>
      </w:r>
      <w:r>
        <w:rPr>
          <w:rFonts w:ascii="Arial" w:hAnsi="Arial"/>
          <w:iCs/>
          <w:sz w:val="20"/>
          <w:szCs w:val="20"/>
        </w:rPr>
        <w:t>: Árvores acima de 10,01 M com trituração e remoção do resíduo, igualmente trituradas e transportadas para compostagem.</w:t>
      </w:r>
    </w:p>
    <w:p>
      <w:pPr>
        <w:pStyle w:val="Normal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iCs/>
          <w:sz w:val="20"/>
          <w:szCs w:val="20"/>
        </w:rPr>
        <w:t>Monitoramento contínuo:</w:t>
      </w:r>
      <w:r>
        <w:rPr>
          <w:rFonts w:ascii="Arial" w:hAnsi="Arial"/>
          <w:iCs/>
          <w:sz w:val="20"/>
          <w:szCs w:val="20"/>
        </w:rPr>
        <w:t xml:space="preserve"> avaliação periódica do local para identificar rebrotas e novas plântulas, garantindo controle efetivo e evitando reinfestação.</w:t>
      </w:r>
    </w:p>
    <w:p>
      <w:pPr>
        <w:pStyle w:val="Normal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iCs/>
          <w:sz w:val="20"/>
          <w:szCs w:val="20"/>
        </w:rPr>
        <w:t>Reintrodução de espécies nativas:</w:t>
      </w:r>
      <w:r>
        <w:rPr>
          <w:rFonts w:ascii="Arial" w:hAnsi="Arial"/>
          <w:iCs/>
          <w:sz w:val="20"/>
          <w:szCs w:val="20"/>
        </w:rPr>
        <w:t xml:space="preserve"> após a supressão, é recomendada a plantação de espécies vegetais nativas para restaurar o equilíbrio ecológico, promover biodiversidade e favorecer a fauna local.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 xml:space="preserve">A </w:t>
      </w:r>
      <w:r>
        <w:rPr>
          <w:rFonts w:ascii="Arial" w:hAnsi="Arial"/>
          <w:b/>
          <w:bCs/>
          <w:iCs/>
          <w:sz w:val="20"/>
          <w:szCs w:val="20"/>
        </w:rPr>
        <w:t>erradicação da Leucaena</w:t>
      </w:r>
      <w:r>
        <w:rPr>
          <w:rFonts w:ascii="Arial" w:hAnsi="Arial"/>
          <w:iCs/>
          <w:sz w:val="20"/>
          <w:szCs w:val="20"/>
        </w:rPr>
        <w:t xml:space="preserve"> é mais complexa que práticas convencionais devido à alta capacidade de rebrotamento e à presença de um banco de sementes no solo. Por isso, é essencial um manejo contínuo, com ações corretivas quando necessário, garantindo a eficácia da supressão.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Recomenda-se a operação de gerenciamento informatizado e georreferenciamento do manejo arbóreo mensalmente conforme previsto na planilha orçamentária, respeitando o limite da quantidade exigida no edital, oferecendo assim uma abordagem eficiente e tecnologicamente avançada para a gestão de diagnóstico e monitoramento de árvores, as informações obtidas serão possíveis obter o primeiro inventário arbóreo urbano do município. Além de uma análise espacial detalhada e uma tomada de decisão mais informada.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Ao realizar uma abordagem prática, foi considerada em inspeções mensais e o histórico de podas executadas nos anos anteriores, houve a identificação e necessidade de um total de podas, constando na referida planilha, por mês para a prefeitura do município de Piracicaba - SP, especialmente em áreas de alto tráfego e visibilidade. Com base nas inspeções, as podas podem ser agendadas conforme a necessidade. Durante a execução do contrato e obtendo o inventário arbóreo urbano, um plano de manejo será criado para garantir a saúde e a aparência da vegetação urbana, enquanto minimiza os riscos e os custos associados a queda de árvores. Baseado neste levantamento quanti-qualitativo os quantitativos podem ser ajustados para melhorar a eficiência operacional.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Alguns estudos e históricos operacionais demonstram que, para cada 10 podas realizadas, existe a necessidade de executar aproximadamente 1 erradicação de árvore com risco de queda ou em estado fitossanitário inadequado. Essa proporção, fundamentada em registros de campo e análises de risco, serve como base para o planejamento das atividades de manejo urbano, garantindo que a manutenção da arborização seja realizada de forma preventiva e segura. Portanto, os quantitativos de erradicação e destoca mecanizada foram calculados com base nessa correlação. Considerando a existência de um passivo de destocas acumulado ao longo do tempo, houve a necessidade de acréscimo nos portes médio e grande, de modo a equilibrar a execução operacional com a demanda histórica.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Como ponto de partida, recomenda-se realizar destocas em um ritmo que permita a remoção eficiente e segura dos tocos, sem sobrecarregar a capacidade operacional da equipe. Um quantitativo prático sugerido seria de 15 tocos por mês, ajustado conforme a demanda emergente e as condições específicas de cada local, sempre respeitando os limites previstos na planilha orçamentária. Essa abordagem gradual contribui para a segurança do trabalho, minimiza impactos ao entorno urbano e evita acúmulo de resíduos que comprometam a logística de remoção.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A necessidade de realizar laudos de tomografia em árvores urbanas é justificada pela importância de garantir a segurança pública, preservar o patrimônio ambiental e otimizar o manejo da vegetação urbana. A tomografia permite identificar falhas estruturais internas, cavidades, apodrecimentos ou comprometimentos em raízes e troncos, proporcionando uma avaliação precisa da condição das árvores. Essa informação é essencial para a tomada de decisões fundamentadas e responsáveis quanto à manutenção, poda ou remoção das árvores. Recomenda-se a realização de laudos mensais, respeitando o quantitativo exigido no edital, sempre dentro dos limites estabelecidos na planilha orçamentária e considerando a eficiência da equipe responsável.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Visando transformar os resíduos orgânicos provenientes de árvores em matéria orgânica aproveitável, é necessário implementar a compostagem dos detritos gerados pela arborização urbana, em escala medida em toneladas por mês. Este procedimento, embasado em princípios de sustentabilidade e gestão ambiental, contribui para a redução do volume de resíduos enviados a aterros, melhora a qualidade do solo em áreas verdes urbanas e fecha o ciclo de aproveitamento da biomassa. Além disso, deve-se observar rigorosamente os requisitos da planilha orçamentária, garantindo que a quantidade processada esteja em conformidade com o planejamento financeiro e operacional, sem exceder os limites estipulados.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O plantio de mudas com altura superior a 3,50 m e diâmetro à altura do peito (DAP) igual ou maior que 5 cm em calçadas representa uma etapa estratégica no manejo da arborização urbana, visando a manutenção de corredores verdes estabelecidos e a valorização paisagística do espaço público. Essa categoria de mudas, por seu porte avançado, requer cuidados específicos durante o transporte, manuseio e implantação, de modo a assegurar a sobrevivência das plantas e minimizar impactos à infraestrutura urbana existente, como passeios, calçadas, redes de água e esgoto e postes de iluminação.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A execução do plantio deve considerar critérios técnicos como o preparo adequado do solo, correção de nutrientes, drenagem eficiente e espaçamento compatível com o crescimento futuro da copa e do sistema radicular. O manejo correto do espaço disponível evita conflitos com edificações, promove sombreamento uniforme e contribui para a melhoria da qualidade ambiental urbana, reduzindo a temperatura local e aumentando a capacidade de retenção de água da chuva.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Por se tratar de mudas de porte elevado, recomenda-se que a instalação seja realizada por equipe especializada, utilizando equipamentos adequados, como guinchos ou talhas, para garantir a segurança dos operadores e a integridade da planta. O ritmo de plantio deve ser planejado de forma a permitir uma execução segura e eficiente, evitando sobrecarga operacional e garantindo o sucesso do estabelecimento das mudas. Um quantitativo sugerido deve ser definido com base na disponibilidade de espaço em calçadas e na capacidade da equipe, respeitando sempre os limites previstos na planilha orçamentária e o cronograma definido no edital.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A adoção de técnicas complementares, como tutoramento, irrigação controlada e monitoramento periódico, é essencial para aumentar a taxa de sobrevivência das mudas. Além disso, recomenda-se a manutenção inicial intensiva, incluindo inspeções mensais, remoção de plantas invasoras e reposição de material orgânico, até que as mudas atinjam estabilidade e se integrem plenamente ao paisagismo urbano.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Por fim, o planejamento do plantio de mudas de grande porte deve considerar a sustentabilidade e a valorização do patrimônio ambiental da cidade, garantindo que cada árvore implantada contribua de forma significativa para a melhoria da qualidade de vida, a mitigação de efeitos urbanos adversos e o fortalecimento da biodiversidade no espaço público.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A poda especial de árvores, realizada nas proximidades de redes elétricas, constitui uma atividade crítica no manejo da arborização urbana, demandando cuidados específicos para garantir a segurança pública, a integridade da rede elétrica e a preservação da saúde da árvore. Por envolver riscos elevados devido à proximidade de cabos energizados, essa operação exige equipes altamente treinadas, equipamentos de proteção individual (EPI) adequados e técnicas especializadas, como escalada, plataformas elevatórias isoladas e ferramentas de corte apropriadas.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Além da execução segura da poda, é fundamental realizar a trituração dos resíduos gerados e sua remoção imediata. A trituração permite reduzir o volume do material vegetal, facilitando o transporte e o reaproveitamento como matéria orgânica, em conformidade com práticas de sustentabilidade e gestão ambiental. A remoção adequada dos resíduos evita acúmulo de detritos na via pública, garantindo segurança para pedestres e veículos, e contribui para a estética urbana.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O planejamento da poda especial deve considerar a avaliação prévia das árvores, identificando galhos que representem risco de contato com a rede elétrica ou que possam comprometer a estrutura da planta. Recomenda-se que as intervenções sejam programadas de forma a otimizar a capacidade operacional da equipe, evitando sobrecarga e garantindo que cada etapa — corte, trituração e remoção — seja realizada de forma eficiente. Um quantitativo prático de execução pode ser definido mensalmente, ajustado conforme a demanda emergente, sempre respeitando os limites da planilha orçamentária e o cronograma estabelecido no edital.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A realização de laudos fitossanitários e inspeções periódicas é recomendada para monitorar a condição estrutural das árvores, prevenindo acidentes e orientando decisões futuras de poda, manutenção ou remoção. Essas análises garantem que o manejo da vegetação seja conduzido de forma responsável, equilibrando segurança, preservação ambiental e continuidade do paisagismo urbano.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Finalmente, a integração da trituração e remoção dos resíduos vegetais à prática da poda especial reforça o compromisso com a sustentabilidade, promovendo o aproveitamento da biomassa e a redução de impactos ambientais, além de assegurar que a arborização urbana se mantenha segura, saudável e funcional, mesmo em áreas com interferência de redes elétricas.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Denis Schiavinato</w:t>
      </w:r>
    </w:p>
    <w:p>
      <w:pPr>
        <w:pStyle w:val="Normal"/>
        <w:spacing w:before="0" w:after="160"/>
        <w:jc w:val="center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Engenheiro Agrônomo</w:t>
      </w:r>
    </w:p>
    <w:sectPr>
      <w:headerReference w:type="default" r:id="rId4"/>
      <w:footerReference w:type="default" r:id="rId5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/>
    </w:pPr>
    <w:r>
      <w:rPr/>
      <w:drawing>
        <wp:anchor behindDoc="1" distT="0" distB="0" distL="114300" distR="114300" simplePos="0" locked="0" layoutInCell="0" allowOverlap="1" relativeHeight="7">
          <wp:simplePos x="0" y="0"/>
          <wp:positionH relativeFrom="margin">
            <wp:posOffset>-1020445</wp:posOffset>
          </wp:positionH>
          <wp:positionV relativeFrom="margin">
            <wp:posOffset>8553450</wp:posOffset>
          </wp:positionV>
          <wp:extent cx="7441565" cy="612775"/>
          <wp:effectExtent l="0" t="0" r="0" b="0"/>
          <wp:wrapSquare wrapText="bothSides"/>
          <wp:docPr id="2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41565" cy="612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w:drawing>
        <wp:anchor behindDoc="1" distT="0" distB="0" distL="114300" distR="114300" simplePos="0" locked="0" layoutInCell="0" allowOverlap="1" relativeHeight="13">
          <wp:simplePos x="0" y="0"/>
          <wp:positionH relativeFrom="margin">
            <wp:align>center</wp:align>
          </wp:positionH>
          <wp:positionV relativeFrom="page">
            <wp:posOffset>295275</wp:posOffset>
          </wp:positionV>
          <wp:extent cx="6718300" cy="800100"/>
          <wp:effectExtent l="0" t="0" r="0" b="0"/>
          <wp:wrapSquare wrapText="bothSides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18300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d50ed2"/>
    <w:rPr/>
  </w:style>
  <w:style w:type="character" w:styleId="RodapChar" w:customStyle="1">
    <w:name w:val="Rodapé Char"/>
    <w:basedOn w:val="DefaultParagraphFont"/>
    <w:uiPriority w:val="99"/>
    <w:qFormat/>
    <w:rsid w:val="00d50ed2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package" Target="embeddings/oleObject1.xlsx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Application>LibreOffice/7.5.5.2$Windows_X86_64 LibreOffice_project/ca8fe7424262805f223b9a2334bc7181abbcbf5e</Application>
  <AppVersion>15.0000</AppVersion>
  <Pages>6</Pages>
  <Words>1912</Words>
  <Characters>11440</Characters>
  <CharactersWithSpaces>13318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2025-01-27T20:12:00Z</dcterms:created>
  <dc:creator>Marcos Roberto</dc:creator>
  <dc:description/>
  <dc:language>pt-BR</dc:language>
  <cp:lastModifiedBy/>
  <dcterms:modified xsi:type="dcterms:W3CDTF">2025-09-30T09:46:16Z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