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true"/>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Pr>
          <w:b/>
          <w:color w:val="000000"/>
          <w:sz w:val="20"/>
          <w:szCs w:val="20"/>
          <w:shd w:fill="auto" w:val="clear"/>
          <w:lang w:val="pt-BR"/>
        </w:rPr>
        <w:t>006/2025</w:t>
      </w:r>
      <w:r>
        <w:rPr>
          <w:b/>
          <w:color w:val="000000"/>
          <w:sz w:val="20"/>
          <w:szCs w:val="20"/>
          <w:shd w:fill="FFFF00" w:val="clear"/>
        </w:rPr>
        <w:t xml:space="preserve"> </w:t>
      </w:r>
    </w:p>
    <w:p>
      <w:pPr>
        <w:pStyle w:val="BodyTextIndent"/>
        <w:widowControl w:val="false"/>
        <w:overflowPunct w:val="true"/>
        <w:spacing w:lineRule="auto" w:line="240"/>
        <w:jc w:val="center"/>
        <w:rPr>
          <w:b/>
          <w:bCs/>
          <w:color w:val="auto"/>
          <w:sz w:val="20"/>
          <w:szCs w:val="20"/>
        </w:rPr>
      </w:pPr>
      <w:r>
        <w:rPr>
          <w:b/>
          <w:bCs/>
          <w:color w:val="auto"/>
          <w:sz w:val="20"/>
          <w:szCs w:val="20"/>
        </w:rPr>
      </w:r>
    </w:p>
    <w:p>
      <w:pPr>
        <w:pStyle w:val="BodyTextIndent"/>
        <w:widowControl w:val="false"/>
        <w:overflowPunct w:val="true"/>
        <w:spacing w:lineRule="auto" w:line="240"/>
        <w:jc w:val="center"/>
        <w:rPr>
          <w:b/>
          <w:bCs/>
          <w:color w:val="auto"/>
          <w:sz w:val="20"/>
          <w:szCs w:val="20"/>
        </w:rPr>
      </w:pPr>
      <w:r>
        <w:rPr>
          <w:b/>
          <w:bCs/>
          <w:color w:val="auto"/>
          <w:sz w:val="20"/>
          <w:szCs w:val="20"/>
        </w:rPr>
        <w:t>PRORROGAÇÃO</w:t>
      </w:r>
    </w:p>
    <w:p>
      <w:pPr>
        <w:pStyle w:val="BodyTextIndent"/>
        <w:widowControl w:val="false"/>
        <w:overflowPunct w:val="true"/>
        <w:spacing w:lineRule="auto" w:line="240"/>
        <w:jc w:val="center"/>
        <w:rPr>
          <w:b/>
          <w:bCs/>
          <w:color w:val="auto"/>
          <w:sz w:val="20"/>
          <w:szCs w:val="20"/>
        </w:rPr>
      </w:pPr>
      <w:r>
        <w:rPr>
          <w:b/>
          <w:bCs/>
          <w:color w:val="auto"/>
          <w:sz w:val="20"/>
          <w:szCs w:val="20"/>
        </w:rPr>
      </w:r>
    </w:p>
    <w:p>
      <w:pPr>
        <w:pStyle w:val="BodyTextIndent"/>
        <w:widowControl w:val="false"/>
        <w:overflowPunct w:val="true"/>
        <w:spacing w:lineRule="auto" w:line="240"/>
        <w:jc w:val="center"/>
        <w:rPr>
          <w:b/>
          <w:bCs/>
          <w:color w:val="auto"/>
          <w:sz w:val="20"/>
          <w:szCs w:val="20"/>
          <w:lang w:val="pt-BR"/>
        </w:rPr>
      </w:pPr>
      <w:r>
        <w:rPr>
          <w:b/>
          <w:bCs/>
          <w:color w:val="auto"/>
          <w:sz w:val="20"/>
          <w:szCs w:val="20"/>
          <w:lang w:val="pt-BR"/>
        </w:rPr>
        <w:t>TERMO DE REFERÊNCIA</w:t>
      </w:r>
    </w:p>
    <w:p>
      <w:pPr>
        <w:pStyle w:val="BodyTextIndent"/>
        <w:widowControl w:val="false"/>
        <w:overflowPunct w:val="true"/>
        <w:spacing w:lineRule="auto" w:line="240"/>
        <w:jc w:val="center"/>
        <w:rPr>
          <w:color w:val="auto"/>
          <w:sz w:val="20"/>
          <w:szCs w:val="20"/>
        </w:rPr>
      </w:pPr>
      <w:r>
        <w:rPr>
          <w:color w:val="auto"/>
          <w:sz w:val="20"/>
          <w:szCs w:val="20"/>
        </w:rPr>
      </w:r>
    </w:p>
    <w:p>
      <w:pPr>
        <w:pStyle w:val="BodyTextIndent"/>
        <w:widowControl w:val="false"/>
        <w:shd w:val="clear" w:color="auto" w:fill="DDDDDD"/>
        <w:overflowPunct w:val="true"/>
        <w:spacing w:lineRule="auto" w:line="240"/>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BodyTextIndent"/>
        <w:widowControl w:val="false"/>
        <w:numPr>
          <w:ilvl w:val="0"/>
          <w:numId w:val="4"/>
        </w:numPr>
        <w:tabs>
          <w:tab w:val="clear" w:pos="709"/>
          <w:tab w:val="left" w:pos="284" w:leader="none"/>
        </w:tabs>
        <w:overflowPunct w:val="true"/>
        <w:spacing w:lineRule="auto" w:line="240"/>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7680/2025</w:t>
      </w:r>
    </w:p>
    <w:p>
      <w:pPr>
        <w:pStyle w:val="BodyTextIndent"/>
        <w:widowControl w:val="false"/>
        <w:numPr>
          <w:ilvl w:val="0"/>
          <w:numId w:val="4"/>
        </w:numPr>
        <w:tabs>
          <w:tab w:val="clear" w:pos="709"/>
          <w:tab w:val="left" w:pos="284" w:leader="none"/>
        </w:tabs>
        <w:spacing w:lineRule="auto" w:line="240"/>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Pr>
          <w:color w:val="auto"/>
          <w:sz w:val="20"/>
          <w:szCs w:val="20"/>
          <w:lang w:val="pt-BR"/>
        </w:rPr>
        <w:t>20</w:t>
      </w:r>
      <w:r>
        <w:rPr>
          <w:color w:val="auto"/>
          <w:sz w:val="20"/>
          <w:szCs w:val="20"/>
          <w:lang w:val="pt-BR"/>
        </w:rPr>
        <w:t>/03/2025 - 08h</w:t>
      </w:r>
    </w:p>
    <w:p>
      <w:pPr>
        <w:pStyle w:val="BodyTextIndent"/>
        <w:widowControl w:val="false"/>
        <w:numPr>
          <w:ilvl w:val="0"/>
          <w:numId w:val="4"/>
        </w:numPr>
        <w:tabs>
          <w:tab w:val="clear" w:pos="709"/>
          <w:tab w:val="left" w:pos="284" w:leader="none"/>
        </w:tabs>
        <w:spacing w:lineRule="auto" w:line="240"/>
        <w:rPr>
          <w:color w:val="auto"/>
          <w:sz w:val="20"/>
          <w:szCs w:val="20"/>
        </w:rPr>
      </w:pPr>
      <w:r>
        <w:rPr>
          <w:color w:val="auto"/>
          <w:sz w:val="20"/>
          <w:szCs w:val="20"/>
        </w:rPr>
        <w:t>Data de início de lances:</w:t>
      </w:r>
      <w:r>
        <w:rPr>
          <w:color w:val="auto"/>
          <w:sz w:val="20"/>
          <w:szCs w:val="20"/>
          <w:lang w:val="pt-BR"/>
        </w:rPr>
        <w:t xml:space="preserve"> </w:t>
      </w:r>
      <w:r>
        <w:rPr>
          <w:color w:val="auto"/>
          <w:sz w:val="20"/>
          <w:szCs w:val="20"/>
          <w:lang w:val="pt-BR"/>
        </w:rPr>
        <w:t>20</w:t>
      </w:r>
      <w:r>
        <w:rPr>
          <w:color w:val="auto"/>
          <w:sz w:val="20"/>
          <w:szCs w:val="20"/>
          <w:lang w:val="pt-BR"/>
        </w:rPr>
        <w:t>/03/2025 - 09h</w:t>
      </w:r>
    </w:p>
    <w:p>
      <w:pPr>
        <w:pStyle w:val="BodyTextIndent"/>
        <w:widowControl w:val="false"/>
        <w:numPr>
          <w:ilvl w:val="0"/>
          <w:numId w:val="4"/>
        </w:numPr>
        <w:tabs>
          <w:tab w:val="clear" w:pos="709"/>
          <w:tab w:val="left" w:pos="284" w:leader="none"/>
        </w:tabs>
        <w:spacing w:lineRule="auto" w:line="240"/>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pPr>
        <w:pStyle w:val="BodyTextIndent"/>
        <w:widowControl w:val="false"/>
        <w:numPr>
          <w:ilvl w:val="0"/>
          <w:numId w:val="4"/>
        </w:numPr>
        <w:tabs>
          <w:tab w:val="clear" w:pos="709"/>
          <w:tab w:val="left" w:pos="284" w:leader="none"/>
        </w:tabs>
        <w:overflowPunct w:val="true"/>
        <w:spacing w:lineRule="auto" w:line="240"/>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2">
        <w:r>
          <w:rPr>
            <w:rStyle w:val="ListLabel190"/>
            <w:color w:val="0000FF"/>
            <w:sz w:val="20"/>
            <w:szCs w:val="20"/>
            <w:u w:val="single"/>
            <w:lang w:val="pt-BR"/>
          </w:rPr>
          <w:t>https://bnccompras.com</w:t>
        </w:r>
      </w:hyperlink>
      <w:r>
        <w:rPr>
          <w:sz w:val="20"/>
          <w:szCs w:val="20"/>
          <w:lang w:val="pt-BR"/>
        </w:rPr>
        <w:t>.</w:t>
      </w:r>
    </w:p>
    <w:p>
      <w:pPr>
        <w:pStyle w:val="BodyTextIndent"/>
        <w:widowControl w:val="false"/>
        <w:tabs>
          <w:tab w:val="clear" w:pos="709"/>
          <w:tab w:val="left" w:pos="284" w:leader="none"/>
        </w:tabs>
        <w:overflowPunct w:val="true"/>
        <w:spacing w:lineRule="auto" w:line="240"/>
        <w:rPr>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Objeto: </w:t>
      </w:r>
      <w:r>
        <w:rPr>
          <w:rFonts w:cs="Arial" w:ascii="Arial" w:hAnsi="Arial"/>
          <w:b/>
        </w:rPr>
        <w:t>Prestação de serviços de sessões de Terapia Intensiva Therasuit e manutenção terapêutica pelo conceito Bobath, para atender a Mandado Judicial.</w:t>
      </w:r>
    </w:p>
    <w:p>
      <w:pPr>
        <w:pStyle w:val="Normal"/>
        <w:numPr>
          <w:ilvl w:val="0"/>
          <w:numId w:val="6"/>
        </w:numPr>
        <w:tabs>
          <w:tab w:val="clear" w:pos="709"/>
          <w:tab w:val="left" w:pos="284" w:leader="none"/>
        </w:tabs>
        <w:jc w:val="both"/>
        <w:rPr>
          <w:rFonts w:ascii="Arial" w:hAnsi="Arial" w:cs="Arial"/>
        </w:rPr>
      </w:pPr>
      <w:r>
        <w:rPr>
          <w:rFonts w:cs="Arial" w:ascii="Arial" w:hAnsi="Arial"/>
        </w:rPr>
        <w:t>Unidade Requisitante: Secretaria Municipal de Saúde</w:t>
      </w:r>
    </w:p>
    <w:p>
      <w:pPr>
        <w:pStyle w:val="Normal"/>
        <w:numPr>
          <w:ilvl w:val="0"/>
          <w:numId w:val="6"/>
        </w:numPr>
        <w:tabs>
          <w:tab w:val="clear" w:pos="709"/>
          <w:tab w:val="left" w:pos="284" w:leader="none"/>
        </w:tabs>
        <w:jc w:val="both"/>
        <w:rPr>
          <w:rFonts w:ascii="Arial" w:hAnsi="Arial" w:cs="Arial"/>
        </w:rPr>
      </w:pPr>
      <w:r>
        <w:rPr>
          <w:rFonts w:cs="Arial" w:ascii="Arial" w:hAnsi="Arial"/>
        </w:rPr>
        <w:t>Fonte de recursos: 2186 – 0101031000 – Lei nº 10.207 de 12/12/2024</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bCs/>
        </w:rPr>
        <w:t>R$ 83.700,00 (oitenta e três mil e setecentos reais).</w:t>
      </w:r>
    </w:p>
    <w:p>
      <w:pPr>
        <w:pStyle w:val="Normal"/>
        <w:numPr>
          <w:ilvl w:val="0"/>
          <w:numId w:val="6"/>
        </w:numPr>
        <w:tabs>
          <w:tab w:val="clear" w:pos="709"/>
          <w:tab w:val="left" w:pos="284" w:leader="none"/>
        </w:tabs>
        <w:jc w:val="both"/>
        <w:rPr>
          <w:rFonts w:ascii="Arial" w:hAnsi="Arial" w:cs="Arial"/>
        </w:rPr>
      </w:pPr>
      <w:r>
        <w:rPr>
          <w:rFonts w:cs="Arial" w:ascii="Arial" w:hAnsi="Arial"/>
        </w:rPr>
        <w:t>Prazo de contratação: 12 meses, ou até a finalização do processo licitatório na modalidade pregão eletrônico.</w:t>
      </w:r>
    </w:p>
    <w:p>
      <w:pPr>
        <w:pStyle w:val="Normal"/>
        <w:numPr>
          <w:ilvl w:val="0"/>
          <w:numId w:val="6"/>
        </w:numPr>
        <w:tabs>
          <w:tab w:val="clear" w:pos="709"/>
          <w:tab w:val="left" w:pos="284" w:leader="none"/>
        </w:tabs>
        <w:jc w:val="both"/>
        <w:rPr>
          <w:rFonts w:ascii="Arial" w:hAnsi="Arial" w:cs="Arial"/>
        </w:rPr>
      </w:pPr>
      <w:r>
        <w:rPr>
          <w:rFonts w:cs="Arial" w:ascii="Arial" w:hAnsi="Arial"/>
        </w:rPr>
        <w:t>Amparo Legal: Art. 75, Inciso VIII.</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17"/>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18"/>
        </w:numPr>
        <w:tabs>
          <w:tab w:val="clear" w:pos="709"/>
          <w:tab w:val="left" w:pos="284" w:leader="none"/>
        </w:tabs>
        <w:jc w:val="both"/>
        <w:rPr>
          <w:rFonts w:ascii="Arial" w:hAnsi="Arial" w:cs="Arial"/>
          <w:b/>
          <w:u w:val="single"/>
        </w:rPr>
      </w:pPr>
      <w:r>
        <w:rPr>
          <w:rFonts w:cs="Arial" w:ascii="Arial" w:hAnsi="Arial"/>
        </w:rPr>
        <w:t>Prazo de Pagamento: 15 (quinze) dias úteis, contados da data do recebimento da nota fiscal, em atendimento ao Decreto Municipal Nº 17.640/18.</w:t>
      </w:r>
    </w:p>
    <w:p>
      <w:pPr>
        <w:pStyle w:val="ListParagraph"/>
        <w:numPr>
          <w:ilvl w:val="0"/>
          <w:numId w:val="19"/>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Critério de Julgamento: Menor valor por lote.</w:t>
      </w:r>
    </w:p>
    <w:p>
      <w:pPr>
        <w:pStyle w:val="ListParagraph"/>
        <w:numPr>
          <w:ilvl w:val="0"/>
          <w:numId w:val="20"/>
        </w:numPr>
        <w:tabs>
          <w:tab w:val="clear" w:pos="709"/>
          <w:tab w:val="left" w:pos="284" w:leader="none"/>
        </w:tabs>
        <w:spacing w:before="0" w:after="0"/>
        <w:jc w:val="both"/>
        <w:rPr>
          <w:b w:val="false"/>
          <w:bCs w:val="false"/>
        </w:rPr>
      </w:pPr>
      <w:r>
        <w:rPr>
          <w:rFonts w:cs="Arial" w:ascii="Arial" w:hAnsi="Arial"/>
          <w:b w:val="false"/>
          <w:bCs w:val="false"/>
          <w:sz w:val="20"/>
          <w:szCs w:val="20"/>
        </w:rPr>
        <w:t>Tipo de Fornecimento: parcelado.</w:t>
      </w:r>
    </w:p>
    <w:p>
      <w:pPr>
        <w:pStyle w:val="ListParagraph"/>
        <w:numPr>
          <w:ilvl w:val="0"/>
          <w:numId w:val="21"/>
        </w:numPr>
        <w:tabs>
          <w:tab w:val="clear" w:pos="709"/>
          <w:tab w:val="left" w:pos="284" w:leader="none"/>
        </w:tabs>
        <w:spacing w:before="0" w:after="0"/>
        <w:jc w:val="both"/>
        <w:rPr>
          <w:rFonts w:ascii="Arial" w:hAnsi="Arial" w:cs="Arial"/>
          <w:sz w:val="20"/>
          <w:szCs w:val="20"/>
        </w:rPr>
      </w:pPr>
      <w:r>
        <w:rPr>
          <w:rFonts w:cs="Arial" w:ascii="Arial" w:hAnsi="Arial"/>
          <w:sz w:val="20"/>
          <w:szCs w:val="20"/>
        </w:rPr>
        <w:t xml:space="preserve">Deverá ser especificado na proposta o </w:t>
      </w:r>
      <w:r>
        <w:rPr>
          <w:rFonts w:cs="Arial" w:ascii="Arial" w:hAnsi="Arial"/>
          <w:b/>
          <w:sz w:val="20"/>
          <w:szCs w:val="20"/>
        </w:rPr>
        <w:t>preço unitário e total e prazo de validade da proposta.</w:t>
      </w:r>
    </w:p>
    <w:p>
      <w:pPr>
        <w:pStyle w:val="Normal"/>
        <w:numPr>
          <w:ilvl w:val="0"/>
          <w:numId w:val="22"/>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eastAsia="Arial" w:cs="Arial"/>
        </w:rPr>
      </w:pPr>
      <w:r>
        <w:rPr>
          <w:rFonts w:eastAsia="Arial" w:cs="Arial" w:ascii="Arial" w:hAnsi="Arial"/>
        </w:rPr>
        <w:tab/>
        <w:tab/>
        <w:tab/>
        <w:tab/>
        <w:tab/>
        <w:tab/>
        <w:tab/>
      </w:r>
      <w:r>
        <w:rPr>
          <w:rFonts w:eastAsia="Arial" w:cs="Arial" w:ascii="Arial" w:hAnsi="Arial"/>
          <w:b/>
          <w:bCs/>
          <w:u w:val="none"/>
        </w:rPr>
        <w:t>LOTE 01</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1081"/>
        <w:gridCol w:w="900"/>
        <w:gridCol w:w="7088"/>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rPr>
            </w:pPr>
            <w:r>
              <w:rPr>
                <w:rFonts w:cs="Arial" w:ascii="Arial" w:hAnsi="Arial"/>
                <w:b/>
              </w:rPr>
              <w:t>Item</w:t>
            </w:r>
          </w:p>
        </w:tc>
        <w:tc>
          <w:tcPr>
            <w:tcW w:w="1081"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rPr>
            </w:pPr>
            <w:r>
              <w:rPr>
                <w:rFonts w:cs="Arial" w:ascii="Arial" w:hAnsi="Arial"/>
                <w:b/>
              </w:rPr>
              <w:t>Quant.</w:t>
            </w:r>
          </w:p>
        </w:tc>
        <w:tc>
          <w:tcPr>
            <w:tcW w:w="90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rPr>
            </w:pPr>
            <w:r>
              <w:rPr>
                <w:rFonts w:cs="Arial" w:ascii="Arial" w:hAnsi="Arial"/>
                <w:b/>
              </w:rPr>
              <w:t>Unid.</w:t>
            </w:r>
          </w:p>
        </w:tc>
        <w:tc>
          <w:tcPr>
            <w:tcW w:w="7088"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rPr>
            </w:pPr>
            <w:r>
              <w:rPr>
                <w:rFonts w:cs="Arial" w:ascii="Arial" w:hAnsi="Arial"/>
                <w:b/>
              </w:rPr>
              <w:t>Descritivo</w:t>
            </w:r>
          </w:p>
        </w:tc>
      </w:tr>
      <w:tr>
        <w:trPr>
          <w:trHeight w:val="283" w:hRule="atLeast"/>
        </w:trPr>
        <w:tc>
          <w:tcPr>
            <w:tcW w:w="850" w:type="dxa"/>
            <w:tcBorders>
              <w:left w:val="single" w:sz="4" w:space="0" w:color="000000"/>
              <w:bottom w:val="single" w:sz="4" w:space="0" w:color="000000"/>
            </w:tcBorders>
            <w:vAlign w:val="center"/>
          </w:tcPr>
          <w:p>
            <w:pPr>
              <w:pStyle w:val="Normal"/>
              <w:widowControl w:val="false"/>
              <w:jc w:val="center"/>
              <w:rPr>
                <w:rFonts w:ascii="Arial" w:hAnsi="Arial" w:cs="Arial"/>
                <w:b/>
              </w:rPr>
            </w:pPr>
            <w:r>
              <w:rPr>
                <w:rFonts w:cs="Arial" w:ascii="Arial" w:hAnsi="Arial"/>
                <w:b/>
              </w:rPr>
              <w:t>01</w:t>
            </w:r>
          </w:p>
        </w:tc>
        <w:tc>
          <w:tcPr>
            <w:tcW w:w="1081"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3</w:t>
            </w:r>
          </w:p>
        </w:tc>
        <w:tc>
          <w:tcPr>
            <w:tcW w:w="900"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ciclo</w:t>
            </w:r>
          </w:p>
        </w:tc>
        <w:tc>
          <w:tcPr>
            <w:tcW w:w="7088" w:type="dxa"/>
            <w:tcBorders>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rPr>
            </w:pPr>
            <w:r>
              <w:rPr>
                <w:rFonts w:cs="Arial" w:ascii="sans-serif" w:hAnsi="sans-serif"/>
                <w:sz w:val="20"/>
              </w:rPr>
              <w:t>Terapia Intensiva Therasuit</w:t>
            </w:r>
          </w:p>
        </w:tc>
      </w:tr>
      <w:tr>
        <w:trPr>
          <w:trHeight w:val="283" w:hRule="atLeast"/>
        </w:trPr>
        <w:tc>
          <w:tcPr>
            <w:tcW w:w="850" w:type="dxa"/>
            <w:tcBorders>
              <w:left w:val="single" w:sz="4" w:space="0" w:color="000000"/>
              <w:bottom w:val="single" w:sz="4" w:space="0" w:color="000000"/>
            </w:tcBorders>
            <w:vAlign w:val="center"/>
          </w:tcPr>
          <w:p>
            <w:pPr>
              <w:pStyle w:val="Normal"/>
              <w:widowControl w:val="false"/>
              <w:jc w:val="center"/>
              <w:rPr>
                <w:rFonts w:ascii="Arial" w:hAnsi="Arial" w:cs="Arial"/>
                <w:b/>
              </w:rPr>
            </w:pPr>
            <w:r>
              <w:rPr>
                <w:rFonts w:cs="Arial" w:ascii="Arial" w:hAnsi="Arial"/>
                <w:b/>
              </w:rPr>
              <w:t>02</w:t>
            </w:r>
          </w:p>
        </w:tc>
        <w:tc>
          <w:tcPr>
            <w:tcW w:w="1081"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288</w:t>
            </w:r>
          </w:p>
        </w:tc>
        <w:tc>
          <w:tcPr>
            <w:tcW w:w="900"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sessão</w:t>
            </w:r>
          </w:p>
        </w:tc>
        <w:tc>
          <w:tcPr>
            <w:tcW w:w="7088" w:type="dxa"/>
            <w:tcBorders>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rPr>
            </w:pPr>
            <w:r>
              <w:rPr>
                <w:rFonts w:cs="Arial" w:ascii="sans-serif" w:hAnsi="sans-serif"/>
                <w:sz w:val="20"/>
              </w:rPr>
              <w:t>Fisioterapia com base no Conceito Bobath</w:t>
            </w:r>
          </w:p>
        </w:tc>
      </w:tr>
    </w:tbl>
    <w:p>
      <w:pPr>
        <w:pStyle w:val="Normal"/>
        <w:jc w:val="both"/>
        <w:rPr>
          <w:rFonts w:ascii="Arial" w:hAnsi="Arial" w:cs="Arial"/>
          <w:highlight w:val="yellow"/>
        </w:rPr>
      </w:pPr>
      <w:r>
        <w:rPr>
          <w:rFonts w:cs="Arial" w:ascii="Arial" w:hAnsi="Arial"/>
          <w:b/>
          <w:bCs/>
          <w:shd w:fill="auto" w:val="clear"/>
        </w:rPr>
        <w:t>g)</w:t>
      </w:r>
      <w:r>
        <w:rPr>
          <w:rFonts w:cs="Arial" w:ascii="Arial" w:hAnsi="Arial"/>
          <w:shd w:fill="auto" w:val="clear"/>
        </w:rPr>
        <w:t xml:space="preserve"> </w:t>
      </w:r>
      <w:r>
        <w:rPr>
          <w:rFonts w:ascii="sans-serif" w:hAnsi="sans-serif"/>
          <w:b/>
          <w:bCs/>
          <w:sz w:val="20"/>
        </w:rPr>
        <w:t>Detalhamento técnico:</w:t>
      </w:r>
    </w:p>
    <w:p>
      <w:pPr>
        <w:pStyle w:val="Normal"/>
        <w:jc w:val="both"/>
        <w:rPr>
          <w:rFonts w:ascii="Arial" w:hAnsi="Arial" w:cs="Arial"/>
          <w:highlight w:val="yellow"/>
        </w:rPr>
      </w:pPr>
      <w:r>
        <w:rPr>
          <w:rFonts w:ascii="sans-serif" w:hAnsi="sans-serif"/>
          <w:b/>
          <w:bCs/>
          <w:sz w:val="20"/>
        </w:rPr>
        <w:t>1.</w:t>
      </w:r>
      <w:r>
        <w:rPr>
          <w:rFonts w:ascii="sans-serif" w:hAnsi="sans-serif"/>
          <w:sz w:val="20"/>
        </w:rPr>
        <w:t xml:space="preserve"> O item 1 consiste em ciclo totalizado por 60 horas de fisioterapia intensiva, realizado por 4 semanas  consecutivas, por 5 dias na semana, com duração de 3 horas diárias.</w:t>
      </w:r>
    </w:p>
    <w:p>
      <w:pPr>
        <w:pStyle w:val="Normal"/>
        <w:jc w:val="both"/>
        <w:rPr>
          <w:rFonts w:ascii="Arial" w:hAnsi="Arial" w:cs="Arial"/>
          <w:highlight w:val="yellow"/>
        </w:rPr>
      </w:pPr>
      <w:r>
        <w:rPr>
          <w:rFonts w:ascii="sans-serif" w:hAnsi="sans-serif"/>
          <w:b/>
          <w:bCs/>
          <w:sz w:val="20"/>
        </w:rPr>
        <w:t>2.</w:t>
      </w:r>
      <w:r>
        <w:rPr>
          <w:rFonts w:ascii="sans-serif" w:hAnsi="sans-serif"/>
          <w:sz w:val="20"/>
        </w:rPr>
        <w:t xml:space="preserve"> O item 2 consiste em manutenção terapêutica com base no Conceito Bobath, com duração de 01 hora por sessão de fisioterapia. Carga horária do tratamento de 32 horas mensais.</w:t>
      </w:r>
      <w:r>
        <w:rPr/>
        <w:t xml:space="preserve"> </w:t>
      </w:r>
    </w:p>
    <w:p>
      <w:pPr>
        <w:pStyle w:val="Normal"/>
        <w:jc w:val="both"/>
        <w:rPr>
          <w:rFonts w:ascii="Arial" w:hAnsi="Arial" w:cs="Arial"/>
          <w:highlight w:val="none"/>
          <w:shd w:fill="auto" w:val="clear"/>
        </w:rPr>
      </w:pPr>
      <w:r>
        <w:rPr>
          <w:rFonts w:cs="Arial" w:ascii="sans-serif" w:hAnsi="sans-serif"/>
          <w:b/>
          <w:bCs/>
          <w:sz w:val="20"/>
          <w:shd w:fill="auto" w:val="clear"/>
        </w:rPr>
        <w:t xml:space="preserve">3. </w:t>
      </w:r>
      <w:r>
        <w:rPr>
          <w:rFonts w:cs="Arial" w:ascii="sans-serif" w:hAnsi="sans-serif"/>
          <w:sz w:val="20"/>
          <w:shd w:fill="auto" w:val="clear"/>
        </w:rPr>
        <w:t>O serviço deverá ser prestado em estabelecimento próprio da empresa a ser contratada, que deverá possuir todo o equipamento necessário para realização dos procedimentos, inclusive materiais de consumo.</w:t>
      </w:r>
    </w:p>
    <w:p>
      <w:pPr>
        <w:pStyle w:val="Normal"/>
        <w:jc w:val="both"/>
        <w:rPr>
          <w:rFonts w:ascii="Arial" w:hAnsi="Arial" w:cs="Arial"/>
          <w:highlight w:val="none"/>
          <w:shd w:fill="auto" w:val="clear"/>
        </w:rPr>
      </w:pPr>
      <w:r>
        <w:rPr>
          <w:rFonts w:cs="Arial" w:ascii="sans-serif" w:hAnsi="sans-serif"/>
          <w:b/>
          <w:bCs/>
          <w:sz w:val="20"/>
          <w:shd w:fill="auto" w:val="clear"/>
        </w:rPr>
        <w:t>4.</w:t>
      </w:r>
      <w:r>
        <w:rPr>
          <w:rFonts w:cs="Arial" w:ascii="sans-serif" w:hAnsi="sans-serif"/>
          <w:sz w:val="20"/>
          <w:shd w:fill="auto" w:val="clear"/>
        </w:rPr>
        <w:t xml:space="preserve"> A contratada deverá possuir todos os materiais necessários para a realização da terapia intensiva, incluindo o “suit” original, no tamanho adequado para a paciente, com registro na ANVISA.</w:t>
      </w:r>
    </w:p>
    <w:p>
      <w:pPr>
        <w:pStyle w:val="Normal"/>
        <w:jc w:val="both"/>
        <w:rPr>
          <w:rFonts w:ascii="sans-serif" w:hAnsi="sans-serif"/>
          <w:sz w:val="20"/>
        </w:rPr>
      </w:pPr>
      <w:r>
        <w:rPr>
          <w:rFonts w:ascii="sans-serif" w:hAnsi="sans-serif"/>
          <w:sz w:val="20"/>
        </w:rPr>
      </w:r>
    </w:p>
    <w:p>
      <w:pPr>
        <w:pStyle w:val="Normal"/>
        <w:shd w:val="clear" w:color="auto" w:fill="CCCCCC"/>
        <w:ind w:firstLine="567"/>
        <w:jc w:val="both"/>
        <w:rPr>
          <w:rFonts w:ascii="Arial" w:hAnsi="Arial" w:eastAsia="Times New Roman" w:cs="Arial"/>
          <w:b/>
          <w:bCs/>
          <w:color w:val="auto"/>
          <w:kern w:val="2"/>
          <w:sz w:val="20"/>
          <w:szCs w:val="20"/>
          <w:lang w:val="pt-BR" w:eastAsia="zh-CN" w:bidi="ar-SA"/>
        </w:rPr>
      </w:pPr>
      <w:r>
        <w:rPr>
          <w:rFonts w:eastAsia="Times New Roman" w:cs="Arial" w:ascii="Arial" w:hAnsi="Arial"/>
          <w:b/>
          <w:bCs/>
          <w:color w:val="auto"/>
          <w:kern w:val="2"/>
          <w:sz w:val="20"/>
          <w:szCs w:val="20"/>
          <w:lang w:val="pt-BR" w:eastAsia="zh-CN" w:bidi="ar-SA"/>
        </w:rPr>
        <w:t>4. DA SUBCONTRATAÇÃO:</w:t>
      </w:r>
    </w:p>
    <w:p>
      <w:pPr>
        <w:pStyle w:val="Normal"/>
        <w:jc w:val="both"/>
        <w:rPr/>
      </w:pPr>
      <w:r>
        <w:rPr>
          <w:rFonts w:cs="Arial" w:ascii="Arial" w:hAnsi="Arial"/>
          <w:b/>
          <w:bCs/>
          <w:shd w:fill="auto" w:val="clear"/>
        </w:rPr>
        <w:t xml:space="preserve">a) </w:t>
      </w:r>
      <w:r>
        <w:rPr>
          <w:rFonts w:ascii="sans-serif" w:hAnsi="sans-serif"/>
          <w:sz w:val="20"/>
        </w:rPr>
        <w:t>Não é admitida a subcontratação do objeto contratual.</w:t>
      </w:r>
      <w:r>
        <w:rPr/>
        <w:t xml:space="preserve"> </w:t>
      </w:r>
    </w:p>
    <w:p>
      <w:pPr>
        <w:pStyle w:val="Normal"/>
        <w:jc w:val="both"/>
        <w:rPr>
          <w:rFonts w:ascii="Arial" w:hAnsi="Arial" w:cs="Arial"/>
          <w:highlight w:val="none"/>
          <w:shd w:fill="auto" w:val="clear"/>
        </w:rPr>
      </w:pPr>
      <w:r>
        <w:rPr>
          <w:rFonts w:cs="Arial" w:ascii="Arial" w:hAnsi="Arial"/>
          <w:shd w:fill="auto" w:val="clear"/>
        </w:rPr>
      </w:r>
    </w:p>
    <w:p>
      <w:pPr>
        <w:pStyle w:val="Normal"/>
        <w:shd w:val="clear" w:color="auto" w:fill="CCCCCC"/>
        <w:ind w:firstLine="567"/>
        <w:jc w:val="both"/>
        <w:rPr>
          <w:rFonts w:ascii="Arial" w:hAnsi="Arial" w:cs="Arial"/>
        </w:rPr>
      </w:pPr>
      <w:r>
        <w:rPr>
          <w:rFonts w:cs="Arial" w:ascii="Arial" w:hAnsi="Arial"/>
          <w:b/>
          <w:bCs/>
        </w:rPr>
        <w:t>5. DA EXECUÇÃO DOS SERVIÇOS:</w:t>
      </w:r>
    </w:p>
    <w:p>
      <w:pPr>
        <w:pStyle w:val="ListParagraph"/>
        <w:numPr>
          <w:ilvl w:val="0"/>
          <w:numId w:val="9"/>
        </w:numPr>
        <w:tabs>
          <w:tab w:val="clear" w:pos="709"/>
          <w:tab w:val="left" w:pos="284" w:leader="none"/>
          <w:tab w:val="left" w:pos="426" w:leader="none"/>
          <w:tab w:val="left" w:pos="567" w:leader="none"/>
        </w:tabs>
        <w:spacing w:lineRule="auto" w:line="240" w:before="0" w:after="0"/>
        <w:jc w:val="both"/>
        <w:rPr>
          <w:sz w:val="20"/>
          <w:szCs w:val="20"/>
        </w:rPr>
      </w:pPr>
      <w:r>
        <w:rPr>
          <w:rFonts w:eastAsia="MS Mincho" w:cs="Arial" w:ascii="sans-serif" w:hAnsi="sans-serif"/>
          <w:sz w:val="20"/>
          <w:szCs w:val="20"/>
          <w:lang w:eastAsia="pt-BR"/>
        </w:rPr>
        <w:t>O serviço deverá ser prestado em estabelecimento próprio da empresa a ser contratada, que deverá possuir todo o equipamento necessário para realização dos procedimentos, inclusive materiais de consumo.</w:t>
      </w:r>
    </w:p>
    <w:p>
      <w:pPr>
        <w:pStyle w:val="ListParagraph"/>
        <w:numPr>
          <w:ilvl w:val="0"/>
          <w:numId w:val="9"/>
        </w:numPr>
        <w:tabs>
          <w:tab w:val="clear" w:pos="709"/>
          <w:tab w:val="left" w:pos="284" w:leader="none"/>
          <w:tab w:val="left" w:pos="426" w:leader="none"/>
          <w:tab w:val="left" w:pos="567" w:leader="none"/>
        </w:tabs>
        <w:spacing w:lineRule="auto" w:line="240" w:before="0" w:after="0"/>
        <w:jc w:val="both"/>
        <w:rPr>
          <w:sz w:val="20"/>
          <w:szCs w:val="20"/>
        </w:rPr>
      </w:pPr>
      <w:r>
        <w:rPr>
          <w:rFonts w:eastAsia="MS Mincho" w:cs="Arial" w:ascii="sans-serif" w:hAnsi="sans-serif"/>
          <w:sz w:val="20"/>
          <w:szCs w:val="20"/>
          <w:lang w:eastAsia="pt-BR"/>
        </w:rPr>
        <w:t>A contratada deverá possuir todos os materiais necessários para a realização da terapia intensiva, incluindo o “suit” original, no tamanho adequado para a paciente, com registro na ANVISA.</w:t>
      </w:r>
    </w:p>
    <w:p>
      <w:pPr>
        <w:pStyle w:val="ListParagraph"/>
        <w:numPr>
          <w:ilvl w:val="0"/>
          <w:numId w:val="9"/>
        </w:numPr>
        <w:tabs>
          <w:tab w:val="clear" w:pos="709"/>
          <w:tab w:val="left" w:pos="284" w:leader="none"/>
          <w:tab w:val="left" w:pos="426" w:leader="none"/>
          <w:tab w:val="left" w:pos="567" w:leader="none"/>
        </w:tabs>
        <w:spacing w:lineRule="auto" w:line="240" w:before="0" w:after="0"/>
        <w:jc w:val="both"/>
        <w:rPr>
          <w:sz w:val="20"/>
          <w:szCs w:val="20"/>
        </w:rPr>
      </w:pPr>
      <w:r>
        <w:rPr>
          <w:rFonts w:eastAsia="MS Mincho" w:cs="Arial" w:ascii="sans-serif" w:hAnsi="sans-serif"/>
          <w:sz w:val="20"/>
          <w:szCs w:val="20"/>
          <w:lang w:eastAsia="pt-BR"/>
        </w:rPr>
        <w:t>A empresa contratada deverá estar estabelecida em Piracicaba, a fim de que a paciente não tenha problema de transporte. Caso a licitante esteja estabelecida em outra cidade, a empresa será responsável pelo transporte dos pacientes e seu acompanhante, em caso de menor de idade, idosos ou pacientes com necessidades especiais até a clínica (ida e volta) para realização dos procedimentos, sendo a distância limitada a 200 km de Piracicaba. Limita-se a distância à 200 km para que o paciente possa ir e voltar no mesmo dia, não gerando despesas com hospedagem.</w:t>
      </w:r>
    </w:p>
    <w:p>
      <w:pPr>
        <w:pStyle w:val="ListParagraph"/>
        <w:numPr>
          <w:ilvl w:val="0"/>
          <w:numId w:val="9"/>
        </w:numPr>
        <w:tabs>
          <w:tab w:val="clear" w:pos="709"/>
          <w:tab w:val="left" w:pos="284" w:leader="none"/>
          <w:tab w:val="left" w:pos="426" w:leader="none"/>
          <w:tab w:val="left" w:pos="567" w:leader="none"/>
        </w:tabs>
        <w:spacing w:lineRule="auto" w:line="240" w:before="0" w:after="0"/>
        <w:jc w:val="both"/>
        <w:rPr>
          <w:sz w:val="20"/>
          <w:szCs w:val="20"/>
        </w:rPr>
      </w:pPr>
      <w:r>
        <w:rPr>
          <w:rFonts w:eastAsia="MS Mincho" w:cs="Arial" w:ascii="sans-serif" w:hAnsi="sans-serif"/>
          <w:sz w:val="20"/>
          <w:szCs w:val="20"/>
          <w:lang w:eastAsia="pt-BR"/>
        </w:rPr>
        <w:t>Por se tratar de atendimento a Mandado Judicial o serviço poderá ser suspenso caso não haja mais necessidade.</w:t>
      </w:r>
    </w:p>
    <w:p>
      <w:pPr>
        <w:pStyle w:val="ListParagraph"/>
        <w:numPr>
          <w:ilvl w:val="0"/>
          <w:numId w:val="9"/>
        </w:numPr>
        <w:tabs>
          <w:tab w:val="clear" w:pos="709"/>
          <w:tab w:val="left" w:pos="284" w:leader="none"/>
          <w:tab w:val="left" w:pos="426" w:leader="none"/>
          <w:tab w:val="left" w:pos="567" w:leader="none"/>
        </w:tabs>
        <w:spacing w:lineRule="auto" w:line="240" w:before="0" w:after="0"/>
        <w:jc w:val="both"/>
        <w:rPr>
          <w:sz w:val="20"/>
          <w:szCs w:val="20"/>
        </w:rPr>
      </w:pPr>
      <w:r>
        <w:rPr>
          <w:rFonts w:eastAsia="MS Mincho" w:cs="Arial" w:ascii="sans-serif" w:hAnsi="sans-serif"/>
          <w:sz w:val="20"/>
          <w:szCs w:val="20"/>
          <w:lang w:eastAsia="pt-BR"/>
        </w:rPr>
        <w:t>O prazo para início da prestação de serviços será imediatamente após envio da Ordem de Serviços pela Secretaria de Saúde ou com prazo definido na própria Ordem de Serviço.</w:t>
      </w:r>
      <w:r>
        <w:rPr>
          <w:rFonts w:eastAsia="MS Mincho" w:cs="Arial" w:ascii="Arial" w:hAnsi="Arial"/>
          <w:sz w:val="20"/>
          <w:szCs w:val="20"/>
          <w:lang w:eastAsia="pt-BR"/>
        </w:rPr>
        <w:t xml:space="preserve"> </w:t>
      </w:r>
    </w:p>
    <w:p>
      <w:pPr>
        <w:pStyle w:val="ListParagraph"/>
        <w:tabs>
          <w:tab w:val="clear" w:pos="709"/>
          <w:tab w:val="left" w:pos="284" w:leader="none"/>
          <w:tab w:val="left" w:pos="426" w:leader="none"/>
          <w:tab w:val="left" w:pos="567" w:leader="none"/>
        </w:tabs>
        <w:spacing w:lineRule="auto" w:line="240" w:before="0" w:after="0"/>
        <w:jc w:val="both"/>
        <w:rPr>
          <w:sz w:val="20"/>
          <w:szCs w:val="20"/>
        </w:rPr>
      </w:pPr>
      <w:r>
        <w:rPr>
          <w:sz w:val="20"/>
          <w:szCs w:val="20"/>
        </w:rPr>
      </w:r>
    </w:p>
    <w:p>
      <w:pPr>
        <w:pStyle w:val="ListParagraph"/>
        <w:numPr>
          <w:ilvl w:val="0"/>
          <w:numId w:val="9"/>
        </w:numPr>
        <w:tabs>
          <w:tab w:val="clear" w:pos="709"/>
          <w:tab w:val="left" w:pos="284" w:leader="none"/>
          <w:tab w:val="left" w:pos="426" w:leader="none"/>
          <w:tab w:val="left" w:pos="567" w:leader="none"/>
        </w:tabs>
        <w:spacing w:lineRule="auto" w:line="240" w:before="0" w:after="0"/>
        <w:jc w:val="both"/>
        <w:rPr>
          <w:sz w:val="20"/>
          <w:szCs w:val="20"/>
        </w:rPr>
      </w:pPr>
      <w:r>
        <w:rPr>
          <w:rFonts w:eastAsia="MS Mincho" w:cs="Arial" w:ascii="Arial" w:hAnsi="Arial"/>
          <w:b/>
          <w:sz w:val="20"/>
          <w:szCs w:val="20"/>
          <w:lang w:eastAsia="pt-BR"/>
        </w:rPr>
        <w:t>NORMAS GERAIS</w:t>
      </w:r>
    </w:p>
    <w:p>
      <w:pPr>
        <w:pStyle w:val="ListParagraph"/>
        <w:numPr>
          <w:ilvl w:val="0"/>
          <w:numId w:val="0"/>
        </w:numPr>
        <w:tabs>
          <w:tab w:val="clear" w:pos="709"/>
          <w:tab w:val="left" w:pos="284" w:leader="none"/>
          <w:tab w:val="left" w:pos="426" w:leader="none"/>
          <w:tab w:val="left" w:pos="567" w:leader="none"/>
        </w:tabs>
        <w:spacing w:lineRule="auto" w:line="240" w:before="0" w:after="0"/>
        <w:ind w:hanging="0" w:left="0"/>
        <w:jc w:val="both"/>
        <w:rPr>
          <w:sz w:val="20"/>
          <w:szCs w:val="20"/>
        </w:rPr>
      </w:pPr>
      <w:r>
        <w:rPr>
          <w:rFonts w:eastAsia="MS Mincho" w:cs="Arial" w:ascii="Arial" w:hAnsi="Arial"/>
          <w:sz w:val="20"/>
          <w:szCs w:val="20"/>
          <w:lang w:eastAsia="pt-BR"/>
        </w:rPr>
        <w:t>O serviço ora contratado será prestado diretamente por profissionais do estabelecimento contratado.</w:t>
      </w:r>
    </w:p>
    <w:p>
      <w:pPr>
        <w:pStyle w:val="ListParagraph"/>
        <w:numPr>
          <w:ilvl w:val="0"/>
          <w:numId w:val="0"/>
        </w:numPr>
        <w:tabs>
          <w:tab w:val="clear" w:pos="709"/>
          <w:tab w:val="left" w:pos="284" w:leader="none"/>
          <w:tab w:val="left" w:pos="426" w:leader="none"/>
          <w:tab w:val="left" w:pos="567" w:leader="none"/>
        </w:tabs>
        <w:spacing w:lineRule="auto" w:line="240" w:before="0" w:after="0"/>
        <w:ind w:hanging="0" w:left="0"/>
        <w:jc w:val="both"/>
        <w:rPr>
          <w:sz w:val="20"/>
          <w:szCs w:val="20"/>
        </w:rPr>
      </w:pPr>
      <w:r>
        <w:rPr>
          <w:rFonts w:eastAsia="MS Mincho" w:cs="Arial" w:ascii="Arial" w:hAnsi="Arial"/>
          <w:sz w:val="20"/>
          <w:szCs w:val="20"/>
          <w:lang w:eastAsia="pt-BR"/>
        </w:rPr>
        <w:t>Para os efeitos deste contrato, consideram-se profissionais do próprio estabelecimento do contratado:</w:t>
      </w:r>
    </w:p>
    <w:p>
      <w:pPr>
        <w:pStyle w:val="ListParagraph"/>
        <w:numPr>
          <w:ilvl w:val="0"/>
          <w:numId w:val="0"/>
        </w:numPr>
        <w:tabs>
          <w:tab w:val="clear" w:pos="709"/>
          <w:tab w:val="left" w:pos="284" w:leader="none"/>
          <w:tab w:val="left" w:pos="426" w:leader="none"/>
          <w:tab w:val="left" w:pos="567" w:leader="none"/>
        </w:tabs>
        <w:spacing w:lineRule="auto" w:line="240" w:before="0" w:after="0"/>
        <w:ind w:hanging="0" w:left="0"/>
        <w:jc w:val="both"/>
        <w:rPr>
          <w:sz w:val="20"/>
          <w:szCs w:val="20"/>
        </w:rPr>
      </w:pPr>
      <w:r>
        <w:rPr>
          <w:rFonts w:eastAsia="MS Mincho" w:cs="Arial" w:ascii="Arial" w:hAnsi="Arial"/>
          <w:b/>
          <w:bCs/>
          <w:sz w:val="20"/>
          <w:szCs w:val="20"/>
          <w:lang w:eastAsia="pt-BR"/>
        </w:rPr>
        <w:t>1.</w:t>
      </w:r>
      <w:r>
        <w:rPr>
          <w:rFonts w:eastAsia="MS Mincho" w:cs="Arial" w:ascii="Arial" w:hAnsi="Arial"/>
          <w:sz w:val="20"/>
          <w:szCs w:val="20"/>
          <w:lang w:eastAsia="pt-BR"/>
        </w:rPr>
        <w:t xml:space="preserve"> O membro do seu corpo clínico;</w:t>
      </w:r>
    </w:p>
    <w:p>
      <w:pPr>
        <w:pStyle w:val="ListParagraph"/>
        <w:numPr>
          <w:ilvl w:val="0"/>
          <w:numId w:val="0"/>
        </w:numPr>
        <w:tabs>
          <w:tab w:val="clear" w:pos="709"/>
          <w:tab w:val="left" w:pos="284" w:leader="none"/>
          <w:tab w:val="left" w:pos="426" w:leader="none"/>
          <w:tab w:val="left" w:pos="567" w:leader="none"/>
        </w:tabs>
        <w:spacing w:lineRule="auto" w:line="240" w:before="0" w:after="0"/>
        <w:ind w:hanging="0" w:left="0"/>
        <w:jc w:val="both"/>
        <w:rPr>
          <w:sz w:val="20"/>
          <w:szCs w:val="20"/>
        </w:rPr>
      </w:pPr>
      <w:r>
        <w:rPr>
          <w:rFonts w:eastAsia="MS Mincho" w:cs="Arial" w:ascii="Arial" w:hAnsi="Arial"/>
          <w:b/>
          <w:bCs/>
          <w:sz w:val="20"/>
          <w:szCs w:val="20"/>
          <w:lang w:eastAsia="pt-BR"/>
        </w:rPr>
        <w:t>2.</w:t>
      </w:r>
      <w:r>
        <w:rPr>
          <w:rFonts w:eastAsia="MS Mincho" w:cs="Arial" w:ascii="Arial" w:hAnsi="Arial"/>
          <w:sz w:val="20"/>
          <w:szCs w:val="20"/>
          <w:lang w:eastAsia="pt-BR"/>
        </w:rPr>
        <w:t xml:space="preserve"> O profissional que tenha vínculo de emprego com o contratado;</w:t>
      </w:r>
    </w:p>
    <w:p>
      <w:pPr>
        <w:pStyle w:val="ListParagraph"/>
        <w:numPr>
          <w:ilvl w:val="0"/>
          <w:numId w:val="0"/>
        </w:numPr>
        <w:tabs>
          <w:tab w:val="clear" w:pos="709"/>
          <w:tab w:val="left" w:pos="284" w:leader="none"/>
          <w:tab w:val="left" w:pos="426" w:leader="none"/>
          <w:tab w:val="left" w:pos="567" w:leader="none"/>
        </w:tabs>
        <w:spacing w:lineRule="auto" w:line="240" w:before="0" w:after="0"/>
        <w:ind w:hanging="0" w:left="0"/>
        <w:jc w:val="both"/>
        <w:rPr>
          <w:sz w:val="20"/>
          <w:szCs w:val="20"/>
        </w:rPr>
      </w:pPr>
      <w:r>
        <w:rPr>
          <w:rFonts w:eastAsia="MS Mincho" w:cs="Arial" w:ascii="Arial" w:hAnsi="Arial"/>
          <w:b/>
          <w:bCs/>
          <w:sz w:val="20"/>
          <w:szCs w:val="20"/>
          <w:lang w:eastAsia="pt-BR"/>
        </w:rPr>
        <w:t>3.</w:t>
      </w:r>
      <w:r>
        <w:rPr>
          <w:rFonts w:eastAsia="MS Mincho" w:cs="Arial" w:ascii="Arial" w:hAnsi="Arial"/>
          <w:sz w:val="20"/>
          <w:szCs w:val="20"/>
          <w:lang w:eastAsia="pt-BR"/>
        </w:rPr>
        <w:t xml:space="preserve"> O profissional autônomo que, eventualmente ou permanentemente, presta serviços ao contratado ou se por este autorizado;</w:t>
      </w:r>
    </w:p>
    <w:p>
      <w:pPr>
        <w:pStyle w:val="ListParagraph"/>
        <w:numPr>
          <w:ilvl w:val="0"/>
          <w:numId w:val="0"/>
        </w:numPr>
        <w:tabs>
          <w:tab w:val="clear" w:pos="709"/>
          <w:tab w:val="left" w:pos="284" w:leader="none"/>
          <w:tab w:val="left" w:pos="426" w:leader="none"/>
          <w:tab w:val="left" w:pos="567" w:leader="none"/>
        </w:tabs>
        <w:spacing w:lineRule="auto" w:line="240" w:before="0" w:after="0"/>
        <w:ind w:hanging="0" w:left="0"/>
        <w:jc w:val="both"/>
        <w:rPr>
          <w:sz w:val="20"/>
          <w:szCs w:val="20"/>
        </w:rPr>
      </w:pPr>
      <w:r>
        <w:rPr>
          <w:rFonts w:eastAsia="MS Mincho" w:cs="Arial" w:ascii="Arial" w:hAnsi="Arial"/>
          <w:sz w:val="20"/>
          <w:szCs w:val="20"/>
          <w:lang w:eastAsia="pt-BR"/>
        </w:rPr>
        <w:t>É de responsabilidade exclusiva e integral do contratado a utilização de pessoal para a execução de objeto deste contrato, incluídos os encargos trabalhistas, previdenciários, sociais, fiscais e comerciais resultantes de vínculos empregatícios, cujo ônus e obrigações, em nenhuma hipótese, poderão ser transferidos para o contratante e ainda, a prestação do serviço hora contratado não implica vínculo empregatício entre contratante e contratado.</w:t>
      </w:r>
    </w:p>
    <w:p>
      <w:pPr>
        <w:pStyle w:val="ListParagraph"/>
        <w:tabs>
          <w:tab w:val="clear" w:pos="709"/>
          <w:tab w:val="left" w:pos="284" w:leader="none"/>
          <w:tab w:val="left" w:pos="426" w:leader="none"/>
          <w:tab w:val="left" w:pos="567" w:leader="none"/>
        </w:tabs>
        <w:spacing w:lineRule="auto" w:line="240" w:before="0" w:after="0"/>
        <w:jc w:val="both"/>
        <w:rPr>
          <w:sz w:val="20"/>
          <w:szCs w:val="20"/>
        </w:rPr>
      </w:pPr>
      <w:r>
        <w:rPr>
          <w:sz w:val="20"/>
          <w:szCs w:val="20"/>
        </w:rPr>
      </w:r>
    </w:p>
    <w:p>
      <w:pPr>
        <w:pStyle w:val="ListParagraph"/>
        <w:numPr>
          <w:ilvl w:val="0"/>
          <w:numId w:val="9"/>
        </w:numPr>
        <w:tabs>
          <w:tab w:val="clear" w:pos="709"/>
          <w:tab w:val="left" w:pos="284" w:leader="none"/>
          <w:tab w:val="left" w:pos="426" w:leader="none"/>
          <w:tab w:val="left" w:pos="567" w:leader="none"/>
        </w:tabs>
        <w:spacing w:lineRule="auto" w:line="240" w:before="0" w:after="0"/>
        <w:jc w:val="both"/>
        <w:rPr>
          <w:sz w:val="20"/>
          <w:szCs w:val="20"/>
        </w:rPr>
      </w:pPr>
      <w:r>
        <w:rPr>
          <w:rFonts w:eastAsia="MS Mincho" w:cs="Arial" w:ascii="Arial" w:hAnsi="Arial"/>
          <w:b/>
          <w:sz w:val="20"/>
          <w:szCs w:val="20"/>
          <w:lang w:eastAsia="pt-BR"/>
        </w:rPr>
        <w:t>DA RESPONSABILIDADE CIVIL DO CONTRATADO</w:t>
      </w:r>
    </w:p>
    <w:p>
      <w:pPr>
        <w:pStyle w:val="ListParagraph"/>
        <w:numPr>
          <w:ilvl w:val="0"/>
          <w:numId w:val="0"/>
        </w:numPr>
        <w:tabs>
          <w:tab w:val="clear" w:pos="709"/>
          <w:tab w:val="left" w:pos="284" w:leader="none"/>
          <w:tab w:val="left" w:pos="426" w:leader="none"/>
          <w:tab w:val="left" w:pos="567" w:leader="none"/>
        </w:tabs>
        <w:spacing w:lineRule="auto" w:line="240" w:before="0" w:after="0"/>
        <w:ind w:hanging="0" w:left="0"/>
        <w:jc w:val="both"/>
        <w:rPr>
          <w:sz w:val="20"/>
          <w:szCs w:val="20"/>
        </w:rPr>
      </w:pPr>
      <w:r>
        <w:rPr>
          <w:rFonts w:eastAsia="MS Mincho" w:cs="Arial" w:ascii="Arial" w:hAnsi="Arial"/>
          <w:b/>
          <w:sz w:val="20"/>
          <w:szCs w:val="20"/>
          <w:lang w:eastAsia="pt-BR"/>
        </w:rPr>
        <w:t xml:space="preserve">1. </w:t>
      </w:r>
      <w:r>
        <w:rPr>
          <w:rFonts w:eastAsia="MS Mincho" w:cs="Arial" w:ascii="Arial" w:hAnsi="Arial"/>
          <w:sz w:val="20"/>
          <w:szCs w:val="20"/>
          <w:lang w:eastAsia="pt-BR"/>
        </w:rPr>
        <w:t>O contratado é responsável pela indenização de danos causados ao paciente, aos órgãos do SUS e a terceiros a eles vinculados, decorrentes de ação ou omissão voluntária, ou de negligência, imperícia ou prepostos, ficando assegurado ao contratante o direito de regresso;</w:t>
      </w:r>
    </w:p>
    <w:p>
      <w:pPr>
        <w:pStyle w:val="ListParagraph"/>
        <w:numPr>
          <w:ilvl w:val="0"/>
          <w:numId w:val="0"/>
        </w:numPr>
        <w:tabs>
          <w:tab w:val="clear" w:pos="709"/>
          <w:tab w:val="left" w:pos="284" w:leader="none"/>
          <w:tab w:val="left" w:pos="426" w:leader="none"/>
          <w:tab w:val="left" w:pos="567" w:leader="none"/>
        </w:tabs>
        <w:spacing w:lineRule="auto" w:line="240" w:before="0" w:after="0"/>
        <w:ind w:hanging="0" w:left="0"/>
        <w:jc w:val="both"/>
        <w:rPr>
          <w:sz w:val="20"/>
          <w:szCs w:val="20"/>
        </w:rPr>
      </w:pPr>
      <w:r>
        <w:rPr>
          <w:rFonts w:eastAsia="MS Mincho" w:cs="Arial" w:ascii="Arial" w:hAnsi="Arial"/>
          <w:b/>
          <w:bCs/>
          <w:sz w:val="20"/>
          <w:szCs w:val="20"/>
          <w:lang w:eastAsia="pt-BR"/>
        </w:rPr>
        <w:t>2.</w:t>
      </w:r>
      <w:r>
        <w:rPr>
          <w:rFonts w:eastAsia="MS Mincho" w:cs="Arial" w:ascii="Arial" w:hAnsi="Arial"/>
          <w:sz w:val="20"/>
          <w:szCs w:val="20"/>
          <w:lang w:eastAsia="pt-BR"/>
        </w:rPr>
        <w:t xml:space="preserve"> A fiscalização ou acompanhamento da execução deste contrato pelos órgãos competentes do contratante, através da Secretaria de Saúde, não exclui nem reduz a responsabilidade do contratado nos termos da legislação referente a licitações e contratos administrativos e demais legislação existente;</w:t>
      </w:r>
    </w:p>
    <w:p>
      <w:pPr>
        <w:pStyle w:val="ListParagraph"/>
        <w:numPr>
          <w:ilvl w:val="0"/>
          <w:numId w:val="0"/>
        </w:numPr>
        <w:tabs>
          <w:tab w:val="clear" w:pos="709"/>
          <w:tab w:val="left" w:pos="284" w:leader="none"/>
          <w:tab w:val="left" w:pos="426" w:leader="none"/>
          <w:tab w:val="left" w:pos="567" w:leader="none"/>
        </w:tabs>
        <w:spacing w:lineRule="auto" w:line="240" w:before="0" w:after="0"/>
        <w:ind w:hanging="0" w:left="0"/>
        <w:jc w:val="both"/>
        <w:rPr>
          <w:sz w:val="20"/>
          <w:szCs w:val="20"/>
        </w:rPr>
      </w:pPr>
      <w:r>
        <w:rPr>
          <w:rFonts w:eastAsia="MS Mincho" w:cs="Arial" w:ascii="Arial" w:hAnsi="Arial"/>
          <w:b/>
          <w:bCs/>
          <w:sz w:val="20"/>
          <w:szCs w:val="20"/>
          <w:lang w:eastAsia="pt-BR"/>
        </w:rPr>
        <w:t>3.</w:t>
      </w:r>
      <w:r>
        <w:rPr>
          <w:rFonts w:eastAsia="MS Mincho" w:cs="Arial" w:ascii="Arial" w:hAnsi="Arial"/>
          <w:sz w:val="20"/>
          <w:szCs w:val="20"/>
          <w:lang w:eastAsia="pt-BR"/>
        </w:rPr>
        <w:t xml:space="preserve"> A responsabilidade de que trata essa cláusula estende-se aos casos de danos causados por má prestação dos serviços, nos estritos termos do art. 14 da Lei nº 8078, de 11 de setembro de 1990 – Código de Defesa do Consumidor.</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DDDDDD"/>
        <w:ind w:firstLine="567"/>
        <w:jc w:val="both"/>
        <w:rPr>
          <w:rFonts w:ascii="Arial" w:hAnsi="Arial" w:cs="Arial"/>
        </w:rPr>
      </w:pPr>
      <w:r>
        <w:rPr>
          <w:rFonts w:cs="Arial" w:ascii="Arial" w:hAnsi="Arial"/>
          <w:b/>
          <w:bCs/>
        </w:rPr>
        <w:t>6. DO FORNECIMENTO DE INFORMAÇÕES:</w:t>
      </w:r>
    </w:p>
    <w:p>
      <w:pPr>
        <w:pStyle w:val="Normal"/>
        <w:numPr>
          <w:ilvl w:val="0"/>
          <w:numId w:val="7"/>
        </w:numPr>
        <w:tabs>
          <w:tab w:val="clear" w:pos="709"/>
          <w:tab w:val="left" w:pos="284" w:leader="none"/>
          <w:tab w:val="left" w:pos="567"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ListLabel191"/>
            <w:rFonts w:cs="Arial" w:ascii="Arial" w:hAnsi="Arial"/>
            <w:color w:val="0000FF"/>
            <w:u w:val="single"/>
          </w:rPr>
          <w:t>https://bnccompras.com</w:t>
        </w:r>
      </w:hyperlink>
      <w:r>
        <w:rPr>
          <w:rFonts w:cs="Arial" w:ascii="Arial" w:hAnsi="Arial"/>
        </w:rPr>
        <w:t>.</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7"/>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DDDDDD"/>
        <w:ind w:firstLine="567"/>
        <w:jc w:val="both"/>
        <w:rPr>
          <w:rFonts w:ascii="Arial" w:hAnsi="Arial" w:cs="Arial"/>
        </w:rPr>
      </w:pPr>
      <w:r>
        <w:rPr>
          <w:rFonts w:cs="Arial" w:ascii="Arial" w:hAnsi="Arial"/>
          <w:b/>
          <w:bCs/>
        </w:rPr>
        <w:t>7. DA FISCALIZAÇÃO:</w:t>
      </w:r>
    </w:p>
    <w:p>
      <w:pPr>
        <w:pStyle w:val="Normal"/>
        <w:numPr>
          <w:ilvl w:val="0"/>
          <w:numId w:val="8"/>
        </w:numPr>
        <w:tabs>
          <w:tab w:val="clear" w:pos="709"/>
          <w:tab w:val="left" w:pos="284" w:leader="none"/>
        </w:tabs>
        <w:jc w:val="both"/>
        <w:rPr>
          <w:rFonts w:ascii="Arial" w:hAnsi="Arial" w:cs="Arial"/>
        </w:rPr>
      </w:pPr>
      <w:r>
        <w:rPr>
          <w:rFonts w:cs="Arial" w:ascii="Arial" w:hAnsi="Arial"/>
        </w:rPr>
        <w:t>A execução do presente contrato será avaliada pelos órgãos competentes da Secretaria Municipal de Saúde, mediante procedimentos de supervisão indireta ou local, os quais observarão o cumprimento das cláusulas e condições estabelecidas neste contrato;</w:t>
      </w:r>
    </w:p>
    <w:p>
      <w:pPr>
        <w:pStyle w:val="Normal"/>
        <w:numPr>
          <w:ilvl w:val="0"/>
          <w:numId w:val="8"/>
        </w:numPr>
        <w:tabs>
          <w:tab w:val="clear" w:pos="709"/>
          <w:tab w:val="left" w:pos="284" w:leader="none"/>
        </w:tabs>
        <w:jc w:val="both"/>
        <w:rPr>
          <w:rFonts w:ascii="Arial" w:hAnsi="Arial" w:cs="Arial"/>
        </w:rPr>
      </w:pPr>
      <w:r>
        <w:rPr>
          <w:rFonts w:cs="Arial" w:ascii="Arial" w:hAnsi="Arial"/>
        </w:rPr>
        <w:t>Quando achar necessário, o contratante vistoriará as instalações do contratado, para verificar se persistem as mesmas condições técnicas básicas do contratado, comprovadas por ocasião da assinatura do contrato;</w:t>
      </w:r>
    </w:p>
    <w:p>
      <w:pPr>
        <w:pStyle w:val="Normal"/>
        <w:numPr>
          <w:ilvl w:val="0"/>
          <w:numId w:val="8"/>
        </w:numPr>
        <w:tabs>
          <w:tab w:val="clear" w:pos="709"/>
          <w:tab w:val="left" w:pos="284" w:leader="none"/>
        </w:tabs>
        <w:jc w:val="both"/>
        <w:rPr>
          <w:rFonts w:ascii="Arial" w:hAnsi="Arial" w:cs="Arial"/>
        </w:rPr>
      </w:pPr>
      <w:r>
        <w:rPr>
          <w:rFonts w:cs="Arial" w:ascii="Arial" w:hAnsi="Arial"/>
        </w:rPr>
        <w:t>Qualquer alteração ou modificação que importe em diminuição da capacidade operativa do contratante, poderá ensejar a não prorrogação deste contrato ou a revisão das condições ora estipuladas;</w:t>
      </w:r>
    </w:p>
    <w:p>
      <w:pPr>
        <w:pStyle w:val="Normal"/>
        <w:numPr>
          <w:ilvl w:val="0"/>
          <w:numId w:val="8"/>
        </w:numPr>
        <w:tabs>
          <w:tab w:val="clear" w:pos="709"/>
          <w:tab w:val="left" w:pos="284" w:leader="none"/>
        </w:tabs>
        <w:jc w:val="both"/>
        <w:rPr>
          <w:rFonts w:ascii="Arial" w:hAnsi="Arial" w:cs="Arial"/>
        </w:rPr>
      </w:pPr>
      <w:r>
        <w:rPr>
          <w:rFonts w:cs="Arial" w:ascii="Arial" w:hAnsi="Arial"/>
        </w:rPr>
        <w:t>A fiscalização exercida pelo contratante sobre os serviços ora contratados não eximirá o contratado da sua plena responsabilidade perante o contratante, ou para os pacientes e terceiros, decorrentes de culpa ou dolo na execução do contrato;</w:t>
      </w:r>
    </w:p>
    <w:p>
      <w:pPr>
        <w:pStyle w:val="Normal"/>
        <w:numPr>
          <w:ilvl w:val="0"/>
          <w:numId w:val="8"/>
        </w:numPr>
        <w:tabs>
          <w:tab w:val="clear" w:pos="709"/>
          <w:tab w:val="left" w:pos="284" w:leader="none"/>
        </w:tabs>
        <w:jc w:val="both"/>
        <w:rPr>
          <w:rFonts w:ascii="Arial" w:hAnsi="Arial" w:cs="Arial"/>
        </w:rPr>
      </w:pPr>
      <w:r>
        <w:rPr>
          <w:rFonts w:cs="Arial" w:ascii="Arial" w:hAnsi="Arial"/>
        </w:rPr>
        <w:t>O contratado facilitará ao contratante o acompanhamento e a fiscalização permanente dos serviços e prestará todos os esclarecimentos que lhe forem solicitados pelos servidores do contratante, designados para tal fim.</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8.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b/>
          <w:bCs/>
        </w:rPr>
      </w:pPr>
      <w:r>
        <w:rPr>
          <w:rFonts w:cs="Arial" w:ascii="Arial" w:hAnsi="Arial"/>
          <w:b/>
          <w:bCs/>
        </w:rPr>
      </w:r>
    </w:p>
    <w:p>
      <w:pPr>
        <w:pStyle w:val="Normal"/>
        <w:tabs>
          <w:tab w:val="clear" w:pos="709"/>
          <w:tab w:val="left" w:pos="284" w:leader="none"/>
        </w:tabs>
        <w:jc w:val="both"/>
        <w:rPr>
          <w:rFonts w:ascii="Arial" w:hAnsi="Arial" w:cs="Arial"/>
          <w:b/>
          <w:bCs/>
        </w:rPr>
      </w:pPr>
      <w:r>
        <w:rPr>
          <w:rFonts w:cs="Arial" w:ascii="Arial" w:hAnsi="Arial"/>
          <w:b/>
          <w:bCs/>
          <w:color w:val="000000"/>
        </w:rPr>
        <w:t>a) HABILITAÇÃO JURÍDICA</w:t>
      </w:r>
    </w:p>
    <w:p>
      <w:pPr>
        <w:pStyle w:val="Normal"/>
        <w:tabs>
          <w:tab w:val="clear" w:pos="709"/>
          <w:tab w:val="left" w:pos="284" w:leader="none"/>
        </w:tabs>
        <w:jc w:val="both"/>
        <w:rPr>
          <w:rFonts w:ascii="Arial" w:hAnsi="Arial" w:cs="Arial"/>
          <w:b/>
          <w:bCs/>
        </w:rPr>
      </w:pPr>
      <w:r>
        <w:rPr>
          <w:rFonts w:cs="Arial" w:ascii="Arial" w:hAnsi="Arial"/>
          <w:b/>
          <w:bCs/>
          <w:color w:val="000000"/>
        </w:rPr>
        <w:t xml:space="preserve">1. </w:t>
      </w: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b/>
          <w:bCs/>
        </w:rPr>
      </w:pPr>
      <w:r>
        <w:rPr>
          <w:rFonts w:cs="Arial" w:ascii="Arial" w:hAnsi="Arial"/>
          <w:b/>
          <w:bCs/>
          <w:color w:val="000000"/>
        </w:rPr>
        <w:t>2.</w:t>
      </w:r>
      <w:r>
        <w:rPr>
          <w:rFonts w:cs="Arial" w:ascii="Arial" w:hAnsi="Arial"/>
          <w:color w:val="000000"/>
        </w:rPr>
        <w:t xml:space="preserve"> </w:t>
      </w:r>
      <w:r>
        <w:rPr>
          <w:rFonts w:cs="Arial" w:ascii="Arial" w:hAnsi="Arial"/>
        </w:rPr>
        <w:t>Licença Sanitária Estadual ou Municipal vigentes, compatível com o objeto da licitação.</w:t>
      </w:r>
    </w:p>
    <w:p>
      <w:pPr>
        <w:pStyle w:val="Normal"/>
        <w:tabs>
          <w:tab w:val="clear" w:pos="709"/>
          <w:tab w:val="left" w:pos="284" w:leader="none"/>
        </w:tabs>
        <w:jc w:val="both"/>
        <w:rPr>
          <w:rFonts w:ascii="Arial" w:hAnsi="Arial" w:cs="Arial"/>
          <w:b/>
          <w:bCs/>
        </w:rPr>
      </w:pPr>
      <w:r>
        <w:rPr>
          <w:rFonts w:cs="Arial" w:ascii="Arial" w:hAnsi="Arial"/>
          <w:b/>
          <w:bCs/>
        </w:rPr>
        <w:t>b) REGULARIDADE FISCAL E TRABALHISTA</w:t>
      </w:r>
    </w:p>
    <w:p>
      <w:pPr>
        <w:pStyle w:val="Normal"/>
        <w:tabs>
          <w:tab w:val="clear" w:pos="709"/>
          <w:tab w:val="left" w:pos="284" w:leader="none"/>
        </w:tabs>
        <w:jc w:val="both"/>
        <w:rPr>
          <w:rFonts w:ascii="Arial" w:hAnsi="Arial" w:cs="Arial"/>
          <w:b/>
          <w:bCs/>
        </w:rPr>
      </w:pPr>
      <w:r>
        <w:rPr>
          <w:rFonts w:cs="Arial" w:ascii="Arial" w:hAnsi="Arial"/>
          <w:b/>
          <w:bCs/>
          <w:color w:val="000000"/>
        </w:rPr>
        <w:t xml:space="preserve">1. </w:t>
      </w:r>
      <w:r>
        <w:rPr>
          <w:rFonts w:cs="Arial" w:ascii="Arial" w:hAnsi="Arial"/>
          <w:color w:val="000000"/>
        </w:rPr>
        <w:t>Inscrição no Cadastro Nacional de Pessoa Jurídica (CNPJ), do Ministério da Fazenda.</w:t>
      </w:r>
    </w:p>
    <w:p>
      <w:pPr>
        <w:pStyle w:val="Normal"/>
        <w:tabs>
          <w:tab w:val="clear" w:pos="709"/>
          <w:tab w:val="left" w:pos="284" w:leader="none"/>
        </w:tabs>
        <w:jc w:val="both"/>
        <w:rPr>
          <w:rFonts w:ascii="Arial" w:hAnsi="Arial" w:cs="Arial"/>
          <w:b/>
          <w:bCs/>
        </w:rPr>
      </w:pPr>
      <w:r>
        <w:rPr>
          <w:rFonts w:cs="Arial" w:ascii="Arial" w:hAnsi="Arial"/>
          <w:b/>
          <w:bCs/>
          <w:color w:val="000000"/>
        </w:rPr>
        <w:t>2.</w:t>
      </w:r>
      <w:r>
        <w:rPr>
          <w:rFonts w:cs="Arial" w:ascii="Arial" w:hAnsi="Arial"/>
          <w:color w:val="000000"/>
        </w:rPr>
        <w:t xml:space="preserve"> Certidão Conjunta Negativa de Débitos ou Positiva com Efeito de Negativa, relativa a Tributos Federais (inclusive as contribuições sociais) e à Dívida Ativa da União.</w:t>
      </w:r>
    </w:p>
    <w:p>
      <w:pPr>
        <w:pStyle w:val="Normal"/>
        <w:tabs>
          <w:tab w:val="clear" w:pos="709"/>
          <w:tab w:val="left" w:pos="284" w:leader="none"/>
        </w:tabs>
        <w:jc w:val="both"/>
        <w:rPr>
          <w:rFonts w:ascii="Arial" w:hAnsi="Arial" w:cs="Arial"/>
          <w:b/>
          <w:bCs/>
        </w:rPr>
      </w:pPr>
      <w:r>
        <w:rPr>
          <w:rFonts w:cs="Arial" w:ascii="Arial" w:hAnsi="Arial"/>
          <w:b/>
          <w:bCs/>
          <w:color w:val="000000"/>
        </w:rPr>
        <w:t>3.</w:t>
      </w:r>
      <w:r>
        <w:rPr>
          <w:rFonts w:cs="Arial" w:ascii="Arial" w:hAnsi="Arial"/>
          <w:color w:val="000000"/>
        </w:rPr>
        <w:t xml:space="preserve"> C</w:t>
      </w:r>
      <w:r>
        <w:rPr>
          <w:rFonts w:cs="Calibri" w:ascii="Arial" w:hAnsi="Arial"/>
          <w:color w:val="000000"/>
        </w:rPr>
        <w:t>ertidão Negativa de Débitos ou Positiva com Efeito de Negativa de Débitos com a Fazenda Municipal</w:t>
      </w:r>
      <w:r>
        <w:rPr>
          <w:rFonts w:cs="Arial" w:ascii="Arial" w:hAnsi="Arial"/>
          <w:color w:val="000000"/>
        </w:rPr>
        <w:t xml:space="preserve"> de débito, relativa à sede ou do domicílio do licitante, com relação aos tributos mobiliários (ISS);</w:t>
      </w:r>
    </w:p>
    <w:p>
      <w:pPr>
        <w:pStyle w:val="Normal"/>
        <w:tabs>
          <w:tab w:val="clear" w:pos="709"/>
          <w:tab w:val="left" w:pos="284" w:leader="none"/>
        </w:tabs>
        <w:jc w:val="both"/>
        <w:rPr>
          <w:rFonts w:ascii="Arial" w:hAnsi="Arial" w:cs="Arial"/>
          <w:b/>
          <w:bCs/>
        </w:rPr>
      </w:pPr>
      <w:r>
        <w:rPr>
          <w:rFonts w:cs="Arial" w:ascii="Arial" w:hAnsi="Arial"/>
          <w:b/>
          <w:bCs/>
          <w:color w:val="000000"/>
        </w:rPr>
        <w:t>4.</w:t>
      </w:r>
      <w:r>
        <w:rPr>
          <w:rFonts w:cs="Arial" w:ascii="Arial" w:hAnsi="Arial"/>
          <w:color w:val="000000"/>
        </w:rPr>
        <w:t xml:space="preserve"> Certidão de regularidade de débito para com o Fundo de Garantia por Tempo de Serviço (FGTS).</w:t>
      </w:r>
    </w:p>
    <w:p>
      <w:pPr>
        <w:pStyle w:val="Normal"/>
        <w:tabs>
          <w:tab w:val="clear" w:pos="709"/>
          <w:tab w:val="left" w:pos="284" w:leader="none"/>
        </w:tabs>
        <w:jc w:val="both"/>
        <w:rPr>
          <w:rFonts w:ascii="Arial" w:hAnsi="Arial" w:cs="Arial"/>
          <w:b/>
          <w:bCs/>
        </w:rPr>
      </w:pPr>
      <w:r>
        <w:rPr>
          <w:rFonts w:cs="Arial" w:ascii="Arial" w:hAnsi="Arial"/>
          <w:b/>
          <w:bCs/>
          <w:color w:val="000000"/>
        </w:rPr>
        <w:t>5.</w:t>
      </w:r>
      <w:r>
        <w:rPr>
          <w:rFonts w:cs="Arial" w:ascii="Arial" w:hAnsi="Arial"/>
          <w:color w:val="000000"/>
        </w:rPr>
        <w:t xml:space="preserve"> Certidão Negativa ou Positiva de Débitos Trabalhistas com Efeito de Negativa de Débitos Trabalhistas.</w:t>
      </w:r>
    </w:p>
    <w:p>
      <w:pPr>
        <w:pStyle w:val="Normal"/>
        <w:tabs>
          <w:tab w:val="clear" w:pos="709"/>
          <w:tab w:val="left" w:pos="284" w:leader="none"/>
        </w:tabs>
        <w:jc w:val="both"/>
        <w:rPr>
          <w:rFonts w:ascii="Arial" w:hAnsi="Arial" w:cs="Arial"/>
          <w:b/>
          <w:bCs/>
        </w:rPr>
      </w:pPr>
      <w:r>
        <w:rPr>
          <w:rFonts w:cs="Arial" w:ascii="Arial" w:hAnsi="Arial"/>
          <w:b/>
          <w:bCs/>
        </w:rPr>
      </w:r>
    </w:p>
    <w:p>
      <w:pPr>
        <w:pStyle w:val="Normal"/>
        <w:tabs>
          <w:tab w:val="clear" w:pos="709"/>
          <w:tab w:val="left" w:pos="284" w:leader="none"/>
        </w:tabs>
        <w:jc w:val="both"/>
        <w:rPr>
          <w:rFonts w:ascii="Arial" w:hAnsi="Arial" w:cs="Arial"/>
          <w:b/>
          <w:bCs/>
        </w:rPr>
      </w:pPr>
      <w:r>
        <w:rPr>
          <w:rFonts w:cs="Arial" w:ascii="Arial" w:hAnsi="Arial"/>
          <w:b/>
          <w:bCs/>
          <w:color w:val="000000"/>
        </w:rPr>
        <w:t xml:space="preserve">c) </w:t>
      </w:r>
      <w:r>
        <w:rPr>
          <w:rFonts w:cs="Arial" w:ascii="Arial" w:hAnsi="Arial"/>
          <w:b/>
          <w:bCs/>
        </w:rPr>
        <w:t>QUALIFICAÇÃO ECONÔMICO-FINANCEIRA</w:t>
      </w:r>
    </w:p>
    <w:p>
      <w:pPr>
        <w:pStyle w:val="Normal"/>
        <w:tabs>
          <w:tab w:val="clear" w:pos="709"/>
          <w:tab w:val="left" w:pos="284" w:leader="none"/>
        </w:tabs>
        <w:jc w:val="both"/>
        <w:rPr>
          <w:rFonts w:ascii="Arial" w:hAnsi="Arial" w:cs="Arial"/>
          <w:b/>
          <w:bCs/>
        </w:rPr>
      </w:pPr>
      <w:r>
        <w:rPr>
          <w:rFonts w:cs="Arial" w:ascii="Arial" w:hAnsi="Arial"/>
          <w:b/>
          <w:bCs/>
        </w:rPr>
        <w:t xml:space="preserve">1. </w:t>
      </w: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tabs>
          <w:tab w:val="clear" w:pos="709"/>
          <w:tab w:val="left" w:pos="284" w:leader="none"/>
        </w:tabs>
        <w:jc w:val="both"/>
        <w:rPr>
          <w:rFonts w:ascii="Arial" w:hAnsi="Arial" w:cs="Arial"/>
          <w:b/>
          <w:bCs/>
        </w:rPr>
      </w:pPr>
      <w:r>
        <w:rPr>
          <w:rFonts w:cs="Arial" w:ascii="Arial" w:hAnsi="Arial"/>
          <w:b/>
          <w:bCs/>
        </w:rPr>
        <w:t>1.1.</w:t>
      </w:r>
      <w:r>
        <w:rPr>
          <w:rFonts w:cs="Arial" w:ascii="Arial" w:hAnsi="Arial"/>
        </w:rPr>
        <w:t xml:space="preserve"> 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s>
        <w:jc w:val="both"/>
        <w:rPr>
          <w:rFonts w:ascii="Arial" w:hAnsi="Arial" w:cs="Arial"/>
          <w:b/>
          <w:bCs/>
        </w:rPr>
      </w:pPr>
      <w:r>
        <w:rPr>
          <w:rFonts w:cs="Arial" w:ascii="Arial" w:hAnsi="Arial"/>
          <w:b/>
          <w:bCs/>
        </w:rPr>
      </w:r>
    </w:p>
    <w:p>
      <w:pPr>
        <w:pStyle w:val="Normal"/>
        <w:tabs>
          <w:tab w:val="clear" w:pos="709"/>
          <w:tab w:val="left" w:pos="284" w:leader="none"/>
        </w:tabs>
        <w:jc w:val="both"/>
        <w:rPr>
          <w:rFonts w:ascii="Arial" w:hAnsi="Arial" w:cs="Arial"/>
          <w:b/>
          <w:bCs/>
        </w:rPr>
      </w:pPr>
      <w:r>
        <w:rPr>
          <w:rFonts w:cs="Arial" w:ascii="Arial" w:hAnsi="Arial"/>
          <w:b/>
          <w:bCs/>
        </w:rPr>
        <w:t>d) DOCUMENTAÇÃO COMPLEMENTAR</w:t>
      </w:r>
    </w:p>
    <w:p>
      <w:pPr>
        <w:pStyle w:val="Normal"/>
        <w:tabs>
          <w:tab w:val="clear" w:pos="709"/>
          <w:tab w:val="left" w:pos="284" w:leader="none"/>
        </w:tabs>
        <w:jc w:val="both"/>
        <w:rPr>
          <w:rFonts w:ascii="Arial" w:hAnsi="Arial" w:cs="Arial"/>
          <w:b/>
          <w:bCs/>
        </w:rPr>
      </w:pPr>
      <w:r>
        <w:rPr>
          <w:rFonts w:cs="Arial" w:ascii="Arial" w:hAnsi="Arial"/>
          <w:b/>
          <w:bCs/>
        </w:rPr>
        <w:t xml:space="preserve">1. </w:t>
      </w: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tabs>
          <w:tab w:val="clear" w:pos="709"/>
          <w:tab w:val="left" w:pos="284" w:leader="none"/>
        </w:tabs>
        <w:jc w:val="both"/>
        <w:rPr>
          <w:rFonts w:ascii="Arial" w:hAnsi="Arial" w:cs="Arial"/>
          <w:b/>
          <w:bCs/>
        </w:rPr>
      </w:pPr>
      <w:r>
        <w:rPr>
          <w:rFonts w:cs="Arial" w:ascii="Arial" w:hAnsi="Arial"/>
          <w:b/>
          <w:bCs/>
          <w:color w:val="000000"/>
        </w:rPr>
        <w:t>2.</w:t>
      </w:r>
      <w:r>
        <w:rPr>
          <w:rFonts w:cs="Arial" w:ascii="Arial" w:hAnsi="Arial"/>
          <w:color w:val="000000"/>
        </w:rPr>
        <w:t xml:space="preserve"> </w:t>
      </w: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s>
        <w:jc w:val="both"/>
        <w:rPr>
          <w:rFonts w:ascii="Arial" w:hAnsi="Arial" w:cs="Arial"/>
          <w:b/>
          <w:bCs/>
        </w:rPr>
      </w:pPr>
      <w:r>
        <w:rPr>
          <w:rFonts w:cs="Arial" w:ascii="Arial" w:hAnsi="Arial"/>
          <w:b/>
          <w:bCs/>
          <w:color w:val="000000"/>
        </w:rPr>
        <w:t>3.</w:t>
      </w:r>
      <w:r>
        <w:rPr>
          <w:rFonts w:cs="Arial" w:ascii="Arial" w:hAnsi="Arial"/>
          <w:color w:val="000000"/>
        </w:rPr>
        <w:t xml:space="preserve"> Para efeito de concessão de tratamento favorecido previsto na Lei Complementar nº 123/2006, alterada pela Lei Complementar nº 147/2014 e Decreto Municipal nº 12.437/2007</w:t>
      </w:r>
    </w:p>
    <w:p>
      <w:pPr>
        <w:pStyle w:val="Normal"/>
        <w:tabs>
          <w:tab w:val="clear" w:pos="709"/>
          <w:tab w:val="left" w:pos="284" w:leader="none"/>
        </w:tabs>
        <w:jc w:val="both"/>
        <w:rPr>
          <w:rFonts w:ascii="Arial" w:hAnsi="Arial" w:cs="Arial"/>
          <w:b/>
          <w:bCs/>
        </w:rPr>
      </w:pPr>
      <w:r>
        <w:rPr>
          <w:rFonts w:cs="Arial" w:ascii="Arial" w:hAnsi="Arial"/>
          <w:b/>
          <w:bCs/>
          <w:color w:val="000000"/>
        </w:rPr>
        <w:t>3.1</w:t>
      </w:r>
      <w:r>
        <w:rPr>
          <w:rFonts w:cs="Arial" w:ascii="Arial" w:hAnsi="Arial"/>
          <w:color w:val="000000"/>
        </w:rPr>
        <w:t xml:space="preserve"> 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tabs>
          <w:tab w:val="clear" w:pos="709"/>
          <w:tab w:val="left" w:pos="284" w:leader="none"/>
        </w:tabs>
        <w:jc w:val="both"/>
        <w:rPr>
          <w:rFonts w:ascii="Arial" w:hAnsi="Arial" w:cs="Arial"/>
          <w:b/>
          <w:bCs/>
        </w:rPr>
      </w:pPr>
      <w:r>
        <w:rPr>
          <w:rFonts w:cs="Arial" w:ascii="Arial" w:hAnsi="Arial"/>
          <w:b/>
          <w:bCs/>
          <w:color w:val="000000"/>
        </w:rPr>
        <w:t>3.2</w:t>
      </w:r>
      <w:r>
        <w:rPr>
          <w:rFonts w:cs="Arial" w:ascii="Arial" w:hAnsi="Arial"/>
          <w:color w:val="000000"/>
        </w:rPr>
        <w:t xml:space="preserve"> 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tabs>
          <w:tab w:val="clear" w:pos="709"/>
          <w:tab w:val="left" w:pos="284" w:leader="none"/>
        </w:tabs>
        <w:jc w:val="both"/>
        <w:rPr>
          <w:rFonts w:ascii="Arial" w:hAnsi="Arial" w:cs="Arial"/>
          <w:b/>
          <w:bCs/>
        </w:rPr>
      </w:pPr>
      <w:r>
        <w:rPr>
          <w:rFonts w:cs="Arial" w:ascii="Arial" w:hAnsi="Arial"/>
          <w:b/>
          <w:bCs/>
          <w:color w:val="000000"/>
        </w:rPr>
        <w:t>3.2.1</w:t>
      </w:r>
      <w:r>
        <w:rPr>
          <w:rFonts w:cs="Arial" w:ascii="Arial" w:hAnsi="Arial"/>
          <w:color w:val="000000"/>
        </w:rPr>
        <w:t xml:space="preserve"> Certidão expedida pela Junta Comercial, caso exerçam atividade comercial, com data inferior a 180 dias.</w:t>
      </w:r>
    </w:p>
    <w:p>
      <w:pPr>
        <w:pStyle w:val="Normal"/>
        <w:tabs>
          <w:tab w:val="clear" w:pos="709"/>
          <w:tab w:val="left" w:pos="284" w:leader="none"/>
        </w:tabs>
        <w:jc w:val="both"/>
        <w:rPr>
          <w:rFonts w:ascii="Arial" w:hAnsi="Arial" w:cs="Arial"/>
          <w:b/>
          <w:bCs/>
        </w:rPr>
      </w:pPr>
      <w:r>
        <w:rPr>
          <w:rFonts w:cs="Arial" w:ascii="Arial" w:hAnsi="Arial"/>
          <w:b/>
          <w:bCs/>
          <w:color w:val="000000"/>
        </w:rPr>
        <w:t>3.2.2</w:t>
      </w:r>
      <w:r>
        <w:rPr>
          <w:rFonts w:cs="Arial" w:ascii="Arial" w:hAnsi="Arial"/>
          <w:color w:val="000000"/>
        </w:rPr>
        <w:t xml:space="preserve"> Documento expedido pelo Registro Civil das Pessoas Jurídicas, caso atuem em outra área que não a comercial, com data inferior a 180 dias.</w:t>
      </w:r>
    </w:p>
    <w:p>
      <w:pPr>
        <w:pStyle w:val="Normal"/>
        <w:tabs>
          <w:tab w:val="clear" w:pos="709"/>
          <w:tab w:val="left" w:pos="284" w:leader="none"/>
        </w:tabs>
        <w:jc w:val="both"/>
        <w:rPr>
          <w:rFonts w:ascii="Arial" w:hAnsi="Arial" w:cs="Arial"/>
          <w:b/>
          <w:bCs/>
        </w:rPr>
      </w:pPr>
      <w:r>
        <w:rPr>
          <w:rFonts w:cs="Arial" w:ascii="Arial" w:hAnsi="Arial"/>
          <w:b/>
          <w:bCs/>
          <w:color w:val="000000"/>
        </w:rPr>
        <w:t>4.</w:t>
      </w:r>
      <w:r>
        <w:rPr>
          <w:rFonts w:cs="Arial" w:ascii="Arial" w:hAnsi="Arial"/>
          <w:color w:val="000000"/>
        </w:rPr>
        <w:t xml:space="preserve"> </w:t>
      </w: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s>
        <w:jc w:val="both"/>
        <w:rPr>
          <w:rFonts w:ascii="Arial" w:hAnsi="Arial" w:cs="Arial"/>
          <w:b/>
          <w:bCs/>
        </w:rPr>
      </w:pPr>
      <w:r>
        <w:rPr>
          <w:rFonts w:cs="Arial" w:ascii="Arial" w:hAnsi="Arial"/>
          <w:b/>
          <w:bCs/>
        </w:rPr>
      </w:r>
    </w:p>
    <w:p>
      <w:pPr>
        <w:pStyle w:val="Normal"/>
        <w:tabs>
          <w:tab w:val="clear" w:pos="709"/>
          <w:tab w:val="left" w:pos="284" w:leader="none"/>
        </w:tabs>
        <w:jc w:val="both"/>
        <w:rPr>
          <w:rFonts w:ascii="Arial" w:hAnsi="Arial" w:cs="Arial"/>
          <w:b/>
          <w:bCs/>
        </w:rPr>
      </w:pPr>
      <w:r>
        <w:rPr>
          <w:rFonts w:cs="Arial" w:ascii="Arial" w:hAnsi="Arial"/>
          <w:b/>
          <w:bCs/>
        </w:rPr>
        <w:t>e) QUALIFICAÇÃO TÉCNICA</w:t>
      </w:r>
    </w:p>
    <w:p>
      <w:pPr>
        <w:pStyle w:val="Normal"/>
        <w:tabs>
          <w:tab w:val="clear" w:pos="709"/>
          <w:tab w:val="left" w:pos="284" w:leader="none"/>
        </w:tabs>
        <w:jc w:val="both"/>
        <w:rPr>
          <w:rFonts w:ascii="Arial" w:hAnsi="Arial" w:cs="Arial"/>
          <w:b/>
          <w:bCs/>
        </w:rPr>
      </w:pPr>
      <w:r>
        <w:rPr>
          <w:rFonts w:eastAsia="Times New Roman" w:cs="Arial" w:ascii="Arial" w:hAnsi="Arial"/>
          <w:b/>
          <w:bCs/>
          <w:color w:val="000000"/>
          <w:kern w:val="2"/>
          <w:sz w:val="20"/>
          <w:szCs w:val="20"/>
          <w:lang w:val="pt-BR" w:eastAsia="zh-CN" w:bidi="ar-SA"/>
        </w:rPr>
        <w:t xml:space="preserve">1. </w:t>
      </w:r>
      <w:r>
        <w:rPr>
          <w:rFonts w:eastAsia="Times New Roman" w:cs="Arial" w:ascii="Arial" w:hAnsi="Arial"/>
          <w:color w:val="000000"/>
          <w:kern w:val="2"/>
          <w:sz w:val="20"/>
          <w:szCs w:val="20"/>
          <w:lang w:val="pt-BR" w:eastAsia="zh-CN" w:bidi="ar-SA"/>
        </w:rPr>
        <w:t>Apresentar Certificado de Registro da empresa licitante no Conselho Regional correspondente.</w:t>
      </w:r>
    </w:p>
    <w:p>
      <w:pPr>
        <w:pStyle w:val="Normal"/>
        <w:tabs>
          <w:tab w:val="clear" w:pos="709"/>
          <w:tab w:val="left" w:pos="284" w:leader="none"/>
        </w:tabs>
        <w:jc w:val="both"/>
        <w:rPr>
          <w:rFonts w:ascii="Arial" w:hAnsi="Arial" w:cs="Arial"/>
          <w:b/>
          <w:bCs/>
        </w:rPr>
      </w:pPr>
      <w:r>
        <w:rPr>
          <w:rFonts w:eastAsia="Times New Roman" w:cs="Arial" w:ascii="Arial" w:hAnsi="Arial"/>
          <w:b/>
          <w:bCs/>
          <w:color w:val="000000"/>
          <w:kern w:val="2"/>
          <w:sz w:val="20"/>
          <w:szCs w:val="20"/>
          <w:lang w:val="pt-BR" w:eastAsia="zh-CN" w:bidi="ar-SA"/>
        </w:rPr>
        <w:t>2.</w:t>
      </w:r>
      <w:r>
        <w:rPr>
          <w:rFonts w:eastAsia="Times New Roman" w:cs="Arial" w:ascii="Arial" w:hAnsi="Arial"/>
          <w:color w:val="000000"/>
          <w:kern w:val="2"/>
          <w:sz w:val="20"/>
          <w:szCs w:val="20"/>
          <w:lang w:val="pt-BR" w:eastAsia="zh-CN" w:bidi="ar-SA"/>
        </w:rPr>
        <w:t xml:space="preserve"> Apresentar Cadastro Nacional de Estabelecimentos de Saúde (CNES).</w:t>
      </w:r>
    </w:p>
    <w:p>
      <w:pPr>
        <w:pStyle w:val="Normal"/>
        <w:tabs>
          <w:tab w:val="clear" w:pos="709"/>
          <w:tab w:val="left" w:pos="284" w:leader="none"/>
        </w:tabs>
        <w:jc w:val="both"/>
        <w:rPr>
          <w:rFonts w:ascii="Arial" w:hAnsi="Arial" w:cs="Arial"/>
          <w:b/>
          <w:bCs/>
        </w:rPr>
      </w:pPr>
      <w:r>
        <w:rPr>
          <w:rFonts w:eastAsia="Times New Roman" w:cs="Arial" w:ascii="Arial" w:hAnsi="Arial"/>
          <w:b/>
          <w:bCs/>
          <w:color w:val="000000"/>
          <w:kern w:val="2"/>
          <w:sz w:val="20"/>
          <w:szCs w:val="20"/>
          <w:lang w:val="pt-BR" w:eastAsia="zh-CN" w:bidi="ar-SA"/>
        </w:rPr>
        <w:t xml:space="preserve">3. </w:t>
      </w:r>
      <w:r>
        <w:rPr>
          <w:rFonts w:eastAsia="Times New Roman" w:cs="Arial" w:ascii="Arial" w:hAnsi="Arial"/>
          <w:color w:val="000000"/>
          <w:kern w:val="2"/>
          <w:sz w:val="20"/>
          <w:szCs w:val="20"/>
          <w:lang w:val="pt-BR" w:eastAsia="zh-CN" w:bidi="ar-SA"/>
        </w:rPr>
        <w:t>Comprovação da capacidade profissional, número de inscrição no Conselho competente, qualificação do responsável pelo serviço especializado, com título de especialista pela sociedade respectiva ou residência reconhecida pelo MEC, juntando-se documentação comprobatória.</w:t>
      </w:r>
    </w:p>
    <w:p>
      <w:pPr>
        <w:pStyle w:val="Normal"/>
        <w:tabs>
          <w:tab w:val="clear" w:pos="709"/>
          <w:tab w:val="left" w:pos="284" w:leader="none"/>
        </w:tabs>
        <w:jc w:val="both"/>
        <w:rPr>
          <w:rFonts w:ascii="Arial" w:hAnsi="Arial" w:cs="Arial"/>
          <w:b/>
          <w:bCs/>
        </w:rPr>
      </w:pPr>
      <w:r>
        <w:rPr>
          <w:rFonts w:eastAsia="Times New Roman" w:cs="Arial" w:ascii="Arial" w:hAnsi="Arial"/>
          <w:b/>
          <w:bCs/>
          <w:color w:val="000000"/>
          <w:kern w:val="2"/>
          <w:sz w:val="20"/>
          <w:szCs w:val="20"/>
          <w:lang w:val="pt-BR" w:eastAsia="zh-CN" w:bidi="ar-SA"/>
        </w:rPr>
        <w:t>4.</w:t>
      </w:r>
      <w:r>
        <w:rPr>
          <w:rFonts w:eastAsia="Times New Roman" w:cs="Arial" w:ascii="Arial" w:hAnsi="Arial"/>
          <w:color w:val="000000"/>
          <w:kern w:val="2"/>
          <w:sz w:val="20"/>
          <w:szCs w:val="20"/>
          <w:lang w:val="pt-BR" w:eastAsia="zh-CN" w:bidi="ar-SA"/>
        </w:rPr>
        <w:t xml:space="preserve"> Comprovante de que o profissional possui habilitação para realizar as sessões pelo método Therasuit.</w:t>
      </w:r>
    </w:p>
    <w:p>
      <w:pPr>
        <w:pStyle w:val="Normal"/>
        <w:tabs>
          <w:tab w:val="clear" w:pos="709"/>
          <w:tab w:val="left" w:pos="284" w:leader="none"/>
        </w:tabs>
        <w:jc w:val="both"/>
        <w:rPr>
          <w:rFonts w:ascii="Arial" w:hAnsi="Arial" w:cs="Arial"/>
          <w:b/>
          <w:bCs/>
        </w:rPr>
      </w:pPr>
      <w:r>
        <w:rPr>
          <w:rFonts w:eastAsia="Times New Roman" w:cs="Arial" w:ascii="Arial" w:hAnsi="Arial"/>
          <w:b/>
          <w:bCs/>
          <w:color w:val="000000"/>
          <w:kern w:val="2"/>
          <w:sz w:val="20"/>
          <w:szCs w:val="20"/>
          <w:lang w:val="pt-BR" w:eastAsia="zh-CN" w:bidi="ar-SA"/>
        </w:rPr>
        <w:t>5.</w:t>
      </w:r>
      <w:r>
        <w:rPr>
          <w:rFonts w:eastAsia="Times New Roman" w:cs="Arial" w:ascii="Arial" w:hAnsi="Arial"/>
          <w:color w:val="000000"/>
          <w:kern w:val="2"/>
          <w:sz w:val="20"/>
          <w:szCs w:val="20"/>
          <w:lang w:val="pt-BR" w:eastAsia="zh-CN" w:bidi="ar-SA"/>
        </w:rPr>
        <w:t xml:space="preserve"> Indicar o responsável técnico pela execução dos serviços, com comprovação de que o responsável técnico indicado pertence ao quadro permanente da licitante, devendo ser feita com a apresentação de um dos seguintes documentos:</w:t>
      </w:r>
    </w:p>
    <w:p>
      <w:pPr>
        <w:pStyle w:val="Normal"/>
        <w:tabs>
          <w:tab w:val="clear" w:pos="709"/>
          <w:tab w:val="left" w:pos="284" w:leader="none"/>
        </w:tabs>
        <w:jc w:val="both"/>
        <w:rPr>
          <w:rFonts w:ascii="Arial" w:hAnsi="Arial" w:cs="Arial"/>
          <w:b/>
          <w:bCs/>
        </w:rPr>
      </w:pPr>
      <w:r>
        <w:rPr>
          <w:rFonts w:eastAsia="Times New Roman" w:cs="Arial" w:ascii="Arial" w:hAnsi="Arial"/>
          <w:b/>
          <w:bCs/>
          <w:color w:val="000000"/>
          <w:kern w:val="2"/>
          <w:sz w:val="20"/>
          <w:szCs w:val="20"/>
          <w:lang w:val="pt-BR" w:eastAsia="zh-CN" w:bidi="ar-SA"/>
        </w:rPr>
        <w:t>5.1</w:t>
      </w:r>
      <w:r>
        <w:rPr>
          <w:rFonts w:eastAsia="Times New Roman" w:cs="Arial" w:ascii="Arial" w:hAnsi="Arial"/>
          <w:color w:val="000000"/>
          <w:kern w:val="2"/>
          <w:sz w:val="20"/>
          <w:szCs w:val="20"/>
          <w:lang w:val="pt-BR" w:eastAsia="zh-CN" w:bidi="ar-SA"/>
        </w:rPr>
        <w:t xml:space="preserve"> Se funcionário: registro na Carteira Profissional, ficha de registro de empregado ou contrato de trabalho;</w:t>
      </w:r>
    </w:p>
    <w:p>
      <w:pPr>
        <w:pStyle w:val="Normal"/>
        <w:tabs>
          <w:tab w:val="clear" w:pos="709"/>
          <w:tab w:val="left" w:pos="284" w:leader="none"/>
        </w:tabs>
        <w:jc w:val="both"/>
        <w:rPr>
          <w:rFonts w:ascii="Arial" w:hAnsi="Arial" w:cs="Arial"/>
          <w:b/>
          <w:bCs/>
        </w:rPr>
      </w:pPr>
      <w:r>
        <w:rPr>
          <w:rFonts w:eastAsia="Times New Roman" w:cs="Arial" w:ascii="Arial" w:hAnsi="Arial"/>
          <w:b/>
          <w:bCs/>
          <w:color w:val="000000"/>
          <w:kern w:val="2"/>
          <w:sz w:val="20"/>
          <w:szCs w:val="20"/>
          <w:lang w:val="pt-BR" w:eastAsia="zh-CN" w:bidi="ar-SA"/>
        </w:rPr>
        <w:t>5.2</w:t>
      </w:r>
      <w:r>
        <w:rPr>
          <w:rFonts w:eastAsia="Times New Roman" w:cs="Arial" w:ascii="Arial" w:hAnsi="Arial"/>
          <w:color w:val="000000"/>
          <w:kern w:val="2"/>
          <w:sz w:val="20"/>
          <w:szCs w:val="20"/>
          <w:lang w:val="pt-BR" w:eastAsia="zh-CN" w:bidi="ar-SA"/>
        </w:rPr>
        <w:t xml:space="preserve"> Se Diretor: contrato social ou Certidão da Junta Comercial em vigor;</w:t>
      </w:r>
    </w:p>
    <w:p>
      <w:pPr>
        <w:pStyle w:val="Normal"/>
        <w:tabs>
          <w:tab w:val="clear" w:pos="709"/>
          <w:tab w:val="left" w:pos="284" w:leader="none"/>
        </w:tabs>
        <w:jc w:val="both"/>
        <w:rPr>
          <w:rFonts w:ascii="Arial" w:hAnsi="Arial" w:cs="Arial"/>
          <w:b/>
          <w:bCs/>
        </w:rPr>
      </w:pPr>
      <w:r>
        <w:rPr>
          <w:rFonts w:eastAsia="Times New Roman" w:cs="Arial" w:ascii="Arial" w:hAnsi="Arial"/>
          <w:b/>
          <w:bCs/>
          <w:color w:val="000000"/>
          <w:kern w:val="2"/>
          <w:sz w:val="20"/>
          <w:szCs w:val="20"/>
          <w:lang w:val="pt-BR" w:eastAsia="zh-CN" w:bidi="ar-SA"/>
        </w:rPr>
        <w:t>5.3</w:t>
      </w:r>
      <w:r>
        <w:rPr>
          <w:rFonts w:eastAsia="Times New Roman" w:cs="Arial" w:ascii="Arial" w:hAnsi="Arial"/>
          <w:color w:val="000000"/>
          <w:kern w:val="2"/>
          <w:sz w:val="20"/>
          <w:szCs w:val="20"/>
          <w:lang w:val="pt-BR" w:eastAsia="zh-CN" w:bidi="ar-SA"/>
        </w:rPr>
        <w:t xml:space="preserve"> Se profissional autônomo que preencha os requisitos e se responsabilize tecnicamente pela execução dos serviços: apresentar o contrato firmado com o profissional. </w:t>
      </w:r>
    </w:p>
    <w:p>
      <w:pPr>
        <w:pStyle w:val="Normal"/>
        <w:numPr>
          <w:ilvl w:val="0"/>
          <w:numId w:val="0"/>
        </w:numPr>
        <w:tabs>
          <w:tab w:val="clear" w:pos="709"/>
          <w:tab w:val="left" w:pos="284" w:leader="none"/>
          <w:tab w:val="left" w:pos="426" w:leader="none"/>
          <w:tab w:val="left" w:pos="567" w:leader="none"/>
        </w:tabs>
        <w:ind w:hanging="0" w:left="1080"/>
        <w:jc w:val="both"/>
        <w:rPr>
          <w:rFonts w:ascii="Arial" w:hAnsi="Arial" w:cs="Arial"/>
        </w:rPr>
      </w:pPr>
      <w:r>
        <w:rPr>
          <w:rFonts w:cs="Arial" w:ascii="Arial" w:hAnsi="Arial"/>
        </w:rPr>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ind w:firstLine="567"/>
        <w:jc w:val="both"/>
        <w:rPr>
          <w:rFonts w:ascii="Arial" w:hAnsi="Arial" w:cs="Arial"/>
        </w:rPr>
      </w:pPr>
      <w:r>
        <w:rPr>
          <w:rFonts w:cs="Arial" w:ascii="Arial" w:hAnsi="Arial"/>
        </w:rPr>
        <w:t>Piracicaba, 1</w:t>
      </w:r>
      <w:r>
        <w:rPr>
          <w:rFonts w:cs="Arial" w:ascii="Arial" w:hAnsi="Arial"/>
        </w:rPr>
        <w:t>4</w:t>
      </w:r>
      <w:r>
        <w:rPr>
          <w:rFonts w:cs="Arial" w:ascii="Arial" w:hAnsi="Arial"/>
        </w:rPr>
        <w:t xml:space="preserve"> de março de 2025.</w:t>
      </w:r>
    </w:p>
    <w:p>
      <w:pPr>
        <w:pStyle w:val="Normal"/>
        <w:ind w:firstLine="567"/>
        <w:jc w:val="both"/>
        <w:rPr>
          <w:rFonts w:ascii="Arial" w:hAnsi="Arial" w:cs="Arial"/>
        </w:rPr>
      </w:pPr>
      <w:r>
        <w:rPr>
          <w:rFonts w:cs="Arial" w:ascii="Arial" w:hAnsi="Arial"/>
        </w:rPr>
      </w:r>
    </w:p>
    <w:p>
      <w:pPr>
        <w:pStyle w:val="Normal"/>
        <w:ind w:firstLine="567"/>
        <w:jc w:val="both"/>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center"/>
        <w:rPr>
          <w:rFonts w:ascii="Arial" w:hAnsi="Arial" w:cs="Arial"/>
          <w:b/>
        </w:rPr>
      </w:pPr>
      <w:r>
        <w:rPr>
          <w:rFonts w:cs="Arial" w:ascii="Arial" w:hAnsi="Arial"/>
          <w:b/>
          <w:shd w:fill="auto" w:val="clear"/>
        </w:rPr>
        <w:t>Priscila Camargo Rodrigues Grecchi</w:t>
      </w:r>
    </w:p>
    <w:p>
      <w:pPr>
        <w:pStyle w:val="Normal"/>
        <w:jc w:val="center"/>
        <w:rPr>
          <w:highlight w:val="yellow"/>
        </w:rPr>
      </w:pPr>
      <w:r>
        <w:rPr>
          <w:rFonts w:cs="Arial" w:ascii="Arial" w:hAnsi="Arial"/>
          <w:b/>
        </w:rPr>
        <w:t>Chef</w:t>
      </w:r>
      <w:bookmarkStart w:id="0" w:name="_GoBack_Copia_1"/>
      <w:bookmarkEnd w:id="0"/>
      <w:r>
        <w:rPr>
          <w:rFonts w:cs="Arial" w:ascii="Arial" w:hAnsi="Arial"/>
          <w:b/>
        </w:rPr>
        <w:t>e de Divisão</w:t>
      </w:r>
      <w:r>
        <w:br w:type="page"/>
      </w:r>
    </w:p>
    <w:p>
      <w:pPr>
        <w:pStyle w:val="Heading2"/>
        <w:numPr>
          <w:ilvl w:val="1"/>
          <w:numId w:val="1"/>
        </w:numPr>
        <w:spacing w:before="0" w:after="0"/>
        <w:ind w:hanging="0" w:left="0"/>
        <w:rPr/>
      </w:pPr>
      <w:r>
        <w:rPr/>
        <w:t>REGULAMENTO GERAL</w:t>
      </w:r>
    </w:p>
    <w:p>
      <w:pPr>
        <w:pStyle w:val="Heading2"/>
        <w:numPr>
          <w:ilvl w:val="0"/>
          <w:numId w:val="0"/>
        </w:numPr>
        <w:tabs>
          <w:tab w:val="clear" w:pos="709"/>
          <w:tab w:val="left" w:pos="708" w:leader="none"/>
          <w:tab w:val="left" w:pos="851" w:leader="none"/>
        </w:tabs>
        <w:ind w:hanging="0" w:left="0"/>
        <w:rPr>
          <w:b w:val="false"/>
        </w:rPr>
      </w:pPr>
      <w:r>
        <w:rPr>
          <w:b w:val="false"/>
          <w:lang w:val="pt-BR"/>
        </w:rPr>
        <w:t>DISPENSA ELETRÔNICA</w:t>
      </w:r>
    </w:p>
    <w:p>
      <w:pPr>
        <w:pStyle w:val="Heading2"/>
        <w:numPr>
          <w:ilvl w:val="0"/>
          <w:numId w:val="1"/>
        </w:numPr>
        <w:tabs>
          <w:tab w:val="clear" w:pos="709"/>
          <w:tab w:val="left" w:pos="708" w:leader="none"/>
          <w:tab w:val="left" w:pos="851" w:leader="none"/>
        </w:tabs>
        <w:ind w:hanging="0" w:left="432"/>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Heading3"/>
        <w:numPr>
          <w:ilvl w:val="2"/>
          <w:numId w:val="1"/>
        </w:numPr>
        <w:tabs>
          <w:tab w:val="clear" w:pos="709"/>
        </w:tabs>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Style w:val="ListLabel191"/>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Heading9"/>
        <w:numPr>
          <w:ilvl w:val="8"/>
          <w:numId w:val="1"/>
        </w:numPr>
        <w:tabs>
          <w:tab w:val="clear" w:pos="709"/>
        </w:tabs>
        <w:ind w:firstLine="284" w:left="0" w:right="-1"/>
        <w:rPr>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Standard"/>
        <w:numPr>
          <w:ilvl w:val="0"/>
          <w:numId w:val="1"/>
        </w:numPr>
        <w:tabs>
          <w:tab w:val="clear" w:pos="709"/>
        </w:tabs>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tabs>
          <w:tab w:val="clear" w:pos="709"/>
        </w:tabs>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Heading1"/>
        <w:numPr>
          <w:ilvl w:val="0"/>
          <w:numId w:val="1"/>
        </w:numPr>
        <w:tabs>
          <w:tab w:val="clear" w:pos="709"/>
        </w:tabs>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rStyle w:val="ListLabel192"/>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1"/>
        </w:numPr>
        <w:tabs>
          <w:tab w:val="clear" w:pos="709"/>
        </w:tabs>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w:t>
      </w:r>
      <w:bookmarkStart w:id="1" w:name="_GoBack"/>
      <w:r>
        <w:rPr>
          <w:rFonts w:cs="Arial" w:ascii="Arial" w:hAnsi="Arial"/>
        </w:rPr>
        <w:t>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bookmarkEnd w:id="1"/>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tabs>
          <w:tab w:val="clear" w:pos="709"/>
        </w:tabs>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tabs>
          <w:tab w:val="clear" w:pos="709"/>
        </w:tabs>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Hyperlink"/>
            <w:rFonts w:cs="Arial" w:ascii="Arial" w:hAnsi="Arial"/>
            <w:color w:val="0000FF"/>
          </w:rPr>
          <w:t>notafiscal@piracicaba.sp.gov.br</w:t>
        </w:r>
      </w:hyperlink>
      <w:r>
        <w:rPr>
          <w:rStyle w:val="Hyperlink"/>
          <w:rFonts w:cs="Arial" w:ascii="Arial" w:hAnsi="Arial"/>
          <w:color w:val="0000FF"/>
        </w:rPr>
        <w:t>.</w:t>
      </w:r>
    </w:p>
    <w:p>
      <w:pPr>
        <w:pStyle w:val="Normal"/>
        <w:ind w:hanging="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2" w:name="_Hlk114652595"/>
      <w:bookmarkStart w:id="3" w:name="_Ref114668085"/>
      <w:r>
        <w:rPr>
          <w:rFonts w:cs="Arial" w:ascii="Arial" w:hAnsi="Arial"/>
        </w:rPr>
        <w:t>Deixar de entregar a documentação exigida para o certame ou não entregar qualquer documento que tenha sido solicitado pelo/a pregoeiro/a durante o certame;</w:t>
      </w:r>
      <w:bookmarkEnd w:id="3"/>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4" w:name="_Ref114668108"/>
      <w:bookmarkStart w:id="5"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5"/>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6" w:name="_Ref114668139"/>
      <w:bookmarkStart w:id="7"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7"/>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8" w:name="_Ref114668249"/>
      <w:bookmarkStart w:id="9" w:name="_Ref114668249"/>
    </w:p>
    <w:p>
      <w:pPr>
        <w:pStyle w:val="Normal"/>
        <w:numPr>
          <w:ilvl w:val="0"/>
          <w:numId w:val="1"/>
        </w:numPr>
        <w:tabs>
          <w:tab w:val="clear" w:pos="709"/>
        </w:tabs>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9"/>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0" w:name="_Ref114668245"/>
      <w:bookmarkStart w:id="11" w:name="_Ref114668245"/>
    </w:p>
    <w:p>
      <w:pPr>
        <w:pStyle w:val="Normal"/>
        <w:numPr>
          <w:ilvl w:val="0"/>
          <w:numId w:val="1"/>
        </w:numPr>
        <w:tabs>
          <w:tab w:val="clear" w:pos="709"/>
        </w:tabs>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11"/>
      <w:r>
        <w:rPr>
          <w:rFonts w:cs="Arial" w:ascii="Arial" w:hAnsi="Arial"/>
        </w:rPr>
        <w:t>;</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2" w:name="_Ref114668247"/>
      <w:bookmarkStart w:id="13" w:name="_Ref114668247"/>
    </w:p>
    <w:p>
      <w:pPr>
        <w:pStyle w:val="Normal"/>
        <w:numPr>
          <w:ilvl w:val="0"/>
          <w:numId w:val="1"/>
        </w:numPr>
        <w:tabs>
          <w:tab w:val="clear" w:pos="709"/>
        </w:tabs>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3"/>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4" w:name="_Ref114668251"/>
      <w:bookmarkStart w:id="15" w:name="_Ref114668251"/>
    </w:p>
    <w:p>
      <w:pPr>
        <w:pStyle w:val="Normal"/>
        <w:numPr>
          <w:ilvl w:val="0"/>
          <w:numId w:val="1"/>
        </w:numPr>
        <w:tabs>
          <w:tab w:val="clear" w:pos="709"/>
        </w:tabs>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5"/>
      <w:r>
        <w:rPr>
          <w:rFonts w:cs="Arial" w:ascii="Arial" w:hAnsi="Arial"/>
        </w:rPr>
        <w:t>;</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6" w:name="_Ref114668252"/>
      <w:bookmarkStart w:id="17" w:name="_Ref114668252"/>
    </w:p>
    <w:p>
      <w:pPr>
        <w:pStyle w:val="Normal"/>
        <w:numPr>
          <w:ilvl w:val="0"/>
          <w:numId w:val="1"/>
        </w:numPr>
        <w:tabs>
          <w:tab w:val="clear" w:pos="709"/>
        </w:tabs>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ListLabel194"/>
          <w:rFonts w:cs="Arial" w:ascii="Arial" w:hAnsi="Arial"/>
        </w:rPr>
        <w:instrText xml:space="preserve"> HYPERLINK "https://www.planalto.gov.br/ccivil_03/_ato2011-2014/2013/lei/l12846.htm" \l "art5"</w:instrText>
      </w:r>
      <w:r>
        <w:rPr>
          <w:rStyle w:val="ListLabel194"/>
          <w:rFonts w:cs="Arial" w:ascii="Arial" w:hAnsi="Arial"/>
        </w:rPr>
        <w:fldChar w:fldCharType="separate"/>
      </w:r>
      <w:r>
        <w:rPr>
          <w:rStyle w:val="ListLabel194"/>
          <w:rFonts w:cs="Arial" w:ascii="Arial" w:hAnsi="Arial"/>
        </w:rPr>
        <w:t>art. 5º da Lei n.º 12.846, de 2013</w:t>
      </w:r>
      <w:r>
        <w:rPr>
          <w:rStyle w:val="ListLabel194"/>
          <w:rFonts w:cs="Arial" w:ascii="Arial" w:hAnsi="Arial"/>
        </w:rPr>
        <w:fldChar w:fldCharType="end"/>
      </w:r>
      <w:r>
        <w:rPr>
          <w:rFonts w:cs="Arial" w:ascii="Arial" w:hAnsi="Arial"/>
        </w:rPr>
        <w:t>.</w:t>
      </w:r>
      <w:bookmarkEnd w:id="2"/>
      <w:bookmarkEnd w:id="17"/>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tabs>
          <w:tab w:val="clear" w:pos="709"/>
        </w:tabs>
        <w:ind w:firstLine="284" w:left="0" w:right="-1"/>
        <w:jc w:val="both"/>
        <w:rPr>
          <w:rFonts w:ascii="Arial" w:hAnsi="Arial" w:cs="Arial"/>
          <w:b/>
        </w:rPr>
      </w:pPr>
      <w:r>
        <w:rPr>
          <w:rFonts w:cs="Arial" w:ascii="Arial" w:hAnsi="Arial"/>
          <w:b/>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Heading1"/>
        <w:numPr>
          <w:ilvl w:val="0"/>
          <w:numId w:val="0"/>
        </w:numPr>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rStyle w:val="ListLabel192"/>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firstLine="284" w:left="0"/>
        <w:jc w:val="both"/>
        <w:rPr>
          <w:rFonts w:ascii="Arial" w:hAnsi="Arial" w:cs="Arial"/>
        </w:rPr>
      </w:pPr>
      <w:r>
        <w:rPr>
          <w:rFonts w:cs="Arial" w:ascii="Arial" w:hAnsi="Arial"/>
        </w:rPr>
      </w:r>
      <w:r>
        <w:br w:type="page"/>
      </w:r>
    </w:p>
    <w:p>
      <w:pPr>
        <w:pStyle w:val="BodyTextIndent"/>
        <w:widowControl w:val="false"/>
        <w:overflowPunct w:val="tru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hanging="0"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overflowPunct w:val="tru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overflowPunct w:val="tru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47"/>
        <w:gridCol w:w="852"/>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Item</w:t>
            </w:r>
          </w:p>
        </w:tc>
        <w:tc>
          <w:tcPr>
            <w:tcW w:w="847"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Quant.</w:t>
            </w:r>
          </w:p>
        </w:tc>
        <w:tc>
          <w:tcPr>
            <w:tcW w:w="852"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BodyTextIndent"/>
        <w:widowControl w:val="false"/>
        <w:overflowPunct w:val="tru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Fonts w:cs="Arial" w:ascii="Arial" w:hAnsi="Arial"/>
        </w:rPr>
      </w:r>
      <w:bookmarkStart w:id="18" w:name="_GoBack_Copia_1_Copia_1"/>
      <w:bookmarkStart w:id="19" w:name="_GoBack_Copia_1_Copia_1"/>
      <w:bookmarkEnd w:id="19"/>
    </w:p>
    <w:sectPr>
      <w:headerReference w:type="default" r:id="rId8"/>
      <w:footerReference w:type="default" r:id="rId9"/>
      <w:type w:val="nextPage"/>
      <w:pgSz w:w="11906" w:h="16838"/>
      <w:pgMar w:left="1134" w:right="850" w:gutter="0" w:header="1146" w:top="1418" w:footer="420" w:bottom="568"/>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Arial MT">
    <w:charset w:val="00"/>
    <w:family w:val="roman"/>
    <w:pitch w:val="variable"/>
  </w:font>
  <w:font w:name="sans-serif">
    <w:altName w:val="Arial"/>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rPr>
        <w:rFonts w:cs="Arial" w:ascii="Arial" w:hAnsi="Arial"/>
        <w:color w:val="000000"/>
        <w:sz w:val="16"/>
      </w:rPr>
      <w:t xml:space="preserve">Dispensa Eletrônica nº </w:t>
    </w:r>
    <w:r>
      <w:rPr>
        <w:rFonts w:cs="Arial" w:ascii="Arial" w:hAnsi="Arial"/>
        <w:color w:val="000000"/>
        <w:sz w:val="16"/>
        <w:shd w:fill="auto" w:val="clear"/>
      </w:rPr>
      <w:t>006/</w:t>
    </w:r>
    <w:r>
      <w:rPr>
        <w:rFonts w:cs="Arial" w:ascii="Arial" w:hAnsi="Arial"/>
        <w:color w:val="000000"/>
        <w:sz w:val="16"/>
      </w:rPr>
      <w:t xml:space="preserve">2025  </w:t>
    </w:r>
    <w:r>
      <w:rPr>
        <w:rFonts w:cs="Arial" w:ascii="Arial" w:hAnsi="Arial"/>
        <w:color w:val="000000"/>
        <w:sz w:val="16"/>
      </w:rPr>
      <w:t>PR</w:t>
    </w:r>
    <w:r>
      <w:rPr>
        <w:rFonts w:cs="Arial" w:ascii="Arial" w:hAnsi="Arial"/>
        <w:color w:val="000000"/>
        <w:sz w:val="16"/>
      </w:rPr>
      <w:t xml:space="preserve">-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p>
  <w:p>
    <w:pPr>
      <w:pStyle w:val="Contedodoquadro"/>
      <w:jc w:val="center"/>
      <w:rPr>
        <w:rFonts w:ascii="Arial" w:hAnsi="Arial" w:cs="Arial"/>
        <w:b/>
        <w:sz w:val="16"/>
      </w:rPr>
    </w:pPr>
    <w:r>
      <w:rPr>
        <w:rFonts w:cs="Arial" w:ascii="Arial" w:hAnsi="Arial"/>
        <w:b/>
        <w:sz w:val="16"/>
      </w:rPr>
      <w:drawing>
        <wp:anchor behindDoc="1" distT="0" distB="0" distL="114300" distR="114300" simplePos="0" locked="0" layoutInCell="0" allowOverlap="1" relativeHeight="49">
          <wp:simplePos x="0" y="0"/>
          <wp:positionH relativeFrom="column">
            <wp:posOffset>-416560</wp:posOffset>
          </wp:positionH>
          <wp:positionV relativeFrom="paragraph">
            <wp:posOffset>21590</wp:posOffset>
          </wp:positionV>
          <wp:extent cx="7202805" cy="520065"/>
          <wp:effectExtent l="0" t="0" r="0" b="0"/>
          <wp:wrapSquare wrapText="bothSides"/>
          <wp:docPr id="3"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
                  <pic:cNvPicPr>
                    <a:picLocks noChangeAspect="1" noChangeArrowheads="1"/>
                  </pic:cNvPicPr>
                </pic:nvPicPr>
                <pic:blipFill>
                  <a:blip r:embed="rId1"/>
                  <a:stretch>
                    <a:fillRect/>
                  </a:stretch>
                </pic:blipFill>
                <pic:spPr bwMode="auto">
                  <a:xfrm>
                    <a:off x="0" y="0"/>
                    <a:ext cx="7202805" cy="520065"/>
                  </a:xfrm>
                  <a:prstGeom prst="rect">
                    <a:avLst/>
                  </a:prstGeom>
                </pic:spPr>
              </pic:pic>
            </a:graphicData>
          </a:graphic>
        </wp:anchor>
      </w:drawing>
    </w:r>
  </w:p>
  <w:p>
    <w:pPr>
      <w:pStyle w:val="Contedodoquadro"/>
      <w:ind w:hanging="3346" w:left="3346"/>
      <w:rPr>
        <w:color w:val="000000"/>
      </w:rPr>
    </w:pPr>
    <w:r>
      <w:rPr>
        <w:color w:val="00000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114300" distR="114300" simplePos="0" locked="0" layoutInCell="0" allowOverlap="1" relativeHeight="13">
          <wp:simplePos x="0" y="0"/>
          <wp:positionH relativeFrom="column">
            <wp:posOffset>-175895</wp:posOffset>
          </wp:positionH>
          <wp:positionV relativeFrom="paragraph">
            <wp:posOffset>-701040</wp:posOffset>
          </wp:positionV>
          <wp:extent cx="1470660" cy="822325"/>
          <wp:effectExtent l="0" t="0" r="0" b="0"/>
          <wp:wrapTopAndBottom/>
          <wp:docPr id="1"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mc:AlternateContent>
        <mc:Choice Requires="wps">
          <w:drawing>
            <wp:anchor behindDoc="1" distT="0" distB="0" distL="0" distR="0" simplePos="0" locked="0" layoutInCell="0" allowOverlap="1" relativeHeight="36" wp14:anchorId="2575256A">
              <wp:simplePos x="0" y="0"/>
              <wp:positionH relativeFrom="page">
                <wp:posOffset>2332990</wp:posOffset>
              </wp:positionH>
              <wp:positionV relativeFrom="page">
                <wp:posOffset>199390</wp:posOffset>
              </wp:positionV>
              <wp:extent cx="4272280" cy="715645"/>
              <wp:effectExtent l="0" t="0" r="0" b="0"/>
              <wp:wrapNone/>
              <wp:docPr id="2" name="Textbox 3"/>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b w:val="false"/>
                              <w:bCs w:val="false"/>
                              <w:color w:val="000000"/>
                              <w:sz w:val="24"/>
                              <w:szCs w:val="24"/>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5.7pt;width:336.35pt;height:56.3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b w:val="false"/>
                        <w:bCs w:val="false"/>
                        <w:color w:val="000000"/>
                        <w:sz w:val="24"/>
                        <w:szCs w:val="24"/>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4"/>
    <w:lvlOverride w:ilvl="0">
      <w:startOverride w:val="1"/>
    </w:lvlOverride>
  </w:num>
  <w:num w:numId="18">
    <w:abstractNumId w:val="4"/>
  </w:num>
  <w:num w:numId="19">
    <w:abstractNumId w:val="4"/>
  </w:num>
  <w:num w:numId="20">
    <w:abstractNumId w:val="4"/>
  </w:num>
  <w:num w:numId="21">
    <w:abstractNumId w:val="4"/>
  </w:num>
  <w:num w:numId="22">
    <w:abstractNumId w:val="4"/>
    <w:lvlOverride w:ilvl="0">
      <w:startOverride w:val="1"/>
    </w:lvlOverride>
  </w:num>
</w:numbering>
</file>

<file path=word/settings.xml><?xml version="1.0" encoding="utf-8"?>
<w:settings xmlns:w="http://schemas.openxmlformats.org/wordprocessingml/2006/main">
  <w:zoom w:percent="80"/>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Hyperlink">
    <w:name w:val="Hyperlink"/>
    <w:basedOn w:val="DefaultParagraphFont"/>
    <w:unhideWhenUsed/>
    <w:rsid w:val="00dc4724"/>
    <w:rPr>
      <w:color w:themeColor="hyperlink" w:val="0563C1"/>
      <w:u w:val="single"/>
    </w:rPr>
  </w:style>
  <w:style w:type="character" w:styleId="Fontepargpadro20" w:customStyle="1">
    <w:name w:val="Fonte parág. padrão20"/>
    <w:qFormat/>
    <w:rsid w:val="00863310"/>
    <w:rPr/>
  </w:style>
  <w:style w:type="character" w:styleId="Marcadores">
    <w:name w:val="Marcadore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itle">
    <w:name w:val="Title"/>
    <w:basedOn w:val="Ttulo21"/>
    <w:next w:val="BodyText"/>
    <w:qFormat/>
    <w:pPr/>
    <w:rPr/>
  </w:style>
  <w:style w:type="paragraph" w:styleId="Caption1">
    <w:name w:val="caption1"/>
    <w:basedOn w:val="Normal"/>
    <w:qFormat/>
    <w:pPr>
      <w:suppressLineNumbers/>
      <w:spacing w:before="120" w:after="120"/>
    </w:pPr>
    <w:rPr>
      <w:rFonts w:cs="Mangal"/>
      <w:i/>
      <w:iCs/>
      <w:sz w:val="24"/>
      <w:szCs w:val="24"/>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hanging="0"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Standard"/>
    <w:qFormat/>
    <w:rsid w:val="00374011"/>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hanging="0" w:left="283"/>
    </w:pPr>
    <w:rPr>
      <w:sz w:val="16"/>
      <w:szCs w:val="16"/>
      <w:lang w:val="x-none"/>
    </w:rPr>
  </w:style>
  <w:style w:type="paragraph" w:styleId="Standard" w:customStyle="1">
    <w:name w:val="Standard"/>
    <w:qFormat/>
    <w:rsid w:val="00374011"/>
    <w:pPr>
      <w:widowControl/>
      <w:suppressAutoHyphens w:val="true"/>
      <w:bidi w:val="0"/>
      <w:spacing w:before="0" w:after="0"/>
      <w:jc w:val="left"/>
      <w:textAlignment w:val="baseline"/>
    </w:pPr>
    <w:rPr>
      <w:rFonts w:ascii="Liberation Serif" w:hAnsi="Liberation Serif" w:eastAsia="SimSun, 宋体" w:cs="Mangal"/>
      <w:color w:val="auto"/>
      <w:kern w:val="2"/>
      <w:sz w:val="24"/>
      <w:szCs w:val="24"/>
      <w:lang w:val="pt-BR" w:eastAsia="zh-CN" w:bidi="hi-IN"/>
    </w:rPr>
  </w:style>
  <w:style w:type="paragraph" w:styleId="Citaes" w:customStyle="1">
    <w:name w:val="Citações"/>
    <w:basedOn w:val="Normal"/>
    <w:qFormat/>
    <w:pPr>
      <w:spacing w:before="0" w:after="283"/>
      <w:ind w:hanging="0"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hanging="0" w:left="1276"/>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name w:val="Table Paragraph"/>
    <w:basedOn w:val="Normal"/>
    <w:qFormat/>
    <w:pPr>
      <w:widowControl w:val="false"/>
      <w:suppressAutoHyphens w:val="false"/>
    </w:pPr>
    <w:rPr>
      <w:rFonts w:ascii="Arial MT" w:hAnsi="Arial MT" w:eastAsia="Arial MT" w:cs="Arial MT"/>
      <w:kern w:val="0"/>
      <w:sz w:val="22"/>
      <w:szCs w:val="22"/>
      <w:lang w:val="pt-PT" w:eastAsia="en-US"/>
    </w:rPr>
  </w:style>
  <w:style w:type="paragraph" w:styleId="Xl41">
    <w:name w:val="xl41"/>
    <w:basedOn w:val="Normal"/>
    <w:qFormat/>
    <w:pPr>
      <w:suppressAutoHyphens w:val="false"/>
      <w:spacing w:before="280" w:after="280"/>
    </w:pPr>
    <w:rPr>
      <w:rFonts w:eastAsia="Arial Unicode MS"/>
      <w:kern w:val="2"/>
      <w:sz w:val="24"/>
      <w:szCs w:val="24"/>
      <w:lang w:eastAsia="ar-SA"/>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935492-3D0A-43FB-89C5-93CA24E14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Application>LibreOffice/7.6.7.2$Windows_X86_64 LibreOffice_project/dd47e4b30cb7dab30588d6c79c651f218165e3c5</Application>
  <AppVersion>15.0000</AppVersion>
  <Pages>12</Pages>
  <Words>5375</Words>
  <Characters>31315</Characters>
  <CharactersWithSpaces>36449</CharactersWithSpaces>
  <Paragraphs>287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dc:description/>
  <dc:language>pt-BR</dc:language>
  <cp:lastModifiedBy/>
  <dcterms:modified xsi:type="dcterms:W3CDTF">2025-03-14T10:56:31Z</dcterms:modified>
  <cp:revision>46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