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w:t>
      </w:r>
      <w:r>
        <w:rPr>
          <w:b/>
          <w:color w:val="auto"/>
          <w:sz w:val="20"/>
          <w:szCs w:val="20"/>
          <w:shd w:fill="auto" w:val="clear"/>
          <w:lang w:val="pt-BR"/>
        </w:rPr>
        <w:t xml:space="preserve">RÔNICA nº </w:t>
      </w:r>
      <w:r>
        <w:rPr>
          <w:b/>
          <w:color w:val="000000"/>
          <w:sz w:val="20"/>
          <w:szCs w:val="20"/>
          <w:shd w:fill="auto" w:val="clear"/>
          <w:lang w:val="pt-BR"/>
        </w:rPr>
        <w:t>39</w:t>
      </w:r>
      <w:r>
        <w:rPr>
          <w:b/>
          <w:color w:val="auto"/>
          <w:sz w:val="20"/>
          <w:szCs w:val="20"/>
          <w:shd w:fill="auto" w:val="clear"/>
          <w:lang w:val="pt-BR"/>
        </w:rPr>
        <w:t>/2026</w:t>
      </w:r>
      <w:r>
        <w:rPr>
          <w:b/>
          <w:color w:val="auto"/>
          <w:sz w:val="20"/>
          <w:szCs w:val="20"/>
          <w:shd w:fill="auto" w:val="clear"/>
        </w:rPr>
        <w:t xml:space="preserve"> </w:t>
      </w:r>
    </w:p>
    <w:p>
      <w:pPr>
        <w:pStyle w:val="BodyTextIndent"/>
        <w:widowControl w:val="false"/>
        <w:overflowPunct w:val="false"/>
        <w:spacing w:lineRule="auto" w:line="240"/>
        <w:jc w:val="center"/>
        <w:rPr>
          <w:color w:val="auto"/>
          <w:sz w:val="20"/>
          <w:szCs w:val="20"/>
          <w:highlight w:val="none"/>
          <w:shd w:fill="auto" w:val="clear"/>
        </w:rPr>
      </w:pPr>
      <w:r>
        <w:rPr>
          <w:color w:val="auto"/>
          <w:sz w:val="20"/>
          <w:szCs w:val="20"/>
          <w:shd w:fill="auto" w:val="clear"/>
        </w:rPr>
      </w:r>
    </w:p>
    <w:p>
      <w:pPr>
        <w:pStyle w:val="BodyTextIndent"/>
        <w:widowControl w:val="false"/>
        <w:overflowPunct w:val="false"/>
        <w:spacing w:lineRule="auto" w:line="240"/>
        <w:jc w:val="center"/>
        <w:rPr>
          <w:highlight w:val="none"/>
          <w:shd w:fill="auto" w:val="clear"/>
        </w:rPr>
      </w:pPr>
      <w:r>
        <w:rPr>
          <w:b/>
          <w:bCs/>
          <w:color w:val="auto"/>
          <w:sz w:val="20"/>
          <w:szCs w:val="20"/>
          <w:shd w:fill="auto" w:val="clear"/>
          <w:lang w:val="pt-BR"/>
        </w:rPr>
        <w:t>TERMO DE REFERÊNCIA</w:t>
      </w:r>
    </w:p>
    <w:p>
      <w:pPr>
        <w:pStyle w:val="BodyTextIndent"/>
        <w:widowControl w:val="false"/>
        <w:overflowPunct w:val="false"/>
        <w:spacing w:lineRule="auto" w:line="240"/>
        <w:jc w:val="center"/>
        <w:rPr>
          <w:color w:val="auto"/>
          <w:sz w:val="20"/>
          <w:szCs w:val="20"/>
          <w:highlight w:val="none"/>
          <w:shd w:fill="auto" w:val="clear"/>
        </w:rPr>
      </w:pPr>
      <w:r>
        <w:rPr>
          <w:color w:val="auto"/>
          <w:sz w:val="20"/>
          <w:szCs w:val="20"/>
          <w:shd w:fill="auto" w:val="clear"/>
        </w:rPr>
      </w:r>
    </w:p>
    <w:p>
      <w:pPr>
        <w:pStyle w:val="BodyTextIndent"/>
        <w:widowControl w:val="false"/>
        <w:shd w:val="clear" w:color="auto" w:fill="DDDDDD"/>
        <w:overflowPunct w:val="false"/>
        <w:spacing w:lineRule="auto" w:line="240"/>
        <w:ind w:firstLine="567"/>
        <w:rPr>
          <w:highlight w:val="none"/>
          <w:shd w:fill="auto" w:val="clear"/>
        </w:rPr>
      </w:pPr>
      <w:r>
        <w:rPr>
          <w:b/>
          <w:color w:val="auto"/>
          <w:sz w:val="20"/>
          <w:szCs w:val="20"/>
          <w:shd w:fill="auto" w:val="clear"/>
        </w:rPr>
        <w:t>1</w:t>
      </w:r>
      <w:r>
        <w:rPr>
          <w:b/>
          <w:color w:val="auto"/>
          <w:sz w:val="20"/>
          <w:szCs w:val="20"/>
          <w:shd w:fill="auto" w:val="clear"/>
          <w:lang w:val="pt-BR"/>
        </w:rPr>
        <w:t>.</w:t>
      </w:r>
      <w:r>
        <w:rPr>
          <w:b/>
          <w:color w:val="auto"/>
          <w:sz w:val="20"/>
          <w:szCs w:val="20"/>
          <w:shd w:fill="auto" w:val="clear"/>
        </w:rPr>
        <w:t xml:space="preserve"> DO PROCESSAMENTO:</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Número do proces</w:t>
      </w:r>
      <w:r>
        <w:rPr>
          <w:color w:val="auto"/>
          <w:sz w:val="20"/>
          <w:szCs w:val="20"/>
          <w:shd w:fill="auto" w:val="clear"/>
          <w:lang w:val="pt-BR"/>
        </w:rPr>
        <w:t xml:space="preserve">so: </w:t>
      </w:r>
      <w:r>
        <w:rPr>
          <w:b/>
          <w:bCs/>
          <w:color w:val="000000"/>
          <w:sz w:val="20"/>
          <w:szCs w:val="20"/>
          <w:shd w:fill="auto" w:val="clear"/>
          <w:lang w:val="pt-BR"/>
        </w:rPr>
        <w:t>36407</w:t>
      </w:r>
      <w:r>
        <w:rPr>
          <w:b/>
          <w:bCs/>
          <w:color w:val="000000"/>
          <w:sz w:val="20"/>
          <w:szCs w:val="20"/>
          <w:shd w:fill="auto" w:val="clear"/>
          <w:lang w:val="pt-BR"/>
        </w:rPr>
        <w:t>/2026</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 xml:space="preserve">Data </w:t>
      </w:r>
      <w:r>
        <w:rPr>
          <w:color w:val="auto"/>
          <w:sz w:val="20"/>
          <w:szCs w:val="20"/>
          <w:shd w:fill="auto" w:val="clear"/>
          <w:lang w:val="pt-BR"/>
        </w:rPr>
        <w:t xml:space="preserve">limite </w:t>
      </w:r>
      <w:r>
        <w:rPr>
          <w:color w:val="auto"/>
          <w:sz w:val="20"/>
          <w:szCs w:val="20"/>
          <w:shd w:fill="auto" w:val="clear"/>
        </w:rPr>
        <w:t xml:space="preserve">de </w:t>
      </w:r>
      <w:r>
        <w:rPr>
          <w:color w:val="auto"/>
          <w:sz w:val="20"/>
          <w:szCs w:val="20"/>
          <w:shd w:fill="auto" w:val="clear"/>
          <w:lang w:val="pt-BR"/>
        </w:rPr>
        <w:t>recebimento de propostas</w:t>
      </w:r>
      <w:r>
        <w:rPr>
          <w:color w:val="auto"/>
          <w:sz w:val="20"/>
          <w:szCs w:val="20"/>
          <w:shd w:fill="auto" w:val="clear"/>
        </w:rPr>
        <w:t>:</w:t>
      </w:r>
      <w:r>
        <w:rPr>
          <w:color w:val="auto"/>
          <w:sz w:val="20"/>
          <w:szCs w:val="20"/>
          <w:shd w:fill="auto" w:val="clear"/>
          <w:lang w:val="pt-BR"/>
        </w:rPr>
        <w:t xml:space="preserve"> </w:t>
      </w:r>
      <w:r>
        <w:rPr>
          <w:color w:val="auto"/>
          <w:sz w:val="20"/>
          <w:szCs w:val="20"/>
          <w:shd w:fill="auto" w:val="clear"/>
          <w:lang w:val="pt-BR"/>
        </w:rPr>
        <w:t>12/05</w:t>
      </w:r>
      <w:r>
        <w:rPr>
          <w:color w:val="000000"/>
          <w:sz w:val="20"/>
          <w:szCs w:val="20"/>
          <w:shd w:fill="auto" w:val="clear"/>
          <w:lang w:val="pt-BR"/>
        </w:rPr>
        <w:t>/2026 - 08h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auto"/>
          <w:sz w:val="20"/>
          <w:szCs w:val="20"/>
          <w:shd w:fill="auto" w:val="clear"/>
        </w:rPr>
        <w:t>Data de início de lances:</w:t>
      </w:r>
      <w:r>
        <w:rPr>
          <w:color w:val="auto"/>
          <w:sz w:val="20"/>
          <w:szCs w:val="20"/>
          <w:shd w:fill="auto" w:val="clear"/>
          <w:lang w:val="pt-BR"/>
        </w:rPr>
        <w:t xml:space="preserve"> </w:t>
      </w:r>
      <w:r>
        <w:rPr>
          <w:color w:val="auto"/>
          <w:sz w:val="20"/>
          <w:szCs w:val="20"/>
          <w:shd w:fill="auto" w:val="clear"/>
          <w:lang w:val="pt-BR"/>
        </w:rPr>
        <w:t>12/05</w:t>
      </w:r>
      <w:r>
        <w:rPr>
          <w:color w:val="000000"/>
          <w:sz w:val="20"/>
          <w:szCs w:val="20"/>
          <w:shd w:fill="auto" w:val="clear"/>
          <w:lang w:val="pt-BR"/>
        </w:rPr>
        <w:t>/2026 - 09h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auto"/>
          <w:sz w:val="20"/>
          <w:szCs w:val="20"/>
          <w:shd w:fill="auto" w:val="clear"/>
          <w:lang w:val="pt-BR"/>
        </w:rPr>
        <w:t xml:space="preserve">Duração da etapa de lances: </w:t>
      </w:r>
      <w:r>
        <w:rPr>
          <w:b/>
          <w:color w:val="auto"/>
          <w:sz w:val="20"/>
          <w:szCs w:val="20"/>
          <w:shd w:fill="auto" w:val="clear"/>
          <w:lang w:val="pt-BR"/>
        </w:rPr>
        <w:t>06 (seis) horas</w:t>
      </w:r>
      <w:r>
        <w:rPr>
          <w:color w:val="auto"/>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pPr>
      <w:r>
        <w:rPr>
          <w:b/>
          <w:color w:val="auto"/>
          <w:sz w:val="20"/>
          <w:szCs w:val="20"/>
          <w:shd w:fill="auto" w:val="clear"/>
          <w:lang w:val="pt-BR"/>
        </w:rPr>
        <w:t xml:space="preserve">Endereço eletrônico: </w:t>
      </w:r>
      <w:hyperlink r:id="rId2">
        <w:r>
          <w:rPr>
            <w:rStyle w:val="Style"/>
            <w:b/>
            <w:color w:val="0000FF"/>
            <w:sz w:val="20"/>
            <w:szCs w:val="20"/>
            <w:u w:val="single"/>
            <w:shd w:fill="auto" w:val="clear"/>
            <w:lang w:val="pt-BR"/>
          </w:rPr>
          <w:t>https://bnccompras.com</w:t>
        </w:r>
      </w:hyperlink>
      <w:r>
        <w:rPr>
          <w:b/>
          <w:color w:val="auto"/>
          <w:sz w:val="20"/>
          <w:szCs w:val="20"/>
          <w:shd w:fill="auto" w:val="clear"/>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pPr>
      <w:r>
        <w:rPr>
          <w:rFonts w:cs="Arial" w:ascii="Arial" w:hAnsi="Arial"/>
        </w:rPr>
        <w:t xml:space="preserve">Objeto: </w:t>
      </w:r>
      <w:r>
        <w:rPr>
          <w:rFonts w:cs="Arial" w:ascii="Arial" w:hAnsi="Arial"/>
          <w:b/>
        </w:rPr>
        <w:t xml:space="preserve">Aquisição </w:t>
      </w:r>
      <w:r>
        <w:rPr>
          <w:rFonts w:cs="Arial" w:ascii="Arial" w:hAnsi="Arial"/>
          <w:b/>
          <w:shd w:fill="auto" w:val="clear"/>
        </w:rPr>
        <w:t>d</w:t>
      </w:r>
      <w:r>
        <w:rPr>
          <w:rFonts w:cs="Arial" w:ascii="Arial" w:hAnsi="Arial"/>
          <w:b/>
          <w:bCs/>
          <w:shd w:fill="auto" w:val="clear"/>
        </w:rPr>
        <w:t xml:space="preserve">e </w:t>
      </w:r>
      <w:r>
        <w:rPr>
          <w:rFonts w:cs="Arial" w:ascii="Arial" w:hAnsi="Arial"/>
          <w:b/>
          <w:bCs/>
          <w:shd w:fill="auto" w:val="clear"/>
        </w:rPr>
        <w:t>fogão</w:t>
      </w:r>
      <w:r>
        <w:rPr>
          <w:rFonts w:cs="Arial" w:ascii="Arial" w:hAnsi="Arial"/>
          <w:b/>
          <w:bCs/>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Unidade Requisitante: Gabinete do Prefeito</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Fonte de recursos: </w:t>
      </w:r>
      <w:r>
        <w:rPr>
          <w:rFonts w:cs="Arial" w:ascii="Arial" w:hAnsi="Arial"/>
          <w:shd w:fill="auto" w:val="clear"/>
        </w:rPr>
        <w:t>0101011000</w:t>
      </w:r>
      <w:r>
        <w:rPr>
          <w:rFonts w:cs="Arial" w:ascii="Arial" w:hAnsi="Arial"/>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R$ 1.504,33 (mil quinhentos e quatro reais e trinta e três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w:t>
      </w:r>
      <w:r>
        <w:rPr>
          <w:rFonts w:cs="Arial" w:ascii="Arial" w:hAnsi="Arial"/>
          <w:shd w:fill="auto" w:val="clear"/>
        </w:rPr>
        <w:t xml:space="preserve"> Inciso II</w:t>
      </w:r>
      <w:r>
        <w:rPr>
          <w:rFonts w:cs="Arial" w:ascii="Arial" w:hAnsi="Arial"/>
          <w:shd w:fill="auto" w:val="clear"/>
        </w:rPr>
        <w:t xml:space="preserve">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15"/>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3"/>
        </w:numPr>
        <w:tabs>
          <w:tab w:val="clear" w:pos="709"/>
          <w:tab w:val="left" w:pos="284" w:leader="none"/>
        </w:tabs>
        <w:jc w:val="both"/>
        <w:rPr>
          <w:rFonts w:ascii="Arial" w:hAnsi="Arial" w:cs="Arial"/>
          <w:b/>
          <w:u w:val="single"/>
        </w:rPr>
      </w:pPr>
      <w:r>
        <w:rPr>
          <w:rFonts w:cs="Arial" w:ascii="Arial" w:hAnsi="Arial"/>
        </w:rPr>
        <w:t>Prazo de Pagamento: 15 (quinze) dias úteis, conta</w:t>
      </w:r>
      <w:r>
        <w:rPr>
          <w:rFonts w:cs="Arial" w:ascii="Arial" w:hAnsi="Arial"/>
          <w:shd w:fill="auto" w:val="clear"/>
        </w:rPr>
        <w:t>dos da data do recebimento da nota fiscal, em atendimento ao Decreto Municipal Nº 17.640/18.</w:t>
      </w:r>
    </w:p>
    <w:p>
      <w:pPr>
        <w:pStyle w:val="ListParagraph"/>
        <w:numPr>
          <w:ilvl w:val="0"/>
          <w:numId w:val="3"/>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w:t>
      </w:r>
      <w:r>
        <w:rPr>
          <w:rFonts w:cs="Arial" w:ascii="Arial" w:hAnsi="Arial"/>
          <w:sz w:val="20"/>
          <w:szCs w:val="20"/>
        </w:rPr>
        <w:t>rodutos ofertados.</w:t>
      </w:r>
    </w:p>
    <w:p>
      <w:pPr>
        <w:pStyle w:val="ListParagraph"/>
        <w:numPr>
          <w:ilvl w:val="0"/>
          <w:numId w:val="3"/>
        </w:numPr>
        <w:tabs>
          <w:tab w:val="clear" w:pos="709"/>
          <w:tab w:val="left" w:pos="284" w:leader="none"/>
        </w:tabs>
        <w:spacing w:lineRule="auto" w:line="240" w:before="0" w:after="0"/>
        <w:jc w:val="both"/>
        <w:rPr>
          <w:rFonts w:ascii="Arial" w:hAnsi="Arial" w:cs="Arial"/>
          <w:sz w:val="20"/>
          <w:szCs w:val="20"/>
        </w:rPr>
      </w:pPr>
      <w:r>
        <w:rPr>
          <w:rFonts w:cs="Arial" w:ascii="Arial" w:hAnsi="Arial"/>
          <w:sz w:val="20"/>
          <w:szCs w:val="20"/>
        </w:rPr>
        <w:t xml:space="preserve">Critério de Julgamento: Menor valor por item. </w:t>
      </w:r>
    </w:p>
    <w:p>
      <w:pPr>
        <w:pStyle w:val="Normal"/>
        <w:numPr>
          <w:ilvl w:val="0"/>
          <w:numId w:val="3"/>
        </w:numPr>
        <w:tabs>
          <w:tab w:val="clear" w:pos="709"/>
          <w:tab w:val="left" w:pos="284" w:leader="none"/>
        </w:tabs>
        <w:jc w:val="both"/>
        <w:rPr>
          <w:rFonts w:ascii="Arial" w:hAnsi="Arial" w:eastAsia="Arial" w:cs="Arial"/>
        </w:rPr>
      </w:pPr>
      <w:r>
        <w:rPr>
          <w:rFonts w:cs="Arial" w:ascii="Arial" w:hAnsi="Arial"/>
        </w:rPr>
        <w:t>Especificações e</w:t>
      </w:r>
      <w:r>
        <w:rPr>
          <w:rFonts w:cs="Arial" w:ascii="Arial" w:hAnsi="Arial"/>
          <w:shd w:fill="auto" w:val="clear"/>
        </w:rPr>
        <w:t xml:space="preserv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70"/>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02</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70"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Fogão, novo e sem uso anterior, de piso 4 bocas, acendimento automático; forno com revestimento totalmente liso e esmaltado; luz no forno; vidro interno do forno vedado; tensão: bivolt; dimensões aproximadas: altura: 90 cm x largura: 50 cm x profundidade: 62 cm.</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3"/>
        </w:numPr>
        <w:tabs>
          <w:tab w:val="clear" w:pos="709"/>
          <w:tab w:val="left" w:pos="284" w:leader="none"/>
        </w:tabs>
        <w:ind w:hanging="0" w:left="0"/>
        <w:jc w:val="both"/>
        <w:rPr>
          <w:highlight w:val="none"/>
          <w:shd w:fill="auto" w:val="clear"/>
        </w:rPr>
      </w:pPr>
      <w:r>
        <w:rPr>
          <w:rFonts w:cs="Arial" w:ascii="Arial" w:hAnsi="Arial"/>
          <w:color w:val="000000"/>
          <w:shd w:fill="auto" w:val="clear"/>
        </w:rPr>
        <w:t xml:space="preserve">Descritivo técnico: </w:t>
      </w:r>
      <w:r>
        <w:rPr>
          <w:rFonts w:eastAsia="Arial" w:cs="Arial" w:ascii="Arial" w:hAnsi="Arial"/>
          <w:b/>
          <w:color w:val="000000"/>
          <w:shd w:fill="auto" w:val="clear"/>
        </w:rPr>
        <w:t xml:space="preserve">Item 1: </w:t>
      </w:r>
      <w:r>
        <w:rPr>
          <w:rFonts w:eastAsia="Arial" w:cs="Arial" w:ascii="Arial" w:hAnsi="Arial"/>
          <w:b/>
          <w:bCs/>
          <w:i w:val="false"/>
          <w:caps w:val="false"/>
          <w:smallCaps w:val="false"/>
          <w:color w:val="000000"/>
          <w:spacing w:val="0"/>
          <w:shd w:fill="auto" w:val="clear"/>
        </w:rPr>
        <w:t>FOGÃO DOMÉSTICO</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Produto novo, sem uso anterior;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Quantidade de bocas: 04;</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Acendimento automático total;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Material: Aço Inoxidável;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Forno: integrado com capacidade mínima de 50 litros;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Revestimento interno do forno: liso e esmaltado;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Luz interna no forno;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Porta com vidro interno vedado;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Tensão: bivolt;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Dimensões aproximadas: altura 90 cm, largura 50 cm, profundidade 62 cm, admitida variação compatível de fabricação; </w:t>
      </w:r>
    </w:p>
    <w:p>
      <w:pPr>
        <w:pStyle w:val="Normal"/>
        <w:numPr>
          <w:ilvl w:val="0"/>
          <w:numId w:val="0"/>
        </w:numPr>
        <w:tabs>
          <w:tab w:val="clear" w:pos="709"/>
          <w:tab w:val="left" w:pos="284" w:leader="none"/>
        </w:tabs>
        <w:ind w:hanging="0" w:left="0"/>
        <w:jc w:val="both"/>
        <w:rPr>
          <w:rFonts w:ascii="Arial" w:hAnsi="Arial" w:eastAsia="Arial" w:cs="Arial"/>
          <w:b w:val="false"/>
          <w:bCs w:val="false"/>
          <w:i w:val="false"/>
          <w:caps w:val="false"/>
          <w:smallCaps w:val="false"/>
          <w:color w:val="000000"/>
          <w:spacing w:val="0"/>
          <w:highlight w:val="none"/>
          <w:shd w:fill="auto" w:val="clear"/>
        </w:rPr>
      </w:pPr>
      <w:r>
        <w:rPr>
          <w:rFonts w:eastAsia="Arial" w:cs="Arial" w:ascii="Arial" w:hAnsi="Arial"/>
          <w:b w:val="false"/>
          <w:bCs w:val="false"/>
          <w:i w:val="false"/>
          <w:caps w:val="false"/>
          <w:smallCaps w:val="false"/>
          <w:color w:val="000000"/>
          <w:spacing w:val="0"/>
          <w:shd w:fill="auto" w:val="clear"/>
        </w:rPr>
        <w:t xml:space="preserve">Garantia: mínima de 03 meses; </w:t>
      </w:r>
    </w:p>
    <w:p>
      <w:pPr>
        <w:pStyle w:val="Normal"/>
        <w:numPr>
          <w:ilvl w:val="0"/>
          <w:numId w:val="0"/>
        </w:numPr>
        <w:tabs>
          <w:tab w:val="clear" w:pos="709"/>
          <w:tab w:val="left" w:pos="284" w:leader="none"/>
        </w:tabs>
        <w:ind w:hanging="0" w:left="0"/>
        <w:jc w:val="both"/>
        <w:rPr>
          <w:rFonts w:ascii="Arial" w:hAnsi="Arial" w:eastAsia="Arial" w:cs="Arial"/>
          <w:b/>
          <w:bCs/>
          <w:i w:val="false"/>
          <w:caps w:val="false"/>
          <w:smallCaps w:val="false"/>
          <w:color w:val="000000"/>
          <w:spacing w:val="0"/>
          <w:highlight w:val="none"/>
          <w:shd w:fill="auto" w:val="clear"/>
        </w:rPr>
      </w:pPr>
      <w:r>
        <w:rPr>
          <w:rFonts w:eastAsia="Arial" w:cs="Arial" w:ascii="Arial" w:hAnsi="Arial"/>
          <w:b/>
          <w:bCs/>
          <w:i w:val="false"/>
          <w:caps w:val="false"/>
          <w:smallCaps w:val="false"/>
          <w:color w:val="000000"/>
          <w:spacing w:val="0"/>
          <w:shd w:fill="auto" w:val="clear"/>
        </w:rPr>
        <w:t xml:space="preserve">Produto em conformidade com normas vigentes e certificado pelo INMETRO. </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w:t>
      </w:r>
      <w:r>
        <w:rPr>
          <w:rFonts w:cs="Arial" w:ascii="Arial" w:hAnsi="Arial"/>
          <w:b/>
          <w:bCs/>
        </w:rPr>
        <w:t>. DA ENTREGA:</w:t>
      </w:r>
    </w:p>
    <w:p>
      <w:pPr>
        <w:pStyle w:val="Normal"/>
        <w:numPr>
          <w:ilvl w:val="0"/>
          <w:numId w:val="16"/>
        </w:numPr>
        <w:tabs>
          <w:tab w:val="clear" w:pos="709"/>
          <w:tab w:val="left" w:pos="284" w:leader="none"/>
        </w:tabs>
        <w:jc w:val="both"/>
        <w:rPr>
          <w:rFonts w:ascii="Arial" w:hAnsi="Arial" w:cs="Arial"/>
          <w:lang w:eastAsia="pt-BR"/>
        </w:rPr>
      </w:pPr>
      <w:r>
        <w:rPr>
          <w:rFonts w:cs="Arial" w:ascii="Arial" w:hAnsi="Arial"/>
          <w:lang w:eastAsia="pt-BR"/>
        </w:rPr>
        <w:t>Prazo de entrega: Até o máximo de 15 (quinze) dias úteis, a contar da data da Ordem de Fornecimento emitida pela Unidad</w:t>
      </w:r>
      <w:r>
        <w:rPr>
          <w:rFonts w:cs="Arial" w:ascii="Arial" w:hAnsi="Arial"/>
          <w:shd w:fill="auto" w:val="clear"/>
          <w:lang w:eastAsia="pt-BR"/>
        </w:rPr>
        <w:t>e Requisitante.</w:t>
      </w:r>
    </w:p>
    <w:p>
      <w:pPr>
        <w:pStyle w:val="Normal"/>
        <w:numPr>
          <w:ilvl w:val="0"/>
          <w:numId w:val="10"/>
        </w:numPr>
        <w:tabs>
          <w:tab w:val="clear" w:pos="709"/>
          <w:tab w:val="left" w:pos="284" w:leader="none"/>
        </w:tabs>
        <w:jc w:val="both"/>
        <w:rPr>
          <w:highlight w:val="none"/>
          <w:shd w:fill="auto" w:val="clear"/>
        </w:rPr>
      </w:pPr>
      <w:r>
        <w:rPr>
          <w:rFonts w:cs="Arial" w:ascii="Arial" w:hAnsi="Arial"/>
          <w:shd w:fill="auto" w:val="clear"/>
          <w:lang w:eastAsia="pt-BR"/>
        </w:rPr>
        <w:t xml:space="preserve">Local de entrega: </w:t>
      </w:r>
      <w:r>
        <w:rPr>
          <w:rFonts w:cs="Arial" w:ascii="Arial" w:hAnsi="Arial"/>
          <w:shd w:fill="auto" w:val="clear"/>
          <w:lang w:eastAsia="pt-BR"/>
        </w:rPr>
        <w:t>Gabinete do Prefeito – Prefeitura Municipal de Piracicaba</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Endereço: Rua Antônio Corrêa Barbosa nº 2233 –11º andar, Chácara Nazareth, Piracicaba/SP – CEP: 13400-900;</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Horário: 8:30 às 16:30, de Segunda a Sexta-feira.</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lang w:eastAsia="pt-BR"/>
        </w:rPr>
      </w:r>
    </w:p>
    <w:p>
      <w:pPr>
        <w:pStyle w:val="Normal"/>
        <w:shd w:val="clear" w:color="auto" w:fill="CCCCCC"/>
        <w:ind w:firstLine="567"/>
        <w:jc w:val="both"/>
        <w:rPr>
          <w:rFonts w:ascii="Arial" w:hAnsi="Arial" w:cs="Arial"/>
        </w:rPr>
      </w:pPr>
      <w:r>
        <w:rPr>
          <w:rFonts w:cs="Arial" w:ascii="Arial" w:hAnsi="Arial"/>
          <w:b/>
          <w:bCs/>
        </w:rPr>
        <w:t>6</w:t>
      </w:r>
      <w:r>
        <w:rPr>
          <w:rFonts w:cs="Arial" w:ascii="Arial" w:hAnsi="Arial"/>
          <w:b/>
          <w:bCs/>
        </w:rPr>
        <w:t>. DA GARANTIA:</w:t>
      </w:r>
    </w:p>
    <w:p>
      <w:pPr>
        <w:pStyle w:val="Normal"/>
        <w:numPr>
          <w:ilvl w:val="0"/>
          <w:numId w:val="17"/>
        </w:numPr>
        <w:tabs>
          <w:tab w:val="clear" w:pos="709"/>
          <w:tab w:val="left" w:pos="284" w:leader="none"/>
        </w:tabs>
        <w:jc w:val="both"/>
        <w:rPr>
          <w:rFonts w:ascii="Arial" w:hAnsi="Arial" w:cs="Arial"/>
        </w:rPr>
      </w:pPr>
      <w:r>
        <w:rPr>
          <w:rFonts w:cs="Arial" w:ascii="Arial" w:hAnsi="Arial"/>
          <w:lang w:eastAsia="pt-BR"/>
        </w:rPr>
        <w:t>A garantia</w:t>
      </w:r>
      <w:r>
        <w:rPr>
          <w:rFonts w:cs="Arial" w:ascii="Arial" w:hAnsi="Arial"/>
          <w:shd w:fill="auto" w:val="clear"/>
          <w:lang w:eastAsia="pt-BR"/>
        </w:rPr>
        <w:t xml:space="preserve"> </w:t>
      </w:r>
      <w:r>
        <w:rPr>
          <w:rFonts w:cs="Arial" w:ascii="Arial" w:hAnsi="Arial"/>
          <w:shd w:fill="auto" w:val="clear"/>
          <w:lang w:eastAsia="pt-BR"/>
        </w:rPr>
        <w:t xml:space="preserve">do produto deverá ser de no mínimo </w:t>
      </w:r>
      <w:r>
        <w:rPr>
          <w:rFonts w:cs="Arial" w:ascii="Arial" w:hAnsi="Arial"/>
          <w:shd w:fill="auto" w:val="clear"/>
          <w:lang w:eastAsia="pt-BR"/>
        </w:rPr>
        <w:t>03</w:t>
      </w:r>
      <w:r>
        <w:rPr>
          <w:rFonts w:cs="Arial" w:ascii="Arial" w:hAnsi="Arial"/>
          <w:shd w:fill="auto" w:val="clear"/>
          <w:lang w:eastAsia="pt-BR"/>
        </w:rPr>
        <w:t xml:space="preserve"> (</w:t>
      </w:r>
      <w:r>
        <w:rPr>
          <w:rFonts w:cs="Arial" w:ascii="Arial" w:hAnsi="Arial"/>
          <w:shd w:fill="auto" w:val="clear"/>
          <w:lang w:eastAsia="pt-BR"/>
        </w:rPr>
        <w:t>três</w:t>
      </w:r>
      <w:r>
        <w:rPr>
          <w:rFonts w:cs="Arial" w:ascii="Arial" w:hAnsi="Arial"/>
          <w:shd w:fill="auto" w:val="clear"/>
          <w:lang w:eastAsia="pt-BR"/>
        </w:rPr>
        <w:t xml:space="preserve">) meses, </w:t>
      </w:r>
      <w:r>
        <w:rPr>
          <w:rFonts w:cs="Arial" w:ascii="Arial" w:hAnsi="Arial"/>
          <w:shd w:fill="auto" w:val="clear"/>
          <w:lang w:eastAsia="pt-BR"/>
        </w:rPr>
        <w:t>contado da data de recebimento.</w:t>
      </w:r>
    </w:p>
    <w:p>
      <w:pPr>
        <w:pStyle w:val="Normal"/>
        <w:numPr>
          <w:ilvl w:val="0"/>
          <w:numId w:val="10"/>
        </w:numPr>
        <w:tabs>
          <w:tab w:val="clear" w:pos="709"/>
          <w:tab w:val="left" w:pos="284" w:leader="none"/>
        </w:tabs>
        <w:jc w:val="both"/>
        <w:rPr>
          <w:rFonts w:ascii="Arial" w:hAnsi="Arial" w:cs="Arial"/>
        </w:rPr>
      </w:pPr>
      <w:r>
        <w:rPr>
          <w:rFonts w:cs="Arial" w:ascii="Arial" w:hAnsi="Arial"/>
          <w:shd w:fill="auto" w:val="clear"/>
          <w:lang w:eastAsia="pt-BR"/>
        </w:rPr>
        <w:t>Durante a vigência da garant</w:t>
      </w:r>
      <w:r>
        <w:rPr>
          <w:rFonts w:cs="Arial" w:ascii="Arial" w:hAnsi="Arial"/>
          <w:sz w:val="20"/>
          <w:szCs w:val="20"/>
          <w:shd w:fill="auto" w:val="clear"/>
          <w:lang w:eastAsia="pt-BR"/>
        </w:rPr>
        <w:t xml:space="preserve">ia, a contratada deverá substituir, sem nenhum ônus adicional, </w:t>
      </w:r>
      <w:r>
        <w:rPr>
          <w:rFonts w:cs="Arial" w:ascii="Arial" w:hAnsi="Arial"/>
          <w:sz w:val="20"/>
          <w:szCs w:val="20"/>
          <w:shd w:fill="auto" w:val="clear"/>
          <w:lang w:eastAsia="pt-BR"/>
        </w:rPr>
        <w:t>produtos</w:t>
      </w:r>
      <w:r>
        <w:rPr>
          <w:rFonts w:cs="Arial" w:ascii="Arial" w:hAnsi="Arial"/>
          <w:sz w:val="20"/>
          <w:szCs w:val="20"/>
          <w:shd w:fill="auto" w:val="clear"/>
          <w:lang w:eastAsia="pt-BR"/>
        </w:rPr>
        <w:t xml:space="preserve"> defeituosos ou com desgaste anormal, </w:t>
      </w:r>
      <w:r>
        <w:rPr>
          <w:rFonts w:cs="Arial" w:ascii="Arial" w:hAnsi="Arial"/>
          <w:b w:val="false"/>
          <w:i w:val="false"/>
          <w:caps w:val="false"/>
          <w:smallCaps w:val="false"/>
          <w:spacing w:val="0"/>
          <w:sz w:val="20"/>
          <w:szCs w:val="20"/>
          <w:shd w:fill="auto" w:val="clear"/>
          <w:lang w:eastAsia="pt-BR"/>
        </w:rPr>
        <w:t xml:space="preserve">no prazo máximo de </w:t>
      </w:r>
      <w:r>
        <w:rPr>
          <w:rFonts w:cs="Arial" w:ascii="Arial" w:hAnsi="Arial"/>
          <w:b w:val="false"/>
          <w:i w:val="false"/>
          <w:caps w:val="false"/>
          <w:smallCaps w:val="false"/>
          <w:spacing w:val="0"/>
          <w:sz w:val="20"/>
          <w:szCs w:val="20"/>
          <w:shd w:fill="auto" w:val="clear"/>
          <w:lang w:eastAsia="pt-BR"/>
        </w:rPr>
        <w:t>15</w:t>
      </w:r>
      <w:r>
        <w:rPr>
          <w:rFonts w:cs="Arial" w:ascii="Arial" w:hAnsi="Arial"/>
          <w:b w:val="false"/>
          <w:i w:val="false"/>
          <w:caps w:val="false"/>
          <w:smallCaps w:val="false"/>
          <w:spacing w:val="0"/>
          <w:sz w:val="20"/>
          <w:szCs w:val="20"/>
          <w:shd w:fill="auto" w:val="clear"/>
          <w:lang w:eastAsia="pt-BR"/>
        </w:rPr>
        <w:t xml:space="preserve"> (</w:t>
      </w:r>
      <w:r>
        <w:rPr>
          <w:rFonts w:cs="Arial" w:ascii="Arial" w:hAnsi="Arial"/>
          <w:b w:val="false"/>
          <w:i w:val="false"/>
          <w:caps w:val="false"/>
          <w:smallCaps w:val="false"/>
          <w:spacing w:val="0"/>
          <w:sz w:val="20"/>
          <w:szCs w:val="20"/>
          <w:shd w:fill="auto" w:val="clear"/>
          <w:lang w:eastAsia="pt-BR"/>
        </w:rPr>
        <w:t>quinze)</w:t>
      </w:r>
      <w:r>
        <w:rPr>
          <w:rFonts w:cs="Arial" w:ascii="Arial" w:hAnsi="Arial"/>
          <w:b w:val="false"/>
          <w:i w:val="false"/>
          <w:caps w:val="false"/>
          <w:smallCaps w:val="false"/>
          <w:spacing w:val="0"/>
          <w:sz w:val="20"/>
          <w:szCs w:val="20"/>
          <w:shd w:fill="auto" w:val="clear"/>
          <w:lang w:eastAsia="pt-BR"/>
        </w:rPr>
        <w:t xml:space="preserve"> dias</w:t>
      </w:r>
      <w:r>
        <w:rPr>
          <w:rFonts w:cs="Arial" w:ascii="Arial" w:hAnsi="Arial"/>
          <w:b w:val="false"/>
          <w:i w:val="false"/>
          <w:caps w:val="false"/>
          <w:smallCaps w:val="false"/>
          <w:spacing w:val="0"/>
          <w:sz w:val="20"/>
          <w:szCs w:val="20"/>
          <w:shd w:fill="auto" w:val="clear"/>
          <w:lang w:eastAsia="pt-BR"/>
        </w:rPr>
        <w:t>, a contar da notificaçã</w:t>
      </w:r>
      <w:r>
        <w:rPr>
          <w:rFonts w:cs="Arial" w:ascii="Arial" w:hAnsi="Arial"/>
          <w:b w:val="false"/>
          <w:i w:val="false"/>
          <w:caps w:val="false"/>
          <w:smallCaps w:val="false"/>
          <w:spacing w:val="0"/>
          <w:sz w:val="20"/>
          <w:szCs w:val="20"/>
          <w:lang w:eastAsia="pt-BR"/>
        </w:rPr>
        <w:t>o.</w:t>
      </w:r>
      <w:r>
        <w:rPr>
          <w:rFonts w:cs="Arial" w:ascii="Arial" w:hAnsi="Arial"/>
          <w:sz w:val="20"/>
          <w:szCs w:val="20"/>
          <w:lang w:eastAsia="pt-BR"/>
        </w:rPr>
        <w:t xml:space="preserve"> </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CCCCCC"/>
        <w:ind w:firstLine="567"/>
        <w:jc w:val="both"/>
        <w:rPr>
          <w:rFonts w:ascii="Arial" w:hAnsi="Arial" w:cs="Arial"/>
        </w:rPr>
      </w:pPr>
      <w:r>
        <w:rPr>
          <w:rFonts w:cs="Arial" w:ascii="Arial" w:hAnsi="Arial"/>
          <w:b/>
          <w:bCs/>
        </w:rPr>
        <w:t>7</w:t>
      </w:r>
      <w:r>
        <w:rPr>
          <w:rFonts w:cs="Arial" w:ascii="Arial" w:hAnsi="Arial"/>
          <w:b/>
          <w:bCs/>
        </w:rPr>
        <w:t>. DA SU</w:t>
      </w:r>
      <w:r>
        <w:rPr>
          <w:rFonts w:cs="Arial" w:ascii="Arial" w:hAnsi="Arial"/>
          <w:b/>
          <w:bCs/>
        </w:rPr>
        <w:t>STENTABILIDADE</w:t>
      </w:r>
      <w:r>
        <w:rPr>
          <w:rFonts w:cs="Arial" w:ascii="Arial" w:hAnsi="Arial"/>
          <w:b/>
          <w:bCs/>
        </w:rPr>
        <w:t>:</w:t>
      </w:r>
    </w:p>
    <w:p>
      <w:pPr>
        <w:pStyle w:val="Normal"/>
        <w:numPr>
          <w:ilvl w:val="0"/>
          <w:numId w:val="18"/>
        </w:numPr>
        <w:tabs>
          <w:tab w:val="clear" w:pos="709"/>
          <w:tab w:val="left" w:pos="284" w:leader="none"/>
        </w:tabs>
        <w:jc w:val="both"/>
        <w:rPr>
          <w:rFonts w:ascii="Arial" w:hAnsi="Arial" w:cs="Arial"/>
        </w:rPr>
      </w:pPr>
      <w:r>
        <w:rPr>
          <w:rFonts w:cs="Arial" w:ascii="Arial" w:hAnsi="Arial"/>
          <w:sz w:val="20"/>
          <w:szCs w:val="20"/>
          <w:lang w:eastAsia="pt-BR"/>
        </w:rPr>
        <w:t>Além dos critérios de sustentabilidade eventualmente inseridos na descrição do objeto, devem ser atendidos os seguintes requisitos, que se baseiam no Guia Nacional de Contratações Sustentáveis:</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sz w:val="20"/>
          <w:szCs w:val="20"/>
          <w:lang w:eastAsia="pt-BR"/>
        </w:rPr>
        <w:t>1.</w:t>
      </w:r>
      <w:r>
        <w:rPr>
          <w:rFonts w:cs="Arial" w:ascii="Arial" w:hAnsi="Arial"/>
          <w:sz w:val="20"/>
          <w:szCs w:val="20"/>
          <w:lang w:eastAsia="pt-BR"/>
        </w:rPr>
        <w:t xml:space="preserve"> E</w:t>
      </w:r>
      <w:r>
        <w:rPr>
          <w:rFonts w:cs="Arial" w:ascii="Arial" w:hAnsi="Arial"/>
          <w:sz w:val="20"/>
          <w:szCs w:val="20"/>
          <w:lang w:eastAsia="pt-BR"/>
        </w:rPr>
        <w:t xml:space="preserve">ficiência energética: Preferencialmente, o produto ofertado deverá possuir classificação eficiente de consumo de energia, quando aplicável, contribuindo para a redução do consumo energético da Administração Pública. </w:t>
      </w:r>
    </w:p>
    <w:p>
      <w:pPr>
        <w:pStyle w:val="Normal"/>
        <w:numPr>
          <w:ilvl w:val="0"/>
          <w:numId w:val="0"/>
        </w:numPr>
        <w:tabs>
          <w:tab w:val="clear" w:pos="709"/>
          <w:tab w:val="left" w:pos="284" w:leader="none"/>
        </w:tabs>
        <w:ind w:hanging="0" w:left="0"/>
        <w:jc w:val="both"/>
        <w:rPr>
          <w:rFonts w:ascii="Arial" w:hAnsi="Arial" w:cs="Arial"/>
        </w:rPr>
      </w:pPr>
      <w:r>
        <w:rPr>
          <w:rFonts w:cs="Arial" w:ascii="Arial" w:hAnsi="Arial"/>
          <w:b/>
          <w:bCs/>
          <w:sz w:val="20"/>
          <w:szCs w:val="20"/>
          <w:lang w:eastAsia="pt-BR"/>
        </w:rPr>
        <w:t>2.</w:t>
      </w:r>
      <w:r>
        <w:rPr>
          <w:rFonts w:cs="Arial" w:ascii="Arial" w:hAnsi="Arial"/>
          <w:sz w:val="20"/>
          <w:szCs w:val="20"/>
          <w:lang w:eastAsia="pt-BR"/>
        </w:rPr>
        <w:t xml:space="preserve"> </w:t>
      </w:r>
      <w:r>
        <w:rPr>
          <w:rFonts w:cs="Arial" w:ascii="Arial" w:hAnsi="Arial"/>
          <w:sz w:val="20"/>
          <w:szCs w:val="20"/>
          <w:lang w:eastAsia="pt-BR"/>
        </w:rPr>
        <w:t xml:space="preserve">Materiais e durabilidade: O equipamento deverá ser fabricado com materiais resistentes e duráveis, visando maior vida útil e redução da necessidade de substituições frequentes. </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8</w:t>
      </w:r>
      <w:r>
        <w:rPr>
          <w:rFonts w:cs="Arial" w:ascii="Arial" w:hAnsi="Arial"/>
          <w:b/>
          <w:bCs/>
        </w:rPr>
        <w:t>.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9</w:t>
      </w:r>
      <w:r>
        <w:rPr>
          <w:rFonts w:cs="Arial" w:ascii="Arial" w:hAnsi="Arial"/>
          <w:b/>
          <w:bCs/>
        </w:rPr>
        <w:t>.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highlight w:val="none"/>
          <w:shd w:fill="auto" w:val="clear"/>
        </w:rPr>
      </w:pPr>
      <w:r>
        <w:rPr>
          <w:rFonts w:cs="Arial" w:ascii="Arial" w:hAnsi="Arial"/>
          <w:shd w:fill="auto" w:val="clear"/>
        </w:rPr>
      </w:r>
    </w:p>
    <w:p>
      <w:pPr>
        <w:pStyle w:val="Normal"/>
        <w:numPr>
          <w:ilvl w:val="0"/>
          <w:numId w:val="7"/>
        </w:numPr>
        <w:tabs>
          <w:tab w:val="clear" w:pos="709"/>
          <w:tab w:val="left" w:pos="284" w:leader="none"/>
        </w:tabs>
        <w:jc w:val="both"/>
        <w:rPr>
          <w:highlight w:val="none"/>
          <w:shd w:fill="auto" w:val="clear"/>
        </w:rPr>
      </w:pPr>
      <w:r>
        <w:rPr>
          <w:rFonts w:cs="Arial" w:ascii="Arial" w:hAnsi="Arial"/>
          <w:b/>
          <w:bCs/>
          <w:shd w:fill="auto" w:val="clear"/>
        </w:rPr>
        <w:t>REGULARIDADE FISCAL E TRABALHISTA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Inscrição no Cadastro Nacional de Pessoa Jurídica (CNPJ), do Ministério da Fazenda.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Conjunta Negativa de Débitos ou Positiva com Efeito de Negativa, relativa a Tributos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w:t>
      </w:r>
      <w:r>
        <w:rPr>
          <w:rFonts w:cs="Arial" w:ascii="Arial" w:hAnsi="Arial"/>
          <w:shd w:fill="auto" w:val="clear"/>
        </w:rPr>
        <w:t>ICMS</w:t>
      </w:r>
      <w:r>
        <w:rPr>
          <w:rFonts w:cs="Arial" w:ascii="Arial" w:hAnsi="Arial"/>
          <w:shd w:fill="auto" w:val="clear"/>
        </w:rPr>
        <w:t>;</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shd w:fill="auto" w:val="clear"/>
        </w:rPr>
        <w:t>Certidão Negativa ou Positiva de Débitos Trabalhistas com Efeito de Negativa de Débitos Trabal</w:t>
      </w:r>
      <w:r>
        <w:rPr>
          <w:rFonts w:cs="Arial" w:ascii="Arial" w:hAnsi="Arial"/>
          <w:color w:val="000000"/>
        </w:rPr>
        <w:t>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Certidão negativa de falência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rFonts w:cs="Arial" w:ascii="Arial" w:hAnsi="Arial"/>
        </w:rPr>
      </w:r>
    </w:p>
    <w:p>
      <w:pPr>
        <w:pStyle w:val="Normal"/>
        <w:numPr>
          <w:ilvl w:val="0"/>
          <w:numId w:val="7"/>
        </w:numPr>
        <w:tabs>
          <w:tab w:val="clear" w:pos="709"/>
          <w:tab w:val="left" w:pos="284" w:leader="none"/>
          <w:tab w:val="left" w:pos="426" w:leader="none"/>
          <w:tab w:val="left" w:pos="567" w:leader="none"/>
        </w:tabs>
        <w:jc w:val="both"/>
        <w:rPr>
          <w:rFonts w:ascii="Arial" w:hAnsi="Arial" w:cs="Arial"/>
        </w:rPr>
      </w:pPr>
      <w:r>
        <w:rPr>
          <w:rFonts w:cs="Arial" w:ascii="Arial" w:hAnsi="Arial"/>
          <w:b/>
        </w:rPr>
        <w:t>CATÁLOGOS</w:t>
      </w:r>
    </w:p>
    <w:p>
      <w:pPr>
        <w:pStyle w:val="Normal"/>
        <w:numPr>
          <w:ilvl w:val="1"/>
          <w:numId w:val="19"/>
        </w:numPr>
        <w:tabs>
          <w:tab w:val="clear" w:pos="709"/>
          <w:tab w:val="left" w:pos="284" w:leader="none"/>
          <w:tab w:val="left" w:pos="426" w:leader="none"/>
          <w:tab w:val="left" w:pos="567" w:leader="none"/>
        </w:tabs>
        <w:jc w:val="both"/>
        <w:rPr>
          <w:rFonts w:ascii="Arial" w:hAnsi="Arial" w:cs="Arial"/>
        </w:rPr>
      </w:pPr>
      <w:r>
        <w:rPr>
          <w:rFonts w:cs="Arial" w:ascii="Arial" w:hAnsi="Arial"/>
        </w:rPr>
        <w:t>Deverá(ão) ser apresentado(s) junto com a proposta, sob pena de desclassificação pelo não cumprimento:</w:t>
      </w:r>
    </w:p>
    <w:p>
      <w:pPr>
        <w:pStyle w:val="Normal"/>
        <w:numPr>
          <w:ilvl w:val="2"/>
          <w:numId w:val="7"/>
        </w:numPr>
        <w:tabs>
          <w:tab w:val="clear" w:pos="709"/>
          <w:tab w:val="left" w:pos="284" w:leader="none"/>
          <w:tab w:val="left" w:pos="426" w:leader="none"/>
          <w:tab w:val="left" w:pos="567" w:leader="none"/>
        </w:tabs>
        <w:jc w:val="both"/>
        <w:rPr>
          <w:rFonts w:ascii="Arial" w:hAnsi="Arial" w:cs="Arial"/>
        </w:rPr>
      </w:pPr>
      <w:r>
        <w:rPr>
          <w:rFonts w:cs="Arial" w:ascii="Arial" w:hAnsi="Arial"/>
        </w:rPr>
        <w:t>Catálogos técnicos contendo descritivo/folder/foto do produto ofertado o descritivo do produto ofertado, comprovando as especificações técnicas do edital, sob pena de desclassificação pelo não cumprimento.</w:t>
      </w:r>
    </w:p>
    <w:p>
      <w:pPr>
        <w:pStyle w:val="Normal"/>
        <w:tabs>
          <w:tab w:val="clear" w:pos="709"/>
          <w:tab w:val="left" w:pos="284" w:leader="none"/>
          <w:tab w:val="left" w:pos="426" w:leader="none"/>
          <w:tab w:val="left" w:pos="567" w:leader="none"/>
        </w:tabs>
        <w:jc w:val="both"/>
        <w:rPr>
          <w:rFonts w:ascii="Arial" w:hAnsi="Arial" w:cs="Arial"/>
          <w:highlight w:val="none"/>
          <w:shd w:fill="auto" w:val="clear"/>
        </w:rPr>
      </w:pPr>
      <w:r>
        <w:rPr>
          <w:rFonts w:cs="Arial" w:ascii="Arial" w:hAnsi="Arial"/>
          <w:shd w:fill="auto" w:val="clear"/>
        </w:rPr>
      </w:r>
    </w:p>
    <w:p>
      <w:pPr>
        <w:pStyle w:val="Normal"/>
        <w:ind w:firstLine="567"/>
        <w:jc w:val="both"/>
        <w:rPr>
          <w:highlight w:val="none"/>
          <w:shd w:fill="auto" w:val="clear"/>
        </w:rPr>
      </w:pPr>
      <w:r>
        <w:rPr>
          <w:rFonts w:cs="Arial" w:ascii="Arial" w:hAnsi="Arial"/>
          <w:shd w:fill="auto" w:val="clear"/>
        </w:rPr>
        <w:t xml:space="preserve">Piracicaba, </w:t>
      </w:r>
      <w:r>
        <w:rPr>
          <w:rFonts w:cs="Arial" w:ascii="Arial" w:hAnsi="Arial"/>
          <w:shd w:fill="auto" w:val="clear"/>
        </w:rPr>
        <w:t>06</w:t>
      </w:r>
      <w:r>
        <w:rPr>
          <w:rFonts w:cs="Arial" w:ascii="Arial" w:hAnsi="Arial"/>
          <w:shd w:fill="auto" w:val="clear"/>
        </w:rPr>
        <w:t xml:space="preserve"> de </w:t>
      </w:r>
      <w:r>
        <w:rPr>
          <w:rFonts w:cs="Arial" w:ascii="Arial" w:hAnsi="Arial"/>
          <w:shd w:fill="auto" w:val="clear"/>
        </w:rPr>
        <w:t>maio</w:t>
      </w:r>
      <w:r>
        <w:rPr>
          <w:rFonts w:cs="Arial" w:ascii="Arial" w:hAnsi="Arial"/>
          <w:shd w:fill="auto" w:val="clear"/>
        </w:rPr>
        <w:t xml:space="preserve"> de 2026.</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3"/>
        <w:gridCol w:w="4533"/>
        <w:gridCol w:w="1416"/>
        <w:gridCol w:w="1704"/>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63"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3"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4"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039</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 xml:space="preserve">Dispensa Eletrônica nº </w:t>
    </w:r>
    <w:r>
      <w:rPr>
        <w:rFonts w:cs="Arial" w:ascii="Arial" w:hAnsi="Arial"/>
        <w:color w:val="000000"/>
        <w:sz w:val="16"/>
      </w:rPr>
      <w:t>039</w:t>
    </w:r>
    <w:r>
      <w:rPr>
        <w:rFonts w:cs="Arial" w:ascii="Arial" w:hAnsi="Arial"/>
        <w:color w:val="000000"/>
        <w:sz w:val="16"/>
      </w:rPr>
      <w:t xml:space="preserve">/2026 – Página </w:t>
    </w:r>
    <w:r>
      <w:rPr>
        <w:rFonts w:cs="Arial" w:ascii="Arial" w:hAnsi="Arial"/>
        <w:b/>
        <w:color w:val="000000"/>
        <w:sz w:val="16"/>
      </w:rPr>
      <w:fldChar w:fldCharType="begin"/>
    </w:r>
    <w:r>
      <w:rPr>
        <w:rFonts w:cs="Arial" w:ascii="Arial" w:hAnsi="Arial"/>
        <w:b/>
        <w:color w:val="000000"/>
        <w:sz w:val="16"/>
      </w:rPr>
      <w:instrText xml:space="preserve"> PAGE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r>
      <w:rPr>
        <w:rFonts w:cs="Arial" w:ascii="Arial" w:hAnsi="Arial"/>
        <w:color w:val="000000"/>
        <w:sz w:val="16"/>
      </w:rPr>
      <w:t xml:space="preserve"> de </w:t>
    </w:r>
    <w:r>
      <w:rPr>
        <w:rFonts w:cs="Arial" w:ascii="Arial" w:hAnsi="Arial"/>
        <w:b/>
        <w:color w:val="000000"/>
        <w:sz w:val="16"/>
      </w:rPr>
      <w:fldChar w:fldCharType="begin"/>
    </w:r>
    <w:r>
      <w:rPr>
        <w:rFonts w:cs="Arial" w:ascii="Arial" w:hAnsi="Arial"/>
        <w:b/>
        <w:color w:val="000000"/>
        <w:sz w:val="16"/>
      </w:rPr>
      <w:instrText xml:space="preserve"> NUMPAGES </w:instrText>
    </w:r>
    <w:r>
      <w:rPr>
        <w:rFonts w:cs="Arial" w:ascii="Arial" w:hAnsi="Arial"/>
        <w:b/>
        <w:color w:val="000000"/>
        <w:sz w:val="16"/>
      </w:rPr>
      <w:fldChar w:fldCharType="separate"/>
    </w:r>
    <w:r>
      <w:rPr>
        <w:rFonts w:cs="Arial" w:ascii="Arial" w:hAnsi="Arial"/>
        <w:b/>
        <w:color w:val="000000"/>
        <w:sz w:val="16"/>
      </w:rPr>
      <w:t>12</w:t>
    </w:r>
    <w:r>
      <w:rPr>
        <w:rFonts w:cs="Arial" w:ascii="Arial" w:hAnsi="Arial"/>
        <w:b/>
        <w:color w:val="000000"/>
        <w:sz w:val="16"/>
      </w:rPr>
      <w:fldChar w:fldCharType="end"/>
    </w:r>
  </w:p>
  <w:p>
    <w:pPr>
      <w:pStyle w:val="Contedodoquadro"/>
      <w:jc w:val="center"/>
      <w:rPr>
        <w:rFonts w:ascii="Arial" w:hAnsi="Arial" w:cs="Arial"/>
        <w:b/>
        <w:sz w:val="16"/>
      </w:rPr>
    </w:pPr>
    <w:r>
      <w:rPr>
        <w:rFonts w:cs="Arial" w:ascii="Arial" w:hAnsi="Arial"/>
        <w:b/>
        <w:sz w:val="16"/>
      </w:rPr>
      <w:drawing>
        <wp:anchor distT="0" distB="0" distL="114300" distR="114300" simplePos="0" relativeHeight="50" behindDoc="1" locked="0" layoutInCell="0" allowOverlap="1">
          <wp:simplePos x="0" y="0"/>
          <wp:positionH relativeFrom="column">
            <wp:posOffset>144145</wp:posOffset>
          </wp:positionH>
          <wp:positionV relativeFrom="paragraph">
            <wp:posOffset>53975</wp:posOffset>
          </wp:positionV>
          <wp:extent cx="6111875" cy="511810"/>
          <wp:effectExtent l="0" t="0" r="0" b="0"/>
          <wp:wrapSquare wrapText="bothSides"/>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114300" distR="114300" simplePos="0" relativeHeight="13"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3"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distT="0" distB="0" distL="0" distR="0" simplePos="0" relativeHeight="36" behindDoc="1" locked="0" layoutInCell="0" allowOverlap="1"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4">
    <w:lvl w:ilvl="0">
      <w:start w:val="1"/>
      <w:numFmt w:val="lowerLetter"/>
      <w:lvlText w:val="%1)"/>
      <w:lvlJc w:val="left"/>
      <w:pPr>
        <w:tabs>
          <w:tab w:val="num" w:pos="0"/>
        </w:tabs>
        <w:ind w:left="0" w:hanging="0"/>
      </w:pPr>
      <w:rPr>
        <w:rFonts w:ascii="Arial" w:hAnsi="Arial"/>
        <w:b/>
        <w:bCs/>
        <w:sz w:val="20"/>
        <w:szCs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7">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8">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9">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0">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1">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2">
    <w:lvl w:ilvl="0">
      <w:start w:val="1"/>
      <w:numFmt w:val="lowerLetter"/>
      <w:lvlText w:val="%1)"/>
      <w:lvlJc w:val="left"/>
      <w:pPr>
        <w:tabs>
          <w:tab w:val="num" w:pos="0"/>
        </w:tabs>
        <w:ind w:left="0" w:hanging="0"/>
      </w:pPr>
      <w:rPr>
        <w:rFonts w:ascii="Arial" w:hAnsi="Arial" w:cs="Times New Roman"/>
        <w:b/>
        <w:sz w:val="20"/>
      </w:rPr>
    </w:lvl>
    <w:lvl w:ilvl="1">
      <w:start w:val="1"/>
      <w:numFmt w:val="decimal"/>
      <w:lvlText w:val="%2."/>
      <w:lvlJc w:val="left"/>
      <w:pPr>
        <w:tabs>
          <w:tab w:val="num" w:pos="0"/>
        </w:tabs>
        <w:ind w:left="0" w:hanging="0"/>
      </w:pPr>
      <w:rPr>
        <w:rFonts w:ascii="Arial" w:hAnsi="Arial" w:cs="Times New Roman"/>
        <w:b/>
        <w:sz w:val="20"/>
      </w:rPr>
    </w:lvl>
    <w:lvl w:ilvl="2">
      <w:start w:val="1"/>
      <w:numFmt w:val="decimal"/>
      <w:lvlText w:val="%2.%3."/>
      <w:lvlJc w:val="left"/>
      <w:pPr>
        <w:tabs>
          <w:tab w:val="num" w:pos="0"/>
        </w:tabs>
        <w:ind w:left="0" w:hanging="0"/>
      </w:pPr>
      <w:rPr>
        <w:rFonts w:ascii="Arial" w:hAnsi="Arial" w:cs="Times New Roman"/>
        <w:b/>
        <w:sz w:val="20"/>
      </w:rPr>
    </w:lvl>
    <w:lvl w:ilvl="3">
      <w:start w:val="1"/>
      <w:numFmt w:val="decimal"/>
      <w:lvlText w:val="%2.%3.%4."/>
      <w:lvlJc w:val="left"/>
      <w:pPr>
        <w:tabs>
          <w:tab w:val="num" w:pos="0"/>
        </w:tabs>
        <w:ind w:left="0" w:hanging="0"/>
      </w:pPr>
      <w:rPr>
        <w:rFonts w:ascii="Arial" w:hAnsi="Arial" w:cs="Times New Roman"/>
        <w:b/>
        <w:sz w:val="20"/>
      </w:rPr>
    </w:lvl>
    <w:lvl w:ilvl="4">
      <w:start w:val="1"/>
      <w:numFmt w:val="decimal"/>
      <w:lvlText w:val="%2.%3.%4.%5."/>
      <w:lvlJc w:val="left"/>
      <w:pPr>
        <w:tabs>
          <w:tab w:val="num" w:pos="0"/>
        </w:tabs>
        <w:ind w:left="0" w:hanging="0"/>
      </w:pPr>
      <w:rPr>
        <w:rFonts w:ascii="Arial" w:hAnsi="Arial" w:cs="Times New Roman"/>
        <w:b/>
        <w:sz w:val="20"/>
      </w:rPr>
    </w:lvl>
    <w:lvl w:ilvl="5">
      <w:start w:val="1"/>
      <w:numFmt w:val="decimal"/>
      <w:lvlText w:val="%2.%3.%4.%5.%6."/>
      <w:lvlJc w:val="left"/>
      <w:pPr>
        <w:tabs>
          <w:tab w:val="num" w:pos="0"/>
        </w:tabs>
        <w:ind w:left="0" w:hanging="0"/>
      </w:pPr>
      <w:rPr>
        <w:rFonts w:ascii="Arial" w:hAnsi="Arial" w:cs="Times New Roman"/>
        <w:b/>
        <w:sz w:val="20"/>
      </w:rPr>
    </w:lvl>
    <w:lvl w:ilvl="6">
      <w:start w:val="1"/>
      <w:numFmt w:val="decimal"/>
      <w:lvlText w:val="%2.%3.%4.%5.%6.%7."/>
      <w:lvlJc w:val="left"/>
      <w:pPr>
        <w:tabs>
          <w:tab w:val="num" w:pos="0"/>
        </w:tabs>
        <w:ind w:left="0" w:hanging="0"/>
      </w:pPr>
      <w:rPr>
        <w:rFonts w:ascii="Arial" w:hAnsi="Arial" w:cs="Times New Roman"/>
        <w:b/>
        <w:sz w:val="20"/>
      </w:rPr>
    </w:lvl>
    <w:lvl w:ilvl="7">
      <w:start w:val="1"/>
      <w:numFmt w:val="decimal"/>
      <w:lvlText w:val="%2.%3.%4.%5.%6.%7.%8."/>
      <w:lvlJc w:val="left"/>
      <w:pPr>
        <w:tabs>
          <w:tab w:val="num" w:pos="0"/>
        </w:tabs>
        <w:ind w:left="0" w:hanging="0"/>
      </w:pPr>
      <w:rPr>
        <w:rFonts w:ascii="Arial" w:hAnsi="Arial" w:cs="Times New Roman"/>
        <w:b/>
        <w:sz w:val="20"/>
      </w:rPr>
    </w:lvl>
    <w:lvl w:ilvl="8">
      <w:start w:val="1"/>
      <w:numFmt w:val="upperRoman"/>
      <w:lvlText w:val="%9."/>
      <w:lvlJc w:val="right"/>
      <w:pPr>
        <w:tabs>
          <w:tab w:val="num" w:pos="0"/>
        </w:tabs>
        <w:ind w:left="0" w:hanging="0"/>
      </w:pPr>
      <w:rPr>
        <w:rFonts w:ascii="Arial" w:hAnsi="Arial" w:cs="Times New Roman"/>
        <w:b/>
        <w:sz w:val="20"/>
      </w:rPr>
    </w:lvl>
  </w:abstractNum>
  <w:abstractNum w:abstractNumId="13">
    <w:lvl w:ilvl="0">
      <w:start w:val="1"/>
      <w:numFmt w:val="lowerLetter"/>
      <w:lvlText w:val="%1)"/>
      <w:lvlJc w:val="left"/>
      <w:pPr>
        <w:tabs>
          <w:tab w:val="num" w:pos="0"/>
        </w:tabs>
        <w:ind w:left="0" w:hanging="0"/>
      </w:pPr>
      <w:rPr>
        <w:rFonts w:ascii="Arial" w:hAnsi="Arial"/>
        <w:b/>
        <w:sz w:val="20"/>
      </w:rPr>
    </w:lvl>
    <w:lvl w:ilvl="1">
      <w:start w:val="1"/>
      <w:numFmt w:val="decimal"/>
      <w:lvlText w:val="%2."/>
      <w:lvlJc w:val="left"/>
      <w:pPr>
        <w:tabs>
          <w:tab w:val="num" w:pos="0"/>
        </w:tabs>
        <w:ind w:left="0" w:hanging="0"/>
      </w:pPr>
      <w:rPr>
        <w:rFonts w:ascii="Arial" w:hAnsi="Arial"/>
        <w:b/>
        <w:sz w:val="20"/>
      </w:rPr>
    </w:lvl>
    <w:lvl w:ilvl="2">
      <w:start w:val="1"/>
      <w:numFmt w:val="decimal"/>
      <w:lvlText w:val="%2.%3."/>
      <w:lvlJc w:val="left"/>
      <w:pPr>
        <w:tabs>
          <w:tab w:val="num" w:pos="0"/>
        </w:tabs>
        <w:ind w:left="0" w:hanging="0"/>
      </w:pPr>
      <w:rPr>
        <w:rFonts w:ascii="Arial" w:hAnsi="Arial"/>
        <w:b/>
        <w:sz w:val="20"/>
      </w:rPr>
    </w:lvl>
    <w:lvl w:ilvl="3">
      <w:start w:val="1"/>
      <w:numFmt w:val="decimal"/>
      <w:lvlText w:val="%2.%3.%4."/>
      <w:lvlJc w:val="left"/>
      <w:pPr>
        <w:tabs>
          <w:tab w:val="num" w:pos="0"/>
        </w:tabs>
        <w:ind w:left="0" w:hanging="0"/>
      </w:pPr>
      <w:rPr>
        <w:rFonts w:ascii="Arial" w:hAnsi="Arial"/>
        <w:b/>
        <w:sz w:val="20"/>
      </w:rPr>
    </w:lvl>
    <w:lvl w:ilvl="4">
      <w:start w:val="1"/>
      <w:numFmt w:val="decimal"/>
      <w:lvlText w:val="%2.%3.%4.%5."/>
      <w:lvlJc w:val="left"/>
      <w:pPr>
        <w:tabs>
          <w:tab w:val="num" w:pos="0"/>
        </w:tabs>
        <w:ind w:left="0" w:hanging="0"/>
      </w:pPr>
      <w:rPr>
        <w:rFonts w:ascii="Arial" w:hAnsi="Arial"/>
        <w:b/>
        <w:sz w:val="20"/>
      </w:rPr>
    </w:lvl>
    <w:lvl w:ilvl="5">
      <w:start w:val="1"/>
      <w:numFmt w:val="decimal"/>
      <w:lvlText w:val="%2.%3.%4.%5.%6."/>
      <w:lvlJc w:val="left"/>
      <w:pPr>
        <w:tabs>
          <w:tab w:val="num" w:pos="0"/>
        </w:tabs>
        <w:ind w:left="0" w:hanging="0"/>
      </w:pPr>
      <w:rPr>
        <w:rFonts w:ascii="Arial" w:hAnsi="Arial"/>
        <w:b/>
        <w:sz w:val="20"/>
      </w:rPr>
    </w:lvl>
    <w:lvl w:ilvl="6">
      <w:start w:val="1"/>
      <w:numFmt w:val="decimal"/>
      <w:lvlText w:val="%2.%3.%4.%5.%6.%7."/>
      <w:lvlJc w:val="left"/>
      <w:pPr>
        <w:tabs>
          <w:tab w:val="num" w:pos="0"/>
        </w:tabs>
        <w:ind w:left="0" w:hanging="0"/>
      </w:pPr>
      <w:rPr>
        <w:rFonts w:ascii="Arial" w:hAnsi="Arial"/>
        <w:b/>
        <w:sz w:val="20"/>
      </w:rPr>
    </w:lvl>
    <w:lvl w:ilvl="7">
      <w:start w:val="1"/>
      <w:numFmt w:val="decimal"/>
      <w:lvlText w:val="%2.%3.%4.%5.%6.%7.%8."/>
      <w:lvlJc w:val="left"/>
      <w:pPr>
        <w:tabs>
          <w:tab w:val="num" w:pos="0"/>
        </w:tabs>
        <w:ind w:left="0" w:hanging="0"/>
      </w:pPr>
      <w:rPr>
        <w:rFonts w:ascii="Arial" w:hAnsi="Arial"/>
        <w:b/>
        <w:sz w:val="20"/>
      </w:rPr>
    </w:lvl>
    <w:lvl w:ilvl="8">
      <w:start w:val="1"/>
      <w:numFmt w:val="upperRoman"/>
      <w:lvlText w:val="%9."/>
      <w:lvlJc w:val="right"/>
      <w:pPr>
        <w:tabs>
          <w:tab w:val="num" w:pos="0"/>
        </w:tabs>
        <w:ind w:left="0" w:hanging="0"/>
      </w:pPr>
      <w:rPr>
        <w:rFonts w:ascii="Arial" w:hAnsi="Arial"/>
        <w:b/>
        <w:sz w:val="20"/>
      </w:rPr>
    </w:lvl>
  </w:abstractNum>
  <w:abstractNum w:abstractNumId="1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3"/>
    <w:lvlOverride w:ilvl="0">
      <w:startOverride w:val="1"/>
    </w:lvlOverride>
  </w:num>
  <w:num w:numId="16">
    <w:abstractNumId w:val="10"/>
    <w:lvlOverride w:ilvl="0">
      <w:startOverride w:val="1"/>
    </w:lvlOverride>
  </w:num>
  <w:num w:numId="17">
    <w:abstractNumId w:val="10"/>
    <w:lvlOverride w:ilvl="0">
      <w:startOverride w:val="1"/>
    </w:lvlOverride>
  </w:num>
  <w:num w:numId="18">
    <w:abstractNumId w:val="10"/>
    <w:lvlOverride w:ilvl="0">
      <w:startOverride w:val="1"/>
    </w:lvlOverride>
  </w:num>
  <w:num w:numId="19">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Cabealhoerodap11">
    <w:name w:val="Cabeçalho e rodapé11"/>
    <w:basedOn w:val="Normal"/>
    <w:qFormat/>
    <w:pPr/>
    <w:rPr/>
  </w:style>
  <w:style w:type="paragraph" w:styleId="Cabealhoerodap12">
    <w:name w:val="Cabeçalho e rodapé12"/>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Application>LibreOffice/25.8.5.2$Windows_X86_64 LibreOffice_project/9c8b85f387cc00a89945a79c9e6239f32e450ac2</Application>
  <AppVersion>15.0000</AppVersion>
  <Pages>12</Pages>
  <Words>4783</Words>
  <Characters>27910</Characters>
  <CharactersWithSpaces>32461</CharactersWithSpaces>
  <Paragraphs>274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2026-05-06T11:20:13Z</dcterms:modified>
  <cp:revision>77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