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w:t>
      </w:r>
      <w:r>
        <w:rPr>
          <w:b/>
          <w:color w:val="auto"/>
          <w:sz w:val="20"/>
          <w:szCs w:val="20"/>
          <w:shd w:fill="auto" w:val="clear"/>
          <w:lang w:val="pt-BR"/>
        </w:rPr>
        <w:t xml:space="preserve">º </w:t>
      </w:r>
      <w:r>
        <w:rPr>
          <w:b/>
          <w:color w:val="000000"/>
          <w:sz w:val="20"/>
          <w:szCs w:val="20"/>
          <w:shd w:fill="auto" w:val="clear"/>
          <w:lang w:val="pt-BR"/>
        </w:rPr>
        <w:t>41</w:t>
      </w:r>
      <w:r>
        <w:rPr>
          <w:b/>
          <w:color w:val="auto"/>
          <w:sz w:val="20"/>
          <w:szCs w:val="20"/>
          <w:shd w:fill="auto" w:val="clear"/>
          <w:lang w:val="pt-BR"/>
        </w:rPr>
        <w:t>/2026</w:t>
      </w:r>
      <w:r>
        <w:rPr>
          <w:b/>
          <w:color w:val="auto"/>
          <w:sz w:val="20"/>
          <w:szCs w:val="20"/>
        </w:rPr>
        <w:t xml:space="preserve"> </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overflowPunct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shd w:val="clear" w:color="auto" w:fill="DDDDDD"/>
        <w:overflowPunct w:val="fals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proce</w:t>
      </w:r>
      <w:r>
        <w:rPr>
          <w:color w:val="auto"/>
          <w:sz w:val="20"/>
          <w:szCs w:val="20"/>
          <w:shd w:fill="auto" w:val="clear"/>
        </w:rPr>
        <w:t>s</w:t>
      </w:r>
      <w:r>
        <w:rPr>
          <w:color w:val="auto"/>
          <w:sz w:val="20"/>
          <w:szCs w:val="20"/>
          <w:shd w:fill="auto" w:val="clear"/>
          <w:lang w:val="pt-BR"/>
        </w:rPr>
        <w:t xml:space="preserve">so: </w:t>
      </w:r>
      <w:r>
        <w:rPr>
          <w:b/>
          <w:bCs/>
          <w:color w:val="000000"/>
          <w:sz w:val="20"/>
          <w:szCs w:val="20"/>
          <w:shd w:fill="auto" w:val="clear"/>
          <w:lang w:val="pt-BR"/>
        </w:rPr>
        <w:t>80.607</w:t>
      </w:r>
      <w:r>
        <w:rPr>
          <w:b/>
          <w:bCs/>
          <w:color w:val="000000"/>
          <w:sz w:val="20"/>
          <w:szCs w:val="20"/>
          <w:shd w:fill="auto" w:val="clear"/>
          <w:lang w:val="pt-BR"/>
        </w:rPr>
        <w:t>/2026</w:t>
      </w:r>
      <w:r>
        <w:rPr>
          <w:b/>
          <w:color w:val="000000"/>
          <w:sz w:val="20"/>
          <w:szCs w:val="20"/>
          <w:shd w:fill="auto" w:val="clear"/>
          <w:lang w:val="pt-BR"/>
        </w:rPr>
        <w:t xml:space="preserve">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 xml:space="preserve">Data </w:t>
      </w:r>
      <w:r>
        <w:rPr>
          <w:color w:val="auto"/>
          <w:sz w:val="20"/>
          <w:szCs w:val="20"/>
          <w:shd w:fill="auto" w:val="clear"/>
          <w:lang w:val="pt-BR"/>
        </w:rPr>
        <w:t xml:space="preserve">limite </w:t>
      </w:r>
      <w:r>
        <w:rPr>
          <w:color w:val="auto"/>
          <w:sz w:val="20"/>
          <w:szCs w:val="20"/>
          <w:shd w:fill="auto" w:val="clear"/>
        </w:rPr>
        <w:t xml:space="preserve">de </w:t>
      </w:r>
      <w:r>
        <w:rPr>
          <w:color w:val="auto"/>
          <w:sz w:val="20"/>
          <w:szCs w:val="20"/>
          <w:shd w:fill="auto" w:val="clear"/>
          <w:lang w:val="pt-BR"/>
        </w:rPr>
        <w:t>recebimento de propostas</w:t>
      </w:r>
      <w:r>
        <w:rPr>
          <w:color w:val="auto"/>
          <w:sz w:val="20"/>
          <w:szCs w:val="20"/>
          <w:shd w:fill="auto" w:val="clear"/>
        </w:rPr>
        <w:t>:</w:t>
      </w:r>
      <w:r>
        <w:rPr>
          <w:color w:val="auto"/>
          <w:sz w:val="20"/>
          <w:szCs w:val="20"/>
          <w:shd w:fill="auto" w:val="clear"/>
          <w:lang w:val="pt-BR"/>
        </w:rPr>
        <w:t xml:space="preserve"> </w:t>
      </w:r>
      <w:r>
        <w:rPr>
          <w:color w:val="auto"/>
          <w:sz w:val="20"/>
          <w:szCs w:val="20"/>
          <w:shd w:fill="auto" w:val="clear"/>
          <w:lang w:val="pt-BR"/>
        </w:rPr>
        <w:t>15/05</w:t>
      </w:r>
      <w:r>
        <w:rPr>
          <w:color w:val="000000"/>
          <w:sz w:val="20"/>
          <w:szCs w:val="20"/>
          <w:shd w:fill="auto" w:val="clear"/>
          <w:lang w:val="pt-BR"/>
        </w:rPr>
        <w:t>/2026 - 08h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Data de início de lances:</w:t>
      </w:r>
      <w:r>
        <w:rPr>
          <w:color w:val="auto"/>
          <w:sz w:val="20"/>
          <w:szCs w:val="20"/>
          <w:shd w:fill="auto" w:val="clear"/>
          <w:lang w:val="pt-BR"/>
        </w:rPr>
        <w:t xml:space="preserve"> </w:t>
      </w:r>
      <w:r>
        <w:rPr>
          <w:color w:val="auto"/>
          <w:sz w:val="20"/>
          <w:szCs w:val="20"/>
          <w:shd w:fill="auto" w:val="clear"/>
          <w:lang w:val="pt-BR"/>
        </w:rPr>
        <w:t>15/05</w:t>
      </w:r>
      <w:r>
        <w:rPr>
          <w:color w:val="000000"/>
          <w:sz w:val="20"/>
          <w:szCs w:val="20"/>
          <w:shd w:fill="auto" w:val="clear"/>
          <w:lang w:val="pt-BR"/>
        </w:rPr>
        <w:t>/2026 - 09h</w:t>
      </w:r>
    </w:p>
    <w:p>
      <w:pPr>
        <w:pStyle w:val="BodyTextIndent"/>
        <w:widowControl w:val="false"/>
        <w:numPr>
          <w:ilvl w:val="0"/>
          <w:numId w:val="3"/>
        </w:numPr>
        <w:tabs>
          <w:tab w:val="clear" w:pos="709"/>
          <w:tab w:val="left" w:pos="284" w:leader="none"/>
        </w:tabs>
        <w:spacing w:lineRule="auto" w:line="240"/>
        <w:textAlignment w:val="auto"/>
        <w:rPr>
          <w:highlight w:val="none"/>
          <w:shd w:fill="auto" w:val="clear"/>
        </w:rPr>
      </w:pPr>
      <w:r>
        <w:rPr>
          <w:color w:val="auto"/>
          <w:sz w:val="20"/>
          <w:szCs w:val="20"/>
          <w:shd w:fill="auto" w:val="clear"/>
          <w:lang w:val="pt-BR"/>
        </w:rPr>
        <w:t xml:space="preserve">Duração da etapa de lances: </w:t>
      </w:r>
      <w:r>
        <w:rPr>
          <w:b/>
          <w:color w:val="auto"/>
          <w:sz w:val="20"/>
          <w:szCs w:val="20"/>
          <w:shd w:fill="auto" w:val="clear"/>
          <w:lang w:val="pt-BR"/>
        </w:rPr>
        <w:t>06 (seis) horas</w:t>
      </w:r>
      <w:r>
        <w:rPr>
          <w:color w:val="auto"/>
          <w:sz w:val="20"/>
          <w:szCs w:val="20"/>
          <w:shd w:fill="auto" w:val="clear"/>
          <w:lang w:val="pt-BR"/>
        </w:rPr>
        <w:t>.</w:t>
      </w:r>
    </w:p>
    <w:p>
      <w:pPr>
        <w:pStyle w:val="BodyTextIndent"/>
        <w:widowControl w:val="false"/>
        <w:numPr>
          <w:ilvl w:val="0"/>
          <w:numId w:val="3"/>
        </w:numPr>
        <w:tabs>
          <w:tab w:val="clear" w:pos="709"/>
          <w:tab w:val="left" w:pos="284" w:leader="none"/>
        </w:tabs>
        <w:spacing w:lineRule="auto" w:line="240"/>
        <w:rPr/>
      </w:pPr>
      <w:r>
        <w:rPr>
          <w:b/>
          <w:color w:val="auto"/>
          <w:sz w:val="20"/>
          <w:szCs w:val="20"/>
          <w:shd w:fill="auto" w:val="clear"/>
          <w:lang w:val="pt-BR"/>
        </w:rPr>
        <w:t xml:space="preserve">Endereço eletrônico: </w:t>
      </w:r>
      <w:hyperlink r:id="rId2">
        <w:r>
          <w:rPr>
            <w:rStyle w:val="Style"/>
            <w:b/>
            <w:color w:val="0000FF"/>
            <w:sz w:val="20"/>
            <w:szCs w:val="20"/>
            <w:u w:val="single"/>
            <w:shd w:fill="auto" w:val="clear"/>
            <w:lang w:val="pt-BR"/>
          </w:rPr>
          <w:t>https://bnccompras.com</w:t>
        </w:r>
      </w:hyperlink>
      <w:r>
        <w:rPr>
          <w:b/>
          <w:color w:val="auto"/>
          <w:sz w:val="20"/>
          <w:szCs w:val="20"/>
          <w:shd w:fill="auto" w:val="clear"/>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none"/>
          <w:shd w:fill="auto" w:val="clear"/>
        </w:rPr>
      </w:pPr>
      <w:r>
        <w:rPr>
          <w:b/>
          <w:bCs/>
          <w:color w:val="auto"/>
          <w:sz w:val="20"/>
          <w:szCs w:val="20"/>
          <w:shd w:fill="auto" w:val="clear"/>
        </w:rPr>
      </w:r>
    </w:p>
    <w:p>
      <w:pPr>
        <w:pStyle w:val="Normal"/>
        <w:shd w:val="clear" w:color="auto" w:fill="DDDDDD"/>
        <w:ind w:firstLine="567"/>
        <w:jc w:val="both"/>
        <w:rPr>
          <w:highlight w:val="none"/>
          <w:shd w:fill="auto" w:val="clear"/>
        </w:rPr>
      </w:pPr>
      <w:r>
        <w:rPr>
          <w:rFonts w:cs="Arial" w:ascii="Arial" w:hAnsi="Arial"/>
          <w:b/>
          <w:bCs/>
          <w:shd w:fill="auto" w:val="clear"/>
        </w:rPr>
        <w:t>2. DO OBJETO:</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Objeto: </w:t>
      </w:r>
      <w:r>
        <w:rPr>
          <w:rFonts w:cs="Arial" w:ascii="Arial" w:hAnsi="Arial"/>
          <w:b w:val="false"/>
          <w:i w:val="false"/>
          <w:caps w:val="false"/>
          <w:smallCaps w:val="false"/>
          <w:spacing w:val="0"/>
          <w:shd w:fill="auto" w:val="clear"/>
        </w:rPr>
        <w:t>Prestação de serviços de impressões coloridas para o 53º Salão Internacional de Humor de Piracicaba.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Unidade Requisitante: </w:t>
      </w:r>
      <w:r>
        <w:rPr>
          <w:rFonts w:cs="Arial" w:ascii="Arial" w:hAnsi="Arial"/>
          <w:shd w:fill="auto" w:val="clear"/>
        </w:rPr>
        <w:t>Secretaria Municipal de Cultura – CEDHU – Centro Nacional de Doc., Pesq.e Divulg. do Humor Gráfico</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Fonte de recursos: </w:t>
      </w:r>
      <w:r>
        <w:rPr>
          <w:rFonts w:cs="Arial" w:ascii="Arial" w:hAnsi="Arial"/>
          <w:shd w:fill="auto" w:val="clear"/>
        </w:rPr>
        <w:t>0101011000</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R$ 1.421,67 (Mil, quatrocentos e vinte e um reais, e sessenta e sete centavos).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Amparo Legal: Art. 75,</w:t>
      </w:r>
      <w:r>
        <w:rPr>
          <w:rFonts w:cs="Arial" w:ascii="Arial" w:hAnsi="Arial"/>
          <w:shd w:fill="auto" w:val="clear"/>
        </w:rPr>
        <w:t xml:space="preserve"> Inciso II</w:t>
      </w:r>
      <w:r>
        <w:rPr>
          <w:rFonts w:cs="Arial" w:ascii="Arial" w:hAnsi="Arial"/>
          <w:shd w:fill="auto" w:val="clear"/>
        </w:rPr>
        <w:t xml:space="preserve"> (será aplicado o benefício da LC 123/06, conforme item 2.3.1. do Regulamento Geral).</w:t>
      </w:r>
    </w:p>
    <w:p>
      <w:pPr>
        <w:pStyle w:val="Normal"/>
        <w:tabs>
          <w:tab w:val="clear" w:pos="709"/>
          <w:tab w:val="left" w:pos="284" w:leader="none"/>
        </w:tabs>
        <w:jc w:val="both"/>
        <w:rPr>
          <w:rFonts w:ascii="Arial" w:hAnsi="Arial" w:cs="Arial"/>
          <w:highlight w:val="none"/>
          <w:shd w:fill="auto" w:val="clear"/>
        </w:rPr>
      </w:pPr>
      <w:r>
        <w:rPr>
          <w:rFonts w:cs="Arial" w:ascii="Arial" w:hAnsi="Arial"/>
          <w:shd w:fill="auto" w:val="clear"/>
        </w:rPr>
      </w:r>
    </w:p>
    <w:p>
      <w:pPr>
        <w:pStyle w:val="Normal"/>
        <w:shd w:val="clear" w:color="auto" w:fill="DDDDDD"/>
        <w:ind w:firstLine="567"/>
        <w:jc w:val="both"/>
        <w:rPr>
          <w:highlight w:val="none"/>
          <w:shd w:fill="auto" w:val="clear"/>
        </w:rPr>
      </w:pPr>
      <w:r>
        <w:rPr>
          <w:rFonts w:cs="Arial" w:ascii="Arial" w:hAnsi="Arial"/>
          <w:b/>
          <w:bCs/>
          <w:shd w:fill="auto" w:val="clear"/>
        </w:rPr>
        <w:t>3. DA PROPOSTA:</w:t>
      </w:r>
    </w:p>
    <w:p>
      <w:pPr>
        <w:pStyle w:val="Normal"/>
        <w:numPr>
          <w:ilvl w:val="0"/>
          <w:numId w:val="13"/>
        </w:numPr>
        <w:tabs>
          <w:tab w:val="clear" w:pos="709"/>
          <w:tab w:val="left" w:pos="284" w:leader="none"/>
        </w:tabs>
        <w:jc w:val="both"/>
        <w:rPr>
          <w:highlight w:val="none"/>
          <w:shd w:fill="auto" w:val="clear"/>
        </w:rPr>
      </w:pPr>
      <w:r>
        <w:rPr>
          <w:rFonts w:cs="Arial" w:ascii="Arial" w:hAnsi="Arial"/>
          <w:shd w:fill="auto" w:val="clear"/>
        </w:rPr>
        <w:t>Prazo de validade: 30 (trinta) dias.</w:t>
      </w:r>
    </w:p>
    <w:p>
      <w:pPr>
        <w:pStyle w:val="Normal"/>
        <w:numPr>
          <w:ilvl w:val="0"/>
          <w:numId w:val="3"/>
        </w:numPr>
        <w:tabs>
          <w:tab w:val="clear" w:pos="709"/>
          <w:tab w:val="left" w:pos="284" w:leader="none"/>
        </w:tabs>
        <w:jc w:val="both"/>
        <w:rPr>
          <w:highlight w:val="none"/>
          <w:shd w:fill="auto" w:val="clear"/>
        </w:rPr>
      </w:pPr>
      <w:r>
        <w:rPr>
          <w:rFonts w:cs="Arial" w:ascii="Arial" w:hAnsi="Arial"/>
          <w:shd w:fill="auto" w:val="clear"/>
        </w:rPr>
        <w:t>Prazo de Pagamento: 15 (quinze) dias úteis, contados da data do recebimento da nota fiscal, em atendimento ao Decreto Municipal Nº 17.640/18.</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 xml:space="preserve">preço unitário e total </w:t>
      </w:r>
      <w:r>
        <w:rPr>
          <w:rFonts w:cs="Arial" w:ascii="Arial" w:hAnsi="Arial"/>
          <w:sz w:val="20"/>
          <w:szCs w:val="20"/>
          <w:shd w:fill="auto" w:val="clear"/>
        </w:rPr>
        <w:t>dos produtos ofertados.</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Critério de Julgamento: Menor valor por item. </w:t>
      </w:r>
    </w:p>
    <w:p>
      <w:pPr>
        <w:pStyle w:val="Normal"/>
        <w:numPr>
          <w:ilvl w:val="0"/>
          <w:numId w:val="3"/>
        </w:numPr>
        <w:tabs>
          <w:tab w:val="clear" w:pos="709"/>
          <w:tab w:val="left" w:pos="284" w:leader="none"/>
        </w:tabs>
        <w:jc w:val="both"/>
        <w:rPr>
          <w:rFonts w:ascii="Arial" w:hAnsi="Arial" w:eastAsia="Arial" w:cs="Arial"/>
        </w:rPr>
      </w:pPr>
      <w:r>
        <w:rPr>
          <w:rFonts w:cs="Arial" w:ascii="Arial" w:hAnsi="Arial"/>
        </w:rPr>
        <w:t>Especi</w:t>
      </w:r>
      <w:r>
        <w:rPr>
          <w:rFonts w:cs="Arial" w:ascii="Arial" w:hAnsi="Arial"/>
          <w:shd w:fill="auto" w:val="clear"/>
        </w:rPr>
        <w:t>ficações 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7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200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Impressão colorida em tamanho 60 x 40 couchê fosco gramatura 180g , somente frente, reprodução de desenhos selecionados para a exposição do 53° Salão Internacional de Humor de Piracicaba, e 24° Salãozinho de Humor. (100 unidades para cada modelo).</w:t>
            </w:r>
          </w:p>
        </w:tc>
      </w:tr>
    </w:tbl>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3"/>
        </w:numPr>
        <w:tabs>
          <w:tab w:val="clear" w:pos="709"/>
          <w:tab w:val="left" w:pos="284" w:leader="none"/>
        </w:tabs>
        <w:ind w:hanging="0" w:left="0"/>
        <w:jc w:val="both"/>
        <w:rPr>
          <w:highlight w:val="none"/>
          <w:shd w:fill="auto" w:val="clear"/>
        </w:rPr>
      </w:pPr>
      <w:r>
        <w:rPr>
          <w:rFonts w:cs="Arial" w:ascii="Arial" w:hAnsi="Arial"/>
          <w:color w:val="000000"/>
          <w:shd w:fill="auto" w:val="clear"/>
        </w:rPr>
        <w:t xml:space="preserve">Descritivo técnico: </w:t>
      </w:r>
      <w:r>
        <w:rPr>
          <w:rFonts w:eastAsia="Arial" w:cs="Arial" w:ascii="Arial" w:hAnsi="Arial"/>
          <w:b/>
          <w:color w:val="000000"/>
          <w:shd w:fill="auto" w:val="clear"/>
        </w:rPr>
        <w:t>Item 1</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bCs/>
          <w:color w:val="000000"/>
          <w:shd w:fill="auto" w:val="clear"/>
        </w:rPr>
        <w:t>1.</w:t>
      </w: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Não serão aceitos materiais mal impressos, tortos, fora de registro, impressões lavadas, enfim, com qualquer tipo de problema gráfico que denote baixa qualidade e falta de cuidado. A equipe técnica analisará o material com minúcia.</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bCs/>
          <w:color w:val="000000"/>
          <w:shd w:fill="auto" w:val="clear"/>
        </w:rPr>
        <w:t>2.</w:t>
      </w: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Não serão aceitos, sob quaisquer pretextos, serviços que não atendam aos requisitos pré-estabelecidos. Assim as empresas que cotarem deverão estar cientes sobre as especificações de seus serviços;</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bCs/>
          <w:color w:val="000000"/>
          <w:shd w:fill="auto" w:val="clear"/>
        </w:rPr>
        <w:t>3.</w:t>
      </w: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Em casos de impressões com acabamento inferior aos requisitos do edital, serão devolvidas para serem refeitas;</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bCs/>
          <w:color w:val="000000"/>
          <w:shd w:fill="auto" w:val="clear"/>
        </w:rPr>
        <w:t>4.</w:t>
      </w: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As artes finais de todos os materiais serão fornecidas pelo solicitante em arquivos gráficos digitais adequados.</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bCs/>
          <w:color w:val="000000"/>
          <w:shd w:fill="auto" w:val="clear"/>
        </w:rPr>
        <w:t>5.</w:t>
      </w: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Da quantidade de 200 unidades serão 100 unidades para cada uma das duas artes (Salão de Humor, e Salãozinho).</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ind w:firstLine="567"/>
        <w:jc w:val="both"/>
        <w:rPr>
          <w:rFonts w:ascii="Arial" w:hAnsi="Arial" w:cs="Arial"/>
        </w:rPr>
      </w:pPr>
      <w:r>
        <w:rPr>
          <w:rFonts w:cs="Arial" w:ascii="Arial" w:hAnsi="Arial"/>
          <w:b/>
          <w:bCs/>
        </w:rPr>
        <w:t>4</w:t>
      </w:r>
      <w:r>
        <w:rPr>
          <w:rFonts w:cs="Arial" w:ascii="Arial" w:hAnsi="Arial"/>
          <w:b/>
          <w:bCs/>
        </w:rPr>
        <w:t>. DA ENTREGA:</w:t>
      </w:r>
    </w:p>
    <w:p>
      <w:pPr>
        <w:pStyle w:val="Normal"/>
        <w:numPr>
          <w:ilvl w:val="0"/>
          <w:numId w:val="14"/>
        </w:numPr>
        <w:tabs>
          <w:tab w:val="clear" w:pos="709"/>
          <w:tab w:val="left" w:pos="284" w:leader="none"/>
        </w:tabs>
        <w:jc w:val="both"/>
        <w:rPr>
          <w:rFonts w:ascii="Arial" w:hAnsi="Arial" w:cs="Arial"/>
          <w:lang w:eastAsia="pt-BR"/>
        </w:rPr>
      </w:pPr>
      <w:r>
        <w:rPr>
          <w:rFonts w:cs="Arial" w:ascii="Arial" w:hAnsi="Arial"/>
          <w:lang w:eastAsia="pt-BR"/>
        </w:rPr>
        <w:t>Prazo de entrega: Até o máximo de 5 (cinco) dias (úteis), a contar da data da Ordem de Serviço emitida pela Unidade Requisit</w:t>
      </w:r>
      <w:r>
        <w:rPr>
          <w:rFonts w:cs="Arial" w:ascii="Arial" w:hAnsi="Arial"/>
          <w:shd w:fill="auto" w:val="clear"/>
          <w:lang w:eastAsia="pt-BR"/>
        </w:rPr>
        <w:t>ante.</w:t>
      </w:r>
    </w:p>
    <w:p>
      <w:pPr>
        <w:pStyle w:val="Normal"/>
        <w:numPr>
          <w:ilvl w:val="0"/>
          <w:numId w:val="9"/>
        </w:numPr>
        <w:tabs>
          <w:tab w:val="clear" w:pos="709"/>
          <w:tab w:val="left" w:pos="284" w:leader="none"/>
        </w:tabs>
        <w:jc w:val="both"/>
        <w:rPr>
          <w:highlight w:val="none"/>
          <w:shd w:fill="auto" w:val="clear"/>
        </w:rPr>
      </w:pPr>
      <w:r>
        <w:rPr>
          <w:rFonts w:cs="Arial" w:ascii="Arial" w:hAnsi="Arial"/>
          <w:shd w:fill="auto" w:val="clear"/>
          <w:lang w:eastAsia="pt-BR"/>
        </w:rPr>
        <w:t xml:space="preserve">Local de entrega: </w:t>
      </w:r>
      <w:r>
        <w:rPr>
          <w:rFonts w:cs="Arial" w:ascii="Arial" w:hAnsi="Arial"/>
          <w:shd w:fill="auto" w:val="clear"/>
          <w:lang w:eastAsia="pt-BR"/>
        </w:rPr>
        <w:t>Av Maurice Allain, nº 454 Parque do Engenho, Armazen 09, Bairro Vila Rezende</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 xml:space="preserve">Das: 08hs às 11h30 e das 13hs às 16h30, de segunda a sexta-feira. </w:t>
      </w:r>
    </w:p>
    <w:p>
      <w:pPr>
        <w:pStyle w:val="Normal"/>
        <w:numPr>
          <w:ilvl w:val="0"/>
          <w:numId w:val="9"/>
        </w:numPr>
        <w:tabs>
          <w:tab w:val="clear" w:pos="709"/>
          <w:tab w:val="left" w:pos="284" w:leader="none"/>
        </w:tabs>
        <w:jc w:val="both"/>
        <w:rPr>
          <w:highlight w:val="none"/>
          <w:shd w:fill="auto" w:val="clear"/>
        </w:rPr>
      </w:pPr>
      <w:r>
        <w:rPr>
          <w:rFonts w:cs="Arial" w:ascii="Arial" w:hAnsi="Arial"/>
          <w:shd w:fill="auto" w:val="clear"/>
        </w:rPr>
        <w:t>As artes finalizadas serão fornecidos em arquivos digitais adequados.</w:t>
      </w:r>
    </w:p>
    <w:p>
      <w:pPr>
        <w:pStyle w:val="Normal"/>
        <w:numPr>
          <w:ilvl w:val="0"/>
          <w:numId w:val="9"/>
        </w:numPr>
        <w:tabs>
          <w:tab w:val="clear" w:pos="709"/>
          <w:tab w:val="left" w:pos="284" w:leader="none"/>
        </w:tabs>
        <w:jc w:val="both"/>
        <w:rPr>
          <w:rFonts w:ascii="Arial" w:hAnsi="Arial" w:cs="Arial"/>
          <w:lang w:eastAsia="pt-BR"/>
        </w:rPr>
      </w:pPr>
      <w:r>
        <w:rPr>
          <w:rFonts w:cs="Arial" w:ascii="Arial" w:hAnsi="Arial"/>
          <w:shd w:fill="auto" w:val="clear"/>
          <w:lang w:eastAsia="pt-BR"/>
        </w:rPr>
        <w:t>Não serão aceitos, sob quaisquer pretextos,</w:t>
      </w:r>
      <w:r>
        <w:rPr>
          <w:rFonts w:cs="Arial" w:ascii="Arial" w:hAnsi="Arial"/>
          <w:lang w:eastAsia="pt-BR"/>
        </w:rPr>
        <w:t xml:space="preserve"> serviços que não atendam aos requisitos pré-estabelecidos. Assim as empresas que cotarem deverão estar cientes sobre as especificações de seus serviços;</w:t>
      </w:r>
    </w:p>
    <w:p>
      <w:pPr>
        <w:pStyle w:val="Normal"/>
        <w:numPr>
          <w:ilvl w:val="0"/>
          <w:numId w:val="9"/>
        </w:numPr>
        <w:tabs>
          <w:tab w:val="clear" w:pos="709"/>
          <w:tab w:val="left" w:pos="284" w:leader="none"/>
        </w:tabs>
        <w:jc w:val="both"/>
        <w:rPr>
          <w:rFonts w:ascii="Arial" w:hAnsi="Arial" w:cs="Arial"/>
          <w:lang w:eastAsia="pt-BR"/>
        </w:rPr>
      </w:pPr>
      <w:r>
        <w:rPr>
          <w:rFonts w:cs="Arial" w:ascii="Arial" w:hAnsi="Arial"/>
          <w:lang w:eastAsia="pt-BR"/>
        </w:rPr>
        <w:t>Em casos de materiais impressos entregues com acabamento inferior aos requisitos do edital, serão devolvidos para serem reimpresso no prazo de 24 horas;</w:t>
      </w:r>
    </w:p>
    <w:p>
      <w:pPr>
        <w:pStyle w:val="Normal"/>
        <w:numPr>
          <w:ilvl w:val="0"/>
          <w:numId w:val="9"/>
        </w:numPr>
        <w:tabs>
          <w:tab w:val="clear" w:pos="709"/>
          <w:tab w:val="left" w:pos="284" w:leader="none"/>
        </w:tabs>
        <w:jc w:val="both"/>
        <w:rPr>
          <w:rFonts w:ascii="Arial" w:hAnsi="Arial" w:cs="Arial"/>
          <w:lang w:eastAsia="pt-BR"/>
        </w:rPr>
      </w:pPr>
      <w:r>
        <w:rPr>
          <w:rFonts w:cs="Arial" w:ascii="Arial" w:hAnsi="Arial"/>
          <w:lang w:eastAsia="pt-BR"/>
        </w:rPr>
        <w:t>Os arquivos digitais enviados deverão ser utilizados exclusivamente para os fins deste edital, sendo terminantemente proibido repassá-los a terceiros.</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lang w:eastAsia="pt-BR"/>
        </w:rPr>
      </w:r>
    </w:p>
    <w:p>
      <w:pPr>
        <w:pStyle w:val="Normal"/>
        <w:shd w:val="clear" w:color="auto" w:fill="CCCCCC"/>
        <w:ind w:firstLine="567"/>
        <w:jc w:val="both"/>
        <w:rPr>
          <w:rFonts w:ascii="Arial" w:hAnsi="Arial" w:cs="Arial"/>
        </w:rPr>
      </w:pPr>
      <w:r>
        <w:rPr>
          <w:rFonts w:cs="Arial" w:ascii="Arial" w:hAnsi="Arial"/>
          <w:b/>
          <w:bCs/>
        </w:rPr>
        <w:t>5</w:t>
      </w:r>
      <w:r>
        <w:rPr>
          <w:rFonts w:cs="Arial" w:ascii="Arial" w:hAnsi="Arial"/>
          <w:b/>
          <w:bCs/>
        </w:rPr>
        <w:t>. DA SUBCONTRATAÇÃO:</w:t>
      </w:r>
    </w:p>
    <w:p>
      <w:pPr>
        <w:pStyle w:val="Normal"/>
        <w:numPr>
          <w:ilvl w:val="0"/>
          <w:numId w:val="15"/>
        </w:numPr>
        <w:tabs>
          <w:tab w:val="clear" w:pos="709"/>
          <w:tab w:val="left" w:pos="284" w:leader="none"/>
        </w:tabs>
        <w:jc w:val="both"/>
        <w:rPr>
          <w:rFonts w:ascii="Arial" w:hAnsi="Arial" w:cs="Arial"/>
        </w:rPr>
      </w:pPr>
      <w:r>
        <w:rPr>
          <w:rFonts w:cs="Arial" w:ascii="Arial" w:hAnsi="Arial"/>
          <w:sz w:val="20"/>
          <w:szCs w:val="20"/>
          <w:lang w:eastAsia="pt-BR"/>
        </w:rPr>
        <w:t>Não é admitida a subcontratação do objeto contratual.</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DDDDDD"/>
        <w:ind w:firstLine="567"/>
        <w:jc w:val="both"/>
        <w:rPr>
          <w:rFonts w:ascii="Arial" w:hAnsi="Arial" w:cs="Arial"/>
        </w:rPr>
      </w:pPr>
      <w:r>
        <w:rPr>
          <w:rFonts w:cs="Arial" w:ascii="Arial" w:hAnsi="Arial"/>
          <w:b/>
          <w:bCs/>
        </w:rPr>
        <w:t>6</w:t>
      </w:r>
      <w:r>
        <w:rPr>
          <w:rFonts w:cs="Arial" w:ascii="Arial" w:hAnsi="Arial"/>
          <w:b/>
          <w:bCs/>
        </w:rPr>
        <w:t>. DO FORNECIMENTO DE INFORMAÇÕES:</w:t>
      </w:r>
    </w:p>
    <w:p>
      <w:pPr>
        <w:pStyle w:val="Normal"/>
        <w:numPr>
          <w:ilvl w:val="0"/>
          <w:numId w:val="5"/>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5"/>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7</w:t>
      </w:r>
      <w:r>
        <w:rPr>
          <w:rFonts w:cs="Arial" w:ascii="Arial" w:hAnsi="Arial"/>
          <w:b/>
          <w:bCs/>
        </w:rPr>
        <w:t>.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mobiliários (ISS);</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6"/>
        </w:numPr>
        <w:tabs>
          <w:tab w:val="clear" w:pos="709"/>
          <w:tab w:val="left" w:pos="284"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hanging="0" w:left="0"/>
        <w:jc w:val="both"/>
        <w:rPr>
          <w:highlight w:val="none"/>
          <w:shd w:fill="FFFF00" w:val="clear"/>
        </w:rPr>
      </w:pPr>
      <w:r>
        <w:rPr>
          <w:rFonts w:cs="Arial" w:ascii="Arial" w:hAnsi="Arial"/>
        </w:rPr>
      </w:r>
    </w:p>
    <w:p>
      <w:pPr>
        <w:pStyle w:val="Normal"/>
        <w:numPr>
          <w:ilvl w:val="0"/>
          <w:numId w:val="6"/>
        </w:numPr>
        <w:tabs>
          <w:tab w:val="clear" w:pos="709"/>
          <w:tab w:val="left" w:pos="284" w:leader="none"/>
          <w:tab w:val="left" w:pos="426" w:leader="none"/>
          <w:tab w:val="left" w:pos="567" w:leader="none"/>
        </w:tabs>
        <w:jc w:val="both"/>
        <w:rPr>
          <w:rFonts w:ascii="Arial" w:hAnsi="Arial" w:cs="Arial"/>
        </w:rPr>
      </w:pPr>
      <w:r>
        <w:rPr>
          <w:rFonts w:cs="Arial" w:ascii="Arial" w:hAnsi="Arial"/>
          <w:b/>
        </w:rPr>
        <w:t>QUALIFICAÇÃO TÉCNICA</w:t>
      </w:r>
    </w:p>
    <w:p>
      <w:pPr>
        <w:pStyle w:val="Normal"/>
        <w:numPr>
          <w:ilvl w:val="1"/>
          <w:numId w:val="16"/>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6"/>
        </w:numPr>
        <w:tabs>
          <w:tab w:val="clear" w:pos="709"/>
          <w:tab w:val="left" w:pos="284" w:leader="none"/>
          <w:tab w:val="left" w:pos="426" w:leader="none"/>
          <w:tab w:val="left" w:pos="567" w:leader="none"/>
        </w:tabs>
        <w:jc w:val="both"/>
        <w:rPr>
          <w:rFonts w:ascii="Arial" w:hAnsi="Arial" w:cs="Arial"/>
        </w:rPr>
      </w:pPr>
      <w:r>
        <w:rPr>
          <w:rFonts w:cs="Arial" w:ascii="Arial" w:hAnsi="Arial"/>
        </w:rPr>
        <w:t>Atestado(s) de capacidade técnica operacional fornecido por pessoa jurídica de direito público ou privado,  que comprove o fornecimento satisfatório de objeto similar ao desta licitação, bem como documentos comprobatórios emitidos na forma do §3° do art. 88 da Lei 14.133, de 2021.</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shd w:fill="auto" w:val="clear"/>
        </w:rPr>
      </w:r>
    </w:p>
    <w:p>
      <w:pPr>
        <w:pStyle w:val="Normal"/>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 xml:space="preserve">Piracicaba, </w:t>
      </w:r>
      <w:r>
        <w:rPr>
          <w:rFonts w:cs="Arial" w:ascii="Arial" w:hAnsi="Arial"/>
          <w:shd w:fill="auto" w:val="clear"/>
        </w:rPr>
        <w:t>11</w:t>
      </w:r>
      <w:r>
        <w:rPr>
          <w:rFonts w:cs="Arial" w:ascii="Arial" w:hAnsi="Arial"/>
          <w:shd w:fill="auto" w:val="clear"/>
        </w:rPr>
        <w:t xml:space="preserve"> de </w:t>
      </w:r>
      <w:r>
        <w:rPr>
          <w:rFonts w:cs="Arial" w:ascii="Arial" w:hAnsi="Arial"/>
          <w:shd w:fill="auto" w:val="clear"/>
        </w:rPr>
        <w:t>maio</w:t>
      </w:r>
      <w:r>
        <w:rPr>
          <w:rFonts w:cs="Arial" w:ascii="Arial" w:hAnsi="Arial"/>
          <w:shd w:fill="auto" w:val="clear"/>
        </w:rPr>
        <w:t xml:space="preserve"> de 2026.</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3"/>
        <w:gridCol w:w="4533"/>
        <w:gridCol w:w="1416"/>
        <w:gridCol w:w="1704"/>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63"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041</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041</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4">
    <w:lvl w:ilvl="0">
      <w:start w:val="1"/>
      <w:numFmt w:val="lowerLetter"/>
      <w:lvlText w:val="%1)"/>
      <w:lvlJc w:val="left"/>
      <w:pPr>
        <w:tabs>
          <w:tab w:val="num" w:pos="0"/>
        </w:tabs>
        <w:ind w:left="0" w:hanging="0"/>
      </w:pPr>
      <w:rPr>
        <w:rFonts w:ascii="Arial" w:hAnsi="Arial"/>
        <w:b/>
        <w:bCs/>
        <w:sz w:val="20"/>
        <w:szCs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5">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7">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8">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9">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0">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1">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3"/>
    <w:lvlOverride w:ilvl="0">
      <w:startOverride w:val="1"/>
    </w:lvlOverride>
  </w:num>
  <w:num w:numId="14">
    <w:abstractNumId w:val="9"/>
    <w:lvlOverride w:ilvl="0">
      <w:startOverride w:val="1"/>
    </w:lvlOverride>
  </w:num>
  <w:num w:numId="15">
    <w:abstractNumId w:val="9"/>
    <w:lvlOverride w:ilvl="0">
      <w:startOverride w:val="1"/>
    </w:lvlOverride>
  </w:num>
  <w:num w:numId="16">
    <w:abstractNumId w:val="6"/>
    <w:lvlOverride w:ilvl="0">
      <w:startOverride w:val="1"/>
    </w:lvlOverride>
    <w:lvlOverride w:ilvl="1">
      <w:startOverride w:val="1"/>
    </w:lvlOverride>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Application>LibreOffice/25.8.5.2$Windows_X86_64 LibreOffice_project/9c8b85f387cc00a89945a79c9e6239f32e450ac2</Application>
  <AppVersion>15.0000</AppVersion>
  <Pages>12</Pages>
  <Words>4795</Words>
  <Characters>27844</Characters>
  <CharactersWithSpaces>32406</CharactersWithSpaces>
  <Paragraphs>262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2026-05-11T10:46:59Z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