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rPr>
      </w:pPr>
      <w:r>
        <w:rPr>
          <w:b/>
          <w:sz w:val="20"/>
          <w:szCs w:val="20"/>
        </w:rPr>
        <w:t xml:space="preserve">EDITAL DE PREGÃO ELETRÔNICO </w:t>
      </w:r>
      <w:r>
        <w:rPr>
          <w:b/>
          <w:sz w:val="20"/>
          <w:szCs w:val="20"/>
          <w:lang w:val="pt-BR"/>
        </w:rPr>
        <w:t xml:space="preserve">nº </w:t>
      </w:r>
      <w:r>
        <w:rPr>
          <w:b/>
          <w:sz w:val="20"/>
          <w:szCs w:val="20"/>
          <w:lang w:val="pt-BR"/>
        </w:rPr>
        <w:t>145</w:t>
      </w:r>
      <w:r>
        <w:rPr>
          <w:b/>
          <w:sz w:val="20"/>
          <w:szCs w:val="20"/>
          <w:lang w:val="pt-BR"/>
        </w:rPr>
        <w:t>/</w:t>
      </w:r>
      <w:r>
        <w:rPr>
          <w:b/>
          <w:sz w:val="20"/>
          <w:szCs w:val="20"/>
          <w:lang w:val="pt-BR"/>
        </w:rPr>
        <w:t>2026</w:t>
      </w:r>
      <w:r>
        <w:rPr>
          <w:b/>
          <w:sz w:val="20"/>
          <w:szCs w:val="20"/>
        </w:rPr>
        <w:t xml:space="preserve"> </w:t>
      </w:r>
    </w:p>
    <w:p>
      <w:pPr>
        <w:pStyle w:val="BodyTextIndent"/>
        <w:widowControl w:val="false"/>
        <w:shd w:val="clear" w:color="auto" w:fill="CCCCCC"/>
        <w:overflowPunct w:val="false"/>
        <w:spacing w:lineRule="auto" w:line="240"/>
        <w:jc w:val="center"/>
        <w:rPr>
          <w:b/>
          <w:sz w:val="20"/>
          <w:szCs w:val="20"/>
          <w:lang w:val="pt-BR"/>
        </w:rPr>
      </w:pPr>
      <w:r>
        <w:rPr>
          <w:b/>
          <w:sz w:val="20"/>
          <w:szCs w:val="20"/>
          <w:lang w:val="pt-BR"/>
        </w:rPr>
        <w:t>REGISTRO DE PREÇOS</w:t>
      </w:r>
    </w:p>
    <w:p>
      <w:pPr>
        <w:pStyle w:val="BodyTextIndent"/>
        <w:widowControl w:val="false"/>
        <w:overflowPunct w:val="false"/>
        <w:spacing w:lineRule="auto" w:line="240"/>
        <w:jc w:val="center"/>
        <w:rPr>
          <w:sz w:val="20"/>
          <w:szCs w:val="20"/>
        </w:rPr>
      </w:pPr>
      <w:r>
        <w:rPr>
          <w:sz w:val="20"/>
          <w:szCs w:val="20"/>
        </w:rPr>
      </w:r>
    </w:p>
    <w:p>
      <w:pPr>
        <w:pStyle w:val="BodyTextIndent"/>
        <w:widowControl w:val="false"/>
        <w:overflowPunct w:val="fals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false"/>
        <w:spacing w:lineRule="auto" w:line="240"/>
        <w:jc w:val="center"/>
        <w:rPr>
          <w:sz w:val="20"/>
          <w:szCs w:val="20"/>
        </w:rPr>
      </w:pPr>
      <w:r>
        <w:rPr>
          <w:sz w:val="20"/>
          <w:szCs w:val="20"/>
        </w:rPr>
      </w:r>
    </w:p>
    <w:p>
      <w:pPr>
        <w:pStyle w:val="BodyTextIndent"/>
        <w:widowControl w:val="false"/>
        <w:shd w:val="clear" w:color="auto" w:fill="DDDDDD"/>
        <w:overflowPunct w:val="false"/>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8"/>
        </w:numPr>
        <w:tabs>
          <w:tab w:val="clear" w:pos="709"/>
          <w:tab w:val="left" w:pos="284" w:leader="none"/>
        </w:tabs>
        <w:rPr>
          <w:b/>
          <w:sz w:val="20"/>
          <w:szCs w:val="20"/>
        </w:rPr>
      </w:pPr>
      <w:r>
        <w:rPr>
          <w:sz w:val="20"/>
          <w:szCs w:val="20"/>
        </w:rPr>
        <w:t>Número do proces</w:t>
      </w:r>
      <w:r>
        <w:rPr>
          <w:sz w:val="20"/>
          <w:szCs w:val="20"/>
          <w:lang w:val="pt-BR"/>
        </w:rPr>
        <w:t>so:</w:t>
      </w:r>
      <w:r>
        <w:rPr>
          <w:b/>
          <w:sz w:val="20"/>
          <w:szCs w:val="20"/>
          <w:lang w:val="pt-BR"/>
        </w:rPr>
        <w:t xml:space="preserve"> </w:t>
      </w:r>
      <w:r>
        <w:rPr>
          <w:b/>
          <w:sz w:val="20"/>
          <w:szCs w:val="20"/>
        </w:rPr>
        <w:t>73.206</w:t>
      </w:r>
      <w:r>
        <w:rPr>
          <w:b/>
          <w:sz w:val="20"/>
          <w:szCs w:val="20"/>
          <w:lang w:val="pt-BR"/>
        </w:rPr>
        <w:t>/2026</w:t>
      </w:r>
    </w:p>
    <w:p>
      <w:pPr>
        <w:pStyle w:val="BodyTextIndent"/>
        <w:widowControl w:val="false"/>
        <w:numPr>
          <w:ilvl w:val="0"/>
          <w:numId w:val="8"/>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10</w:t>
      </w:r>
      <w:r>
        <w:rPr>
          <w:b/>
          <w:sz w:val="20"/>
          <w:szCs w:val="20"/>
          <w:lang w:val="pt-BR"/>
        </w:rPr>
        <w:t>/</w:t>
      </w:r>
      <w:r>
        <w:rPr>
          <w:b/>
          <w:sz w:val="20"/>
          <w:szCs w:val="20"/>
          <w:lang w:val="pt-BR"/>
        </w:rPr>
        <w:t>06</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8"/>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10</w:t>
      </w:r>
      <w:r>
        <w:rPr>
          <w:b/>
          <w:sz w:val="20"/>
          <w:szCs w:val="20"/>
          <w:lang w:val="pt-BR"/>
        </w:rPr>
        <w:t>/</w:t>
      </w:r>
      <w:r>
        <w:rPr>
          <w:b/>
          <w:sz w:val="20"/>
          <w:szCs w:val="20"/>
          <w:lang w:val="pt-BR"/>
        </w:rPr>
        <w:t>06</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8"/>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false"/>
        <w:spacing w:lineRule="auto" w:line="240"/>
        <w:jc w:val="lef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0"/>
        </w:numPr>
        <w:tabs>
          <w:tab w:val="clear" w:pos="709"/>
          <w:tab w:val="left" w:pos="284" w:leader="none"/>
        </w:tabs>
        <w:ind w:hanging="0" w:left="0"/>
        <w:jc w:val="both"/>
        <w:rPr>
          <w:rFonts w:ascii="Arial" w:hAnsi="Arial" w:cs="Arial"/>
          <w:b/>
        </w:rPr>
      </w:pPr>
      <w:r>
        <w:rPr>
          <w:rFonts w:cs="Arial" w:ascii="Arial" w:hAnsi="Arial"/>
          <w:b/>
          <w:bCs/>
        </w:rPr>
        <w:t>a)</w:t>
      </w:r>
      <w:r>
        <w:rPr>
          <w:rFonts w:cs="Arial" w:ascii="Arial" w:hAnsi="Arial"/>
        </w:rPr>
        <w:t xml:space="preserve"> </w:t>
      </w:r>
      <w:r>
        <w:rPr>
          <w:rFonts w:cs="Arial" w:ascii="Arial" w:hAnsi="Arial"/>
        </w:rPr>
        <w:t>Objeto:</w:t>
      </w:r>
      <w:r>
        <w:rPr>
          <w:rFonts w:cs="Arial" w:ascii="Arial" w:hAnsi="Arial"/>
          <w:b/>
        </w:rPr>
        <w:t xml:space="preserve"> Registro de Preços para Fornecimento Parcelado de Reguladores e Insumos para Suporte Ventilatório</w:t>
      </w:r>
      <w:r>
        <w:rPr>
          <w:rFonts w:cs="Arial" w:ascii="Arial" w:hAnsi="Arial"/>
          <w:b/>
          <w:color w:themeColor="accent1" w:val="4472C4"/>
        </w:rPr>
        <w:t>.</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b)</w:t>
      </w:r>
      <w:r>
        <w:rPr>
          <w:rFonts w:cs="Arial" w:ascii="Arial" w:hAnsi="Arial"/>
        </w:rPr>
        <w:t xml:space="preserve"> </w:t>
      </w:r>
      <w:r>
        <w:rPr>
          <w:rFonts w:cs="Arial" w:ascii="Arial" w:hAnsi="Arial"/>
        </w:rPr>
        <w:t xml:space="preserve">Unidade Requisitante: </w:t>
      </w:r>
      <w:r>
        <w:rPr>
          <w:rFonts w:cs="Arial" w:ascii="Arial" w:hAnsi="Arial"/>
          <w:b/>
        </w:rPr>
        <w:t>SECRETARIA MUNICIPAL DE SAÚDE</w:t>
      </w:r>
      <w:r>
        <w:rPr>
          <w:rFonts w:cs="Arial" w:ascii="Arial" w:hAnsi="Arial"/>
        </w:rPr>
        <w:t>.</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c)</w:t>
      </w:r>
      <w:r>
        <w:rPr>
          <w:rFonts w:cs="Arial" w:ascii="Arial" w:hAnsi="Arial"/>
        </w:rPr>
        <w:t xml:space="preserve"> </w:t>
      </w:r>
      <w:r>
        <w:rPr>
          <w:rFonts w:cs="Arial" w:ascii="Arial" w:hAnsi="Arial"/>
        </w:rPr>
        <w:t>Fonte de recursos: 10.302.0014.2082.0000 - 0101031000 e 0205030011</w:t>
      </w:r>
    </w:p>
    <w:p>
      <w:pPr>
        <w:pStyle w:val="Normal"/>
        <w:numPr>
          <w:ilvl w:val="0"/>
          <w:numId w:val="14"/>
        </w:numPr>
        <w:tabs>
          <w:tab w:val="clear" w:pos="709"/>
          <w:tab w:val="left" w:pos="426" w:leader="none"/>
        </w:tabs>
        <w:ind w:left="142"/>
        <w:rPr>
          <w:rFonts w:ascii="Arial" w:hAnsi="Arial" w:cs="Arial"/>
          <w:color w:val="222222"/>
        </w:rPr>
      </w:pPr>
      <w:r>
        <w:rPr>
          <w:rFonts w:cs="Arial" w:ascii="Arial" w:hAnsi="Arial"/>
          <w:color w:val="222222"/>
        </w:rPr>
        <w:t>Lei Municipal nº 10.478, de 16 de dezembro de 2025.</w:t>
      </w:r>
    </w:p>
    <w:p>
      <w:pPr>
        <w:pStyle w:val="Normal"/>
        <w:numPr>
          <w:ilvl w:val="0"/>
          <w:numId w:val="14"/>
        </w:numPr>
        <w:tabs>
          <w:tab w:val="clear" w:pos="709"/>
          <w:tab w:val="left" w:pos="426" w:leader="none"/>
        </w:tabs>
        <w:ind w:left="142"/>
        <w:rPr>
          <w:rFonts w:ascii="Arial" w:hAnsi="Arial" w:cs="Arial"/>
          <w:color w:val="000000"/>
        </w:rPr>
      </w:pPr>
      <w:r>
        <w:rPr>
          <w:rFonts w:cs="Arial" w:ascii="Arial" w:hAnsi="Arial"/>
          <w:color w:val="222222"/>
        </w:rPr>
        <w:t>Lei Complementar nº 141, de 13 de janeiro de 2012; Portaria nº 3.992, de 28 de dezembro de 2017.</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d)</w:t>
      </w:r>
      <w:r>
        <w:rPr>
          <w:rFonts w:cs="Arial" w:ascii="Arial" w:hAnsi="Arial"/>
        </w:rPr>
        <w:t xml:space="preserve"> </w:t>
      </w:r>
      <w:r>
        <w:rPr>
          <w:rFonts w:cs="Arial" w:ascii="Arial" w:hAnsi="Arial"/>
        </w:rPr>
        <w:t xml:space="preserve">Valor estimado da contratação: </w:t>
      </w:r>
      <w:r>
        <w:rPr>
          <w:rFonts w:cs="Arial" w:ascii="Arial" w:hAnsi="Arial"/>
          <w:b/>
        </w:rPr>
        <w:t xml:space="preserve">R$ </w:t>
      </w:r>
      <w:r>
        <w:rPr>
          <w:rFonts w:cs="Arial" w:ascii="Arial" w:hAnsi="Arial"/>
          <w:b/>
          <w:bCs/>
        </w:rPr>
        <w:t xml:space="preserve">103.300,21 </w:t>
      </w:r>
      <w:r>
        <w:rPr>
          <w:rFonts w:cs="Arial" w:ascii="Arial" w:hAnsi="Arial"/>
          <w:b/>
        </w:rPr>
        <w:t>(Cento e três mil, trezentos reais e vinte e um centavos</w:t>
      </w:r>
      <w:r>
        <w:rPr>
          <w:rFonts w:cs="Arial" w:ascii="Arial" w:hAnsi="Arial"/>
        </w:rPr>
        <w:t>).</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f)</w:t>
      </w:r>
      <w:r>
        <w:rPr>
          <w:rFonts w:cs="Arial" w:ascii="Arial" w:hAnsi="Arial"/>
        </w:rPr>
        <w:t xml:space="preserve"> </w:t>
      </w: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9"/>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9"/>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9"/>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9"/>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a)</w:t>
      </w:r>
      <w:r>
        <w:rPr>
          <w:rFonts w:cs="Arial" w:ascii="Arial" w:hAnsi="Arial"/>
        </w:rPr>
        <w:t xml:space="preserve"> </w:t>
      </w:r>
      <w:r>
        <w:rPr>
          <w:rFonts w:cs="Arial" w:ascii="Arial" w:hAnsi="Arial"/>
        </w:rPr>
        <w:t>Prazo de validade: 90 (noventa) dias.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b)</w:t>
      </w:r>
      <w:r>
        <w:rPr>
          <w:rFonts w:cs="Arial" w:ascii="Arial" w:hAnsi="Arial"/>
        </w:rPr>
        <w:t xml:space="preserve"> </w:t>
      </w:r>
      <w:r>
        <w:rPr>
          <w:rFonts w:cs="Arial" w:ascii="Arial" w:hAnsi="Arial"/>
        </w:rPr>
        <w:t>Prazo de pagamento: 15 (quinze) dias úteis, contados da data do recebimento da nota fiscal, em atendimento ao Decreto Municipal Nº 17.640/18.</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c)</w:t>
      </w:r>
      <w:r>
        <w:rPr>
          <w:rFonts w:cs="Arial" w:ascii="Arial" w:hAnsi="Arial"/>
        </w:rPr>
        <w:t xml:space="preserve">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a </w:t>
      </w:r>
      <w:r>
        <w:rPr>
          <w:rFonts w:cs="Arial" w:ascii="Arial" w:hAnsi="Arial"/>
          <w:b/>
        </w:rPr>
        <w:t>marca do fabricante, nome comercial e modelo</w:t>
      </w:r>
      <w:r>
        <w:rPr>
          <w:rFonts w:cs="Arial" w:ascii="Arial" w:hAnsi="Arial"/>
        </w:rPr>
        <w:t xml:space="preserve"> dos produtos cotados, sendo admitida apenas uma marca por item.</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d)</w:t>
      </w:r>
      <w:r>
        <w:rPr>
          <w:rFonts w:cs="Arial" w:ascii="Arial" w:hAnsi="Arial"/>
        </w:rPr>
        <w:t xml:space="preserve"> </w:t>
      </w: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16"/>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1"/>
          <w:numId w:val="17"/>
        </w:numPr>
        <w:tabs>
          <w:tab w:val="clear" w:pos="709"/>
          <w:tab w:val="left" w:pos="284" w:leader="none"/>
        </w:tabs>
        <w:jc w:val="both"/>
        <w:rPr>
          <w:rFonts w:ascii="Arial" w:hAnsi="Arial" w:cs="Arial"/>
        </w:rPr>
      </w:pPr>
      <w:r>
        <w:rPr>
          <w:rFonts w:cs="Arial" w:ascii="Arial" w:hAnsi="Arial"/>
        </w:rPr>
        <w:t xml:space="preserve">Considerando que as certificações dos produtos possuem prazo de vigência, deverá ser apresentado o Certificado de Registro do Produto válido, emitido pela ANVISA, por meio do espelho da consulta pública do registro, obtido no site https://consultas.anvisa.gov.br, </w:t>
      </w:r>
      <w:r>
        <w:rPr>
          <w:rFonts w:cs="Arial" w:ascii="Arial" w:hAnsi="Arial"/>
          <w:b/>
        </w:rPr>
        <w:t>com data de emissão não superior a 12 (doze) meses</w:t>
      </w:r>
      <w:r>
        <w:rPr>
          <w:rFonts w:cs="Arial" w:ascii="Arial" w:hAnsi="Arial"/>
        </w:rPr>
        <w:t>, para todos os itens.</w:t>
      </w:r>
    </w:p>
    <w:p>
      <w:pPr>
        <w:pStyle w:val="Normal"/>
        <w:tabs>
          <w:tab w:val="clear" w:pos="709"/>
          <w:tab w:val="left" w:pos="284" w:leader="none"/>
        </w:tabs>
        <w:jc w:val="both"/>
        <w:rPr>
          <w:rFonts w:ascii="Arial" w:hAnsi="Arial" w:cs="Arial"/>
          <w:b/>
        </w:rPr>
      </w:pPr>
      <w:r>
        <w:rPr>
          <w:rFonts w:cs="Arial" w:ascii="Arial" w:hAnsi="Arial"/>
          <w:b/>
        </w:rPr>
        <w:t>ATENÇÃO: A apresentação apenas da numeração do registro na ANVISA em proposta, bula ou catálogo será considerada critério de desclassificação, por não permitir a verificação objetiva da vigência e da regularidade do produto ofertado.</w:t>
      </w:r>
    </w:p>
    <w:p>
      <w:pPr>
        <w:pStyle w:val="Normal"/>
        <w:numPr>
          <w:ilvl w:val="0"/>
          <w:numId w:val="18"/>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170" w:hRule="atLeast"/>
        </w:trPr>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ASPIRADOR DE SECREÇÃO: tipo venturi para rede canalizada de oxigênio com frasco coletor em vidro graduado, autoclavável de 500 ml de capacidade. Tampa injetada em Nylon com enxerto de metal cromado, botão de controle do fluxo de aspiração e bico de sucção. Conexão padrão ABNT NBR 11906. Apresentar Certificado do Registro Ministério da Saúde.</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30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BICO: para saída de oxigênio, com ponta escamada em metal; conexão tipo rosca em plástico no formato “borboleta” na cor verde, e niple para conectar à saída de oxigênio (fluxômetros e/ou manômetros); com padrão de 0 a 15 litros por minuto / 0 a 30 litros por minuto e pressão regulada dentro da faixa de +/- 3,5 kgf /cm2.</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03</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200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EXTENSÃO DE OXIGÊNIO: com 2,00 metros de comprimento em tubo de PVC maleável e atóxico; na cor verde.</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04</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ASPIRADOR DE SECREÇÃO: tipo venturi para rede canalizada de ar comprimido com frasco coletor em vidro graduado, autoclavável de 500 ml de capacidade. Tampa injetada em Nylon com enxerto de metal cromado, botão de controle do fluxo de aspiração e bico de sucção.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CONECTOR Y PARA CILINDRO DE OXIGÊNIO: Tomada dupla com válvula para Oxigênio, corpo em alumínio injetado e pintura eletrostática, borboleta em polipropileno; conexão padrão ABNT.</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06</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CONJUNTO DE NEBULIZAÇÃO CONTINUA: frasco em policarbonato de 500 ml, para rede de O², com traqueia corrugada em PVC, atóxica de 1,20 m e máscara facial adulto em PVC, tampas hastes e conexões fabricadas em nylon com fibras.</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07</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12</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FLUXÔMETRO PARA REDE CANALIZADA DE AR COMPRIMIDO: construído em metal cromado, de escala de 0 a 15 litros/minuto, rosca borboleta, capsulas interna e externa em material plástico inquebrável, esfera de aço inox, procedência nacional, registro no Ministério da Saúde.</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08</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75</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FLUXÔMETRO: PARA REDE CANALIZADA DE OXIGÊNIO: com rosca borboleta, de 0 a 15 litros/minuto, capsulas externa e interna em material plástico inquebrável, corpo em metal cromado e esfera de aço inox, sistema de vedação tipo agulha, procedência nacional. Registro no Ministério da Saúde.</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09</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2.250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FILTRO PARA ESPIRÔMETRO: bacteriano e antiviral, fabricado em poliestireno, compatível com espirômetro da marca MIR modelo Spirobank II. Eficiência de filtração: BFE 99,9% e VFE 99,9%. Produto descartável para uso único, embalado individualmente. BOCAL / TUBETE: para espirometria com dimensões de 65 a 70mm de comprimento, diâmetro EXTERNO do tubete de 30mm e diâmetro INTERNO de 28mm; compatível com o filtro para o espirômetro da marca MIR, modelo Spirobank II; confeccionado em papelão resistente, com película plastificada na parte externa; embalado individualmente que garanta a integridade do produto até sua utilização.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10</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REGULADOR DE PRESSÃO COM FLUXÔMETRO PARA OXIGÊNIO (CILINDRO):com um manômetro e fluxômetro, com 01 (uma) saída, com tampa protetora. Conexão padrão ABNT.</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20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REGULADOR DE PRESSÃO DE POSTO DE AR COMPRIMIDO (PAREDE): para respirador, corpo em metal cromado, manômetro de pressão, rosca padrão, com 1 saída para rede canalizada de ar comprimido, com tampa protetora. Conexão padrão ABNT.</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12</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02</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REGULADOR DE PRESSÃO DE POSTO DE OXIGÊNIO (PAREDE): para respirador, corpo em metal cromado, manômetro de pressão, rosca padrão, com 1 saída para rede canalizada de oxigênio, com tampa protetora. Conexão padrão ABNT.</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13</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REGULADOR DE PRESSÃO SEM FLUXÔMETRO PARA AR COMPRIMIDO (CILINDRO): com um manômetro com 01 (uma) saída, com tampa protetora. Conexão padrão ABNT.</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14</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REGULADOR DE PRESSÃO SEM FLUXÔMETRO PARA OXIGÊNIO: para cilindro com um manômetro com 01 (uma) saída, com tampa protetora. Conexão padrão ABNT</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MET</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TUBO DE SILICONE: cirúrgico, transparente, resistente a tração e esterilizável, n. 204, pacote 15 metros; embalagem que garanta a identificação e integridade do produto até sua utilização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16</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16</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UMIDIFICADOR DE OXIGÊNIO: frasco com capacidade para 250 ml, em PVC, com marcação de nível mínimo; acompanhado de máscara e extensão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17</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ASPIRADOR DE VÁCUO: completo com frasco de vidro de 500 ml, para rede canalizada de gases</w:t>
            </w:r>
          </w:p>
        </w:tc>
      </w:tr>
    </w:tbl>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DAS AMOSTRAS:</w:t>
      </w:r>
    </w:p>
    <w:p>
      <w:pPr>
        <w:pStyle w:val="Normal"/>
        <w:tabs>
          <w:tab w:val="clear" w:pos="709"/>
          <w:tab w:val="left" w:pos="284" w:leader="none"/>
        </w:tabs>
        <w:jc w:val="both"/>
        <w:rPr>
          <w:rFonts w:ascii="Arial" w:hAnsi="Arial" w:eastAsia="Calibri" w:cs="Arial"/>
          <w:b/>
          <w:bCs/>
          <w:lang w:eastAsia="pt-BR"/>
        </w:rPr>
      </w:pPr>
      <w:r>
        <w:rPr>
          <w:rFonts w:eastAsia="Calibri" w:cs="Arial" w:ascii="Arial" w:hAnsi="Arial"/>
          <w:b/>
          <w:bCs/>
          <w:lang w:eastAsia="pt-BR"/>
        </w:rPr>
        <w:t xml:space="preserve">a) </w:t>
      </w:r>
      <w:r>
        <w:rPr>
          <w:rFonts w:eastAsia="Calibri" w:cs="Arial" w:ascii="Arial" w:hAnsi="Arial"/>
          <w:lang w:eastAsia="pt-BR"/>
        </w:rPr>
        <w:t xml:space="preserve">A Unidade Requisitante se reserva o direito de solicitar amostras sempre que uma </w:t>
      </w:r>
      <w:r>
        <w:rPr>
          <w:rFonts w:eastAsia="Calibri" w:cs="Arial" w:ascii="Arial" w:hAnsi="Arial"/>
          <w:b/>
          <w:bCs/>
          <w:iCs/>
          <w:lang w:eastAsia="pt-BR"/>
        </w:rPr>
        <w:t>avaliação técnico física ou funcional for imprescindível</w:t>
      </w:r>
      <w:r>
        <w:rPr>
          <w:rFonts w:eastAsia="Calibri" w:cs="Arial" w:ascii="Arial" w:hAnsi="Arial"/>
          <w:lang w:eastAsia="pt-BR"/>
        </w:rPr>
        <w:t xml:space="preserve"> para determinar sua adequação às necessidades propostas </w:t>
      </w:r>
      <w:r>
        <w:rPr>
          <w:rFonts w:eastAsia="Calibri" w:cs="Arial" w:ascii="Arial" w:hAnsi="Arial"/>
          <w:b/>
          <w:bCs/>
          <w:iCs/>
          <w:lang w:eastAsia="pt-BR"/>
        </w:rPr>
        <w:t>e/ou</w:t>
      </w:r>
      <w:r>
        <w:rPr>
          <w:rFonts w:eastAsia="Calibri" w:cs="Arial" w:ascii="Arial" w:hAnsi="Arial"/>
          <w:lang w:eastAsia="pt-BR"/>
        </w:rPr>
        <w:t xml:space="preserve"> quando se tratar de </w:t>
      </w:r>
      <w:r>
        <w:rPr>
          <w:rFonts w:eastAsia="Calibri" w:cs="Arial" w:ascii="Arial" w:hAnsi="Arial"/>
          <w:b/>
          <w:bCs/>
          <w:iCs/>
          <w:lang w:eastAsia="pt-BR"/>
        </w:rPr>
        <w:t>marcas não utilizadas anteriormente</w:t>
      </w:r>
      <w:r>
        <w:rPr>
          <w:rFonts w:eastAsia="Calibri" w:cs="Arial" w:ascii="Arial" w:hAnsi="Arial"/>
          <w:lang w:eastAsia="pt-BR"/>
        </w:rPr>
        <w:t>. As amostras serão analisadas quanto às suas características técnicas, incluindo tipo de material, qualidade de fabricação, vedação, integridade dos componentes, resistência, durabilidade, precisão de funcionamento, eficiência no controle e condução de gases medicinais (oxigênio e ar comprimido), desempenho dos dispositivos (como reguladores de pressão, fluxômetros, aspiradores, vacuômetros, conexões e umidificadores), compatibilidade com sistemas de rede e cilindros, integridade da embalagem, prazo de validade (quando aplicável), identificação do produto e conformidade com o descritivo;</w:t>
      </w:r>
    </w:p>
    <w:p>
      <w:pPr>
        <w:pStyle w:val="Normal"/>
        <w:tabs>
          <w:tab w:val="clear" w:pos="709"/>
          <w:tab w:val="left" w:pos="284" w:leader="none"/>
        </w:tabs>
        <w:jc w:val="both"/>
        <w:rPr>
          <w:rFonts w:ascii="Arial" w:hAnsi="Arial" w:eastAsia="Calibri" w:cs="Arial"/>
          <w:b/>
          <w:bCs/>
          <w:lang w:eastAsia="pt-BR"/>
        </w:rPr>
      </w:pPr>
      <w:r>
        <w:rPr>
          <w:rFonts w:eastAsia="Calibri" w:cs="Arial" w:ascii="Arial" w:hAnsi="Arial"/>
          <w:b/>
          <w:bCs/>
          <w:lang w:eastAsia="pt-BR"/>
        </w:rPr>
        <w:t>b)</w:t>
      </w:r>
      <w:r>
        <w:rPr>
          <w:rFonts w:eastAsia="Calibri" w:cs="Arial" w:ascii="Arial" w:hAnsi="Arial"/>
          <w:lang w:eastAsia="pt-BR"/>
        </w:rPr>
        <w:t xml:space="preserve"> Para assegurar a confiabilidade do processo, a equipe técnica responsável pelo julgamento das propostas realizará a análise das amostras ou, quando julgar necessário, providenciará o encaminhamento às unidades utilizadoras para avaliação prática em ambiente assistencial, onde profissionais de saúde realizarão testes com o objetivo de verificar o desempenho, manuseio, segurança, precisão, adaptação ao uso clínico e conformidade dos produtos com as especificações exigidas e com as necessidades dos atendimentos, especialmente no que se refere ao funcionamento dos sistemas de gases medicinais em situações assistenciais.  </w:t>
      </w:r>
    </w:p>
    <w:p>
      <w:pPr>
        <w:pStyle w:val="Normal"/>
        <w:tabs>
          <w:tab w:val="clear" w:pos="709"/>
          <w:tab w:val="left" w:pos="284" w:leader="none"/>
        </w:tabs>
        <w:jc w:val="both"/>
        <w:rPr>
          <w:rFonts w:ascii="Arial" w:hAnsi="Arial" w:eastAsia="Calibri" w:cs="Arial"/>
          <w:b/>
          <w:bCs/>
          <w:lang w:eastAsia="pt-BR"/>
        </w:rPr>
      </w:pPr>
      <w:r>
        <w:rPr>
          <w:rFonts w:eastAsia="Calibri" w:cs="Arial" w:ascii="Arial" w:hAnsi="Arial"/>
          <w:b/>
          <w:bCs/>
          <w:lang w:eastAsia="pt-BR"/>
        </w:rPr>
        <w:t xml:space="preserve">c) </w:t>
      </w:r>
      <w:r>
        <w:rPr>
          <w:rFonts w:eastAsia="Calibri" w:cs="Arial" w:ascii="Arial" w:hAnsi="Arial"/>
          <w:lang w:eastAsia="pt-BR"/>
        </w:rPr>
        <w:t xml:space="preserve">Quando solicitadas, as amostras deverão ser entregues no </w:t>
      </w:r>
      <w:r>
        <w:rPr>
          <w:rFonts w:eastAsia="Calibri" w:cs="Arial" w:ascii="Arial" w:hAnsi="Arial"/>
          <w:b/>
          <w:bCs/>
          <w:iCs/>
          <w:lang w:eastAsia="pt-BR"/>
        </w:rPr>
        <w:t>prazo máximo de até 03 (três) dias úteis, contados a partir do envio da solicitação</w:t>
      </w:r>
      <w:r>
        <w:rPr>
          <w:rFonts w:eastAsia="Calibri" w:cs="Arial" w:ascii="Arial" w:hAnsi="Arial"/>
          <w:lang w:eastAsia="pt-BR"/>
        </w:rPr>
        <w:t xml:space="preserve">. A solicitação será realizada por meio de correio eletrônico (e-mail), </w:t>
      </w:r>
      <w:r>
        <w:rPr>
          <w:rFonts w:eastAsia="Calibri" w:cs="Arial" w:ascii="Arial" w:hAnsi="Arial"/>
          <w:b/>
          <w:bCs/>
          <w:iCs/>
          <w:lang w:eastAsia="pt-BR"/>
        </w:rPr>
        <w:t>sob pena de desclassificação da proposta em caso de não atendimento ao prazo estabelecido</w:t>
      </w:r>
      <w:r>
        <w:rPr>
          <w:rFonts w:eastAsia="Calibri" w:cs="Arial" w:ascii="Arial" w:hAnsi="Arial"/>
          <w:lang w:eastAsia="pt-BR"/>
        </w:rPr>
        <w:t>;</w:t>
      </w:r>
    </w:p>
    <w:p>
      <w:pPr>
        <w:pStyle w:val="Normal"/>
        <w:tabs>
          <w:tab w:val="clear" w:pos="709"/>
          <w:tab w:val="left" w:pos="284" w:leader="none"/>
        </w:tabs>
        <w:jc w:val="both"/>
        <w:rPr>
          <w:rFonts w:ascii="Arial" w:hAnsi="Arial" w:eastAsia="Calibri" w:cs="Arial"/>
          <w:b/>
          <w:bCs/>
          <w:lang w:eastAsia="pt-BR"/>
        </w:rPr>
      </w:pPr>
      <w:r>
        <w:rPr>
          <w:rFonts w:eastAsia="Calibri" w:cs="Arial" w:ascii="Arial" w:hAnsi="Arial"/>
          <w:b/>
          <w:bCs/>
          <w:lang w:eastAsia="pt-BR"/>
        </w:rPr>
        <w:t xml:space="preserve">d) </w:t>
      </w:r>
      <w:r>
        <w:rPr>
          <w:rFonts w:eastAsia="Calibri" w:cs="Arial" w:ascii="Arial" w:hAnsi="Arial"/>
          <w:lang w:eastAsia="pt-BR"/>
        </w:rPr>
        <w:t>Amostras de produtos de uso único, consumo imediato ou não reutilizáveis serão testadas conforme sua finalidade e descartadas após a avaliação, em conformidade com as normas de biossegurança e gerenciamento de resíduos</w:t>
      </w:r>
      <w:r>
        <w:rPr>
          <w:rFonts w:eastAsia="Calibri" w:cs="Arial" w:ascii="Arial" w:hAnsi="Arial"/>
          <w:bCs/>
          <w:lang w:eastAsia="pt-BR"/>
        </w:rPr>
        <w:t>;</w:t>
      </w:r>
    </w:p>
    <w:p>
      <w:pPr>
        <w:pStyle w:val="Normal"/>
        <w:tabs>
          <w:tab w:val="clear" w:pos="709"/>
          <w:tab w:val="left" w:pos="279" w:leader="none"/>
        </w:tabs>
        <w:jc w:val="both"/>
        <w:rPr>
          <w:rFonts w:ascii="Arial" w:hAnsi="Arial" w:eastAsia="Calibri" w:cs="Arial"/>
          <w:b/>
          <w:bCs/>
          <w:lang w:eastAsia="pt-BR"/>
        </w:rPr>
      </w:pPr>
      <w:r>
        <w:rPr>
          <w:rFonts w:eastAsia="Calibri" w:cs="Arial" w:ascii="Arial" w:hAnsi="Arial"/>
          <w:b/>
          <w:bCs/>
          <w:lang w:eastAsia="pt-BR"/>
        </w:rPr>
        <w:t xml:space="preserve">e) </w:t>
      </w:r>
      <w:r>
        <w:rPr>
          <w:rFonts w:eastAsia="Calibri" w:cs="Arial" w:ascii="Arial" w:hAnsi="Arial"/>
          <w:lang w:eastAsia="pt-BR"/>
        </w:rPr>
        <w:t>Quando tecnicamente aplicável, as amostras de produtos que permitam avaliação sem consumo integral serão testadas e arquivadas como referência técnica;</w:t>
      </w:r>
    </w:p>
    <w:p>
      <w:pPr>
        <w:pStyle w:val="Normal"/>
        <w:tabs>
          <w:tab w:val="clear" w:pos="709"/>
          <w:tab w:val="left" w:pos="284" w:leader="none"/>
        </w:tabs>
        <w:jc w:val="both"/>
        <w:rPr>
          <w:rFonts w:ascii="Arial" w:hAnsi="Arial" w:eastAsia="Calibri" w:cs="Arial"/>
          <w:lang w:eastAsia="pt-BR"/>
        </w:rPr>
      </w:pPr>
      <w:r>
        <w:rPr>
          <w:rFonts w:eastAsia="Calibri" w:cs="Arial" w:ascii="Arial" w:hAnsi="Arial"/>
          <w:b/>
          <w:bCs/>
          <w:lang w:eastAsia="pt-BR"/>
        </w:rPr>
        <w:t xml:space="preserve">f) </w:t>
      </w:r>
      <w:r>
        <w:rPr>
          <w:rFonts w:eastAsia="Calibri" w:cs="Arial" w:ascii="Arial" w:hAnsi="Arial"/>
          <w:b/>
          <w:lang w:eastAsia="pt-BR"/>
        </w:rPr>
        <w:t>Local e horário de entrega:</w:t>
      </w:r>
    </w:p>
    <w:p>
      <w:pPr>
        <w:pStyle w:val="Normal"/>
        <w:tabs>
          <w:tab w:val="clear" w:pos="709"/>
          <w:tab w:val="left" w:pos="284" w:leader="none"/>
        </w:tabs>
        <w:jc w:val="both"/>
        <w:rPr>
          <w:rFonts w:ascii="Arial" w:hAnsi="Arial" w:eastAsia="Calibri" w:cs="Arial"/>
          <w:lang w:eastAsia="pt-BR"/>
        </w:rPr>
      </w:pPr>
      <w:r>
        <w:rPr>
          <w:rFonts w:eastAsia="Calibri" w:cs="Arial" w:ascii="Arial" w:hAnsi="Arial"/>
          <w:lang w:eastAsia="pt-BR"/>
        </w:rPr>
      </w:r>
    </w:p>
    <w:p>
      <w:pPr>
        <w:pStyle w:val="Normal"/>
        <w:tabs>
          <w:tab w:val="clear" w:pos="709"/>
          <w:tab w:val="left" w:pos="284" w:leader="none"/>
        </w:tabs>
        <w:ind w:left="284"/>
        <w:jc w:val="both"/>
        <w:rPr>
          <w:rFonts w:ascii="Arial" w:hAnsi="Arial" w:eastAsia="Calibri" w:cs="Arial"/>
          <w:b/>
          <w:lang w:eastAsia="pt-BR"/>
        </w:rPr>
      </w:pPr>
      <w:r>
        <w:rPr>
          <w:rFonts w:eastAsia="Calibri" w:cs="Arial" w:ascii="Arial" w:hAnsi="Arial"/>
          <w:b/>
          <w:lang w:eastAsia="pt-BR"/>
        </w:rPr>
        <w:t xml:space="preserve">Prefeitura Municipal de Piracicaba – Secretaria Municipal de Saúde </w:t>
      </w:r>
    </w:p>
    <w:p>
      <w:pPr>
        <w:pStyle w:val="Normal"/>
        <w:tabs>
          <w:tab w:val="clear" w:pos="709"/>
          <w:tab w:val="left" w:pos="284" w:leader="none"/>
        </w:tabs>
        <w:ind w:left="284"/>
        <w:jc w:val="both"/>
        <w:rPr>
          <w:rFonts w:ascii="Arial" w:hAnsi="Arial" w:eastAsia="Calibri" w:cs="Arial"/>
          <w:b/>
          <w:lang w:eastAsia="pt-BR"/>
        </w:rPr>
      </w:pPr>
      <w:r>
        <w:rPr>
          <w:rFonts w:eastAsia="Calibri" w:cs="Arial" w:ascii="Arial" w:hAnsi="Arial"/>
          <w:b/>
          <w:bCs/>
          <w:lang w:eastAsia="pt-BR"/>
        </w:rPr>
        <w:t>A/C: Gerência de Suprimentos</w:t>
      </w:r>
    </w:p>
    <w:p>
      <w:pPr>
        <w:pStyle w:val="Normal"/>
        <w:tabs>
          <w:tab w:val="clear" w:pos="709"/>
          <w:tab w:val="left" w:pos="284" w:leader="none"/>
        </w:tabs>
        <w:ind w:left="284"/>
        <w:jc w:val="both"/>
        <w:rPr>
          <w:rFonts w:ascii="Arial" w:hAnsi="Arial" w:eastAsia="Calibri" w:cs="Arial"/>
          <w:b/>
          <w:lang w:eastAsia="pt-BR"/>
        </w:rPr>
      </w:pPr>
      <w:r>
        <w:rPr>
          <w:rFonts w:eastAsia="Calibri" w:cs="Arial" w:ascii="Arial" w:hAnsi="Arial"/>
          <w:b/>
          <w:lang w:eastAsia="pt-BR"/>
        </w:rPr>
        <w:t xml:space="preserve">Rua Capitão Antônio Corrêa Barbosa, 2233, </w:t>
      </w:r>
      <w:r>
        <w:rPr>
          <w:rFonts w:eastAsia="Calibri" w:cs="Arial" w:ascii="Arial" w:hAnsi="Arial"/>
          <w:b/>
          <w:bCs/>
          <w:lang w:eastAsia="pt-BR"/>
        </w:rPr>
        <w:t>2º andar</w:t>
      </w:r>
      <w:r>
        <w:rPr>
          <w:rFonts w:eastAsia="Calibri" w:cs="Arial" w:ascii="Arial" w:hAnsi="Arial"/>
          <w:b/>
          <w:lang w:eastAsia="pt-BR"/>
        </w:rPr>
        <w:t xml:space="preserve"> – Chácara Nazareth, </w:t>
      </w:r>
    </w:p>
    <w:p>
      <w:pPr>
        <w:pStyle w:val="Normal"/>
        <w:tabs>
          <w:tab w:val="clear" w:pos="709"/>
          <w:tab w:val="left" w:pos="284" w:leader="none"/>
        </w:tabs>
        <w:ind w:left="284"/>
        <w:jc w:val="both"/>
        <w:rPr>
          <w:rFonts w:ascii="Arial" w:hAnsi="Arial" w:eastAsia="Calibri" w:cs="Arial"/>
          <w:b/>
          <w:bCs/>
          <w:lang w:eastAsia="pt-BR"/>
        </w:rPr>
      </w:pPr>
      <w:r>
        <w:rPr>
          <w:rFonts w:eastAsia="Calibri" w:cs="Arial" w:ascii="Arial" w:hAnsi="Arial"/>
          <w:b/>
          <w:lang w:eastAsia="pt-BR"/>
        </w:rPr>
        <w:t>CEP 13.400-900, Piracicaba - SP.</w:t>
      </w:r>
    </w:p>
    <w:p>
      <w:pPr>
        <w:pStyle w:val="Normal"/>
        <w:tabs>
          <w:tab w:val="clear" w:pos="709"/>
          <w:tab w:val="left" w:pos="284" w:leader="none"/>
        </w:tabs>
        <w:ind w:left="284"/>
        <w:jc w:val="both"/>
        <w:rPr>
          <w:rFonts w:ascii="Arial" w:hAnsi="Arial" w:eastAsia="Calibri" w:cs="Arial"/>
          <w:b/>
          <w:u w:val="single"/>
          <w:lang w:eastAsia="pt-BR"/>
        </w:rPr>
      </w:pPr>
      <w:r>
        <w:rPr>
          <w:rFonts w:eastAsia="Calibri" w:cs="Arial" w:ascii="Arial" w:hAnsi="Arial"/>
          <w:b/>
          <w:bCs/>
          <w:lang w:eastAsia="pt-BR"/>
        </w:rPr>
        <w:t>Horário de entrega: de 08:00 às 16:00 horas, de segunda a sexta-feira.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rPr>
          <w:rFonts w:ascii="Arial" w:hAnsi="Arial" w:cs="Arial"/>
        </w:rPr>
      </w:pPr>
      <w:r>
        <w:rPr>
          <w:rFonts w:cs="Arial" w:ascii="Arial" w:hAnsi="Arial"/>
          <w:b/>
          <w:bCs/>
        </w:rPr>
        <w:t>6. DA EMBALAGEM:</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Os materiais deverão ser fornecidos em embalagens adequadas ao tipo de produto, devidamente lacradas quando aplicável, que assegurem a integridade, proteção e conservação dos itens até o momento da utilização. Para os produtos que possuam requisitos específicos, deverá ser garantida a manutenção de suas características originais de funcionamento. A rotulagem deverá estar em conformidade com a legislação sanitária vigente, contendo informações claras quanto à identificação do produto, fabricante, data de fabricação, número de lote, prazo de validade (quando aplicável) e demais dados obrigatórios para rastreabilidade e segurança; </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b)</w:t>
      </w:r>
      <w:r>
        <w:rPr>
          <w:rFonts w:cs="Arial" w:ascii="Arial" w:hAnsi="Arial"/>
        </w:rPr>
        <w:t xml:space="preserve"> </w:t>
      </w:r>
      <w:r>
        <w:rPr>
          <w:rFonts w:cs="Arial" w:ascii="Arial" w:hAnsi="Arial"/>
        </w:rPr>
        <w:t>As embalagens dos produtos serão avaliadas quanto à integridade, resistência, vedação (quando aplicável), capacidade de proteção e facilidade de manuseio em ambiente assistencial. Deverão estar acondicionadas conforme as especificações do fabricante, garantindo sua integridade durante o transporte, armazenamento e utilização, evitando danos que possam comprometer o desempenho dos dispositivos..</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7. DA ENTREGA:</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a)</w:t>
      </w:r>
      <w:r>
        <w:rPr>
          <w:rFonts w:cs="Arial" w:ascii="Arial" w:hAnsi="Arial"/>
          <w:lang w:eastAsia="pt-BR"/>
        </w:rPr>
        <w:t xml:space="preserve"> </w:t>
      </w:r>
      <w:r>
        <w:rPr>
          <w:rFonts w:cs="Arial" w:ascii="Arial" w:hAnsi="Arial"/>
          <w:lang w:eastAsia="pt-BR"/>
        </w:rPr>
        <w:t>Prazo de entrega: até o máximo de 10 (dez) dias corridos, a contar da Ordem de Fornecimento, emitida pela Unidade Requisitante.</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b)</w:t>
      </w:r>
      <w:r>
        <w:rPr>
          <w:rFonts w:cs="Arial" w:ascii="Arial" w:hAnsi="Arial"/>
        </w:rPr>
        <w:t xml:space="preserve"> </w:t>
      </w:r>
      <w:r>
        <w:rPr>
          <w:rFonts w:cs="Arial" w:ascii="Arial" w:hAnsi="Arial"/>
        </w:rPr>
        <w:t>A empresa vencedora deverá seguir programação da Prefeitura Municipal de Piracicaba quanto a data, horário e quantidade dos medicamentos a serem entregues.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lang w:eastAsia="pt-BR"/>
        </w:rPr>
        <w:t>c)</w:t>
      </w:r>
      <w:r>
        <w:rPr>
          <w:rFonts w:cs="Arial" w:ascii="Arial" w:hAnsi="Arial"/>
          <w:lang w:eastAsia="pt-BR"/>
        </w:rPr>
        <w:t xml:space="preserve"> </w:t>
      </w:r>
      <w:r>
        <w:rPr>
          <w:rFonts w:cs="Arial" w:ascii="Arial" w:hAnsi="Arial"/>
          <w:lang w:eastAsia="pt-BR"/>
        </w:rPr>
        <w:t xml:space="preserve">Local de entrega: </w:t>
      </w:r>
    </w:p>
    <w:p>
      <w:pPr>
        <w:pStyle w:val="Normal"/>
        <w:tabs>
          <w:tab w:val="clear" w:pos="709"/>
          <w:tab w:val="left" w:pos="284" w:leader="none"/>
        </w:tabs>
        <w:jc w:val="both"/>
        <w:rPr>
          <w:rFonts w:ascii="Arial" w:hAnsi="Arial" w:cs="Arial"/>
        </w:rPr>
      </w:pPr>
      <w:r>
        <w:rPr>
          <w:rFonts w:cs="Arial" w:ascii="Arial" w:hAnsi="Arial"/>
        </w:rPr>
      </w:r>
    </w:p>
    <w:p>
      <w:pPr>
        <w:pStyle w:val="Normal"/>
        <w:ind w:left="709"/>
        <w:jc w:val="both"/>
        <w:rPr>
          <w:rFonts w:ascii="Arial" w:hAnsi="Arial" w:cs="Arial"/>
          <w:b/>
        </w:rPr>
      </w:pPr>
      <w:r>
        <w:rPr>
          <w:rFonts w:cs="Arial" w:ascii="Arial" w:hAnsi="Arial"/>
          <w:b/>
        </w:rPr>
        <w:t>Secretaria Municipal de Saúde, Almoxarifado III</w:t>
      </w:r>
    </w:p>
    <w:p>
      <w:pPr>
        <w:pStyle w:val="Normal"/>
        <w:ind w:left="709"/>
        <w:jc w:val="both"/>
        <w:rPr>
          <w:rFonts w:ascii="Arial" w:hAnsi="Arial" w:cs="Arial"/>
          <w:b/>
        </w:rPr>
      </w:pPr>
      <w:r>
        <w:rPr>
          <w:rFonts w:cs="Arial" w:ascii="Arial" w:hAnsi="Arial"/>
          <w:b/>
        </w:rPr>
        <w:t>Rua Sérgio Porto nº 100, Higienópolis - CEP. 13.424-311 – Piracicaba/SP.</w:t>
      </w:r>
    </w:p>
    <w:p>
      <w:pPr>
        <w:pStyle w:val="Normal"/>
        <w:ind w:left="709"/>
        <w:jc w:val="both"/>
        <w:rPr>
          <w:rFonts w:ascii="Arial" w:hAnsi="Arial" w:cs="Arial"/>
          <w:b/>
        </w:rPr>
      </w:pPr>
      <w:r>
        <w:rPr>
          <w:rFonts w:cs="Arial" w:ascii="Arial" w:hAnsi="Arial"/>
          <w:b/>
        </w:rPr>
        <w:t>Horário de entrega: de 07:00 às 10:30 e 13:00 às 16:00 horas, de segunda a sexta-feira.</w:t>
      </w:r>
      <w:r>
        <w:rPr>
          <w:rFonts w:cs="Arial" w:ascii="Arial" w:hAnsi="Arial"/>
          <w:b/>
        </w:rPr>
        <w:t xml:space="preserve"> </w:t>
      </w:r>
    </w:p>
    <w:p>
      <w:pPr>
        <w:pStyle w:val="Normal"/>
        <w:ind w:left="709"/>
        <w:jc w:val="both"/>
        <w:rPr>
          <w:rFonts w:ascii="Arial" w:hAnsi="Arial" w:cs="Arial"/>
          <w:b/>
        </w:rPr>
      </w:pPr>
      <w:r>
        <w:rPr>
          <w:rFonts w:cs="Arial" w:ascii="Arial" w:hAnsi="Arial"/>
          <w:b/>
        </w:rPr>
      </w:r>
    </w:p>
    <w:p>
      <w:pPr>
        <w:pStyle w:val="Normal"/>
        <w:keepLines/>
        <w:numPr>
          <w:ilvl w:val="0"/>
          <w:numId w:val="0"/>
        </w:numPr>
        <w:tabs>
          <w:tab w:val="clear" w:pos="709"/>
          <w:tab w:val="left" w:pos="284" w:leader="none"/>
        </w:tabs>
        <w:ind w:hanging="0" w:left="0"/>
        <w:jc w:val="both"/>
        <w:rPr>
          <w:rFonts w:ascii="Arial" w:hAnsi="Arial" w:cs="Arial"/>
        </w:rPr>
      </w:pPr>
      <w:r>
        <w:rPr>
          <w:rFonts w:cs="Arial" w:ascii="Arial" w:hAnsi="Arial"/>
          <w:b/>
          <w:bCs/>
        </w:rPr>
        <w:t>d)</w:t>
      </w:r>
      <w:r>
        <w:rPr>
          <w:rFonts w:cs="Arial" w:ascii="Arial" w:hAnsi="Arial"/>
        </w:rPr>
        <w:t xml:space="preserve"> </w:t>
      </w:r>
      <w:r>
        <w:rPr>
          <w:rFonts w:cs="Arial" w:ascii="Arial" w:hAnsi="Arial"/>
        </w:rPr>
        <w:t>É obrigatório que o produto seja entregue com pelo menos 80% do seu tempo de validade ou superior.</w:t>
      </w:r>
    </w:p>
    <w:p>
      <w:pPr>
        <w:pStyle w:val="Normal"/>
        <w:keepLines/>
        <w:numPr>
          <w:ilvl w:val="0"/>
          <w:numId w:val="0"/>
        </w:numPr>
        <w:tabs>
          <w:tab w:val="clear" w:pos="709"/>
          <w:tab w:val="left" w:pos="284" w:leader="none"/>
        </w:tabs>
        <w:ind w:hanging="0" w:left="0"/>
        <w:jc w:val="both"/>
        <w:rPr>
          <w:rFonts w:ascii="Arial" w:hAnsi="Arial" w:cs="Arial"/>
        </w:rPr>
      </w:pPr>
      <w:r>
        <w:rPr>
          <w:rFonts w:cs="Arial" w:ascii="Arial" w:hAnsi="Arial"/>
          <w:b/>
          <w:bCs/>
        </w:rPr>
        <w:t>e)</w:t>
      </w:r>
      <w:r>
        <w:rPr>
          <w:rFonts w:cs="Arial" w:ascii="Arial" w:hAnsi="Arial"/>
        </w:rPr>
        <w:t xml:space="preserve"> </w:t>
      </w:r>
      <w:r>
        <w:rPr>
          <w:rFonts w:cs="Arial" w:ascii="Arial" w:hAnsi="Arial"/>
        </w:rPr>
        <w:t>Material com validade entre 65 e 80% será aceito com Carta de compromisso de troca, a ser executada com 60 dias de antecedência a data de expiração da validade.</w:t>
      </w:r>
    </w:p>
    <w:p>
      <w:pPr>
        <w:pStyle w:val="Normal"/>
        <w:keepLines/>
        <w:numPr>
          <w:ilvl w:val="0"/>
          <w:numId w:val="19"/>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 a serem observadas pelo Almoxarifado.</w:t>
      </w:r>
    </w:p>
    <w:p>
      <w:pPr>
        <w:pStyle w:val="Normal"/>
        <w:keepLines/>
        <w:numPr>
          <w:ilvl w:val="0"/>
          <w:numId w:val="20"/>
        </w:numPr>
        <w:tabs>
          <w:tab w:val="clear" w:pos="709"/>
          <w:tab w:val="left" w:pos="284" w:leader="none"/>
        </w:tabs>
        <w:jc w:val="both"/>
        <w:rPr>
          <w:rFonts w:ascii="Arial" w:hAnsi="Arial" w:cs="Arial"/>
        </w:rPr>
      </w:pPr>
      <w:r>
        <w:rPr>
          <w:rFonts w:cs="Arial" w:ascii="Arial" w:hAnsi="Arial"/>
        </w:rPr>
        <w:t>O recebimento será considerado provisório, para efeito de posterior verificação da quantidade e conformidade dos materiais com as especificações, no prazo de até 03 (três) dias, a contar da data de entrega.</w:t>
      </w:r>
    </w:p>
    <w:p>
      <w:pPr>
        <w:pStyle w:val="Normal"/>
        <w:keepLines/>
        <w:numPr>
          <w:ilvl w:val="0"/>
          <w:numId w:val="21"/>
        </w:numPr>
        <w:tabs>
          <w:tab w:val="clear" w:pos="709"/>
          <w:tab w:val="left" w:pos="284" w:leader="none"/>
        </w:tabs>
        <w:jc w:val="both"/>
        <w:rPr>
          <w:rFonts w:ascii="Arial" w:hAnsi="Arial" w:cs="Arial"/>
        </w:rPr>
      </w:pPr>
      <w:r>
        <w:rPr>
          <w:rFonts w:cs="Arial" w:ascii="Arial" w:hAnsi="Arial"/>
        </w:rPr>
        <w:t>O recebimento será definitivo, após a verificação da qualidade dos materiais e consequente aceitação, no prazo de até 30 (trinta) dias, a contar do recebimento provisório.</w:t>
      </w:r>
    </w:p>
    <w:p>
      <w:pPr>
        <w:pStyle w:val="Normal"/>
        <w:keepLines/>
        <w:numPr>
          <w:ilvl w:val="0"/>
          <w:numId w:val="22"/>
        </w:numPr>
        <w:tabs>
          <w:tab w:val="clear" w:pos="709"/>
          <w:tab w:val="left" w:pos="284" w:leader="none"/>
        </w:tabs>
        <w:jc w:val="both"/>
        <w:rPr>
          <w:rFonts w:ascii="Arial" w:hAnsi="Arial" w:cs="Arial"/>
        </w:rPr>
      </w:pPr>
      <w:r>
        <w:rPr>
          <w:rFonts w:cs="Arial" w:ascii="Arial" w:hAnsi="Arial"/>
        </w:rPr>
        <w:t xml:space="preserve">Se for constatada qualquer alteração na qualidade ou composição durante a </w:t>
      </w:r>
      <w:r>
        <w:rPr>
          <w:rFonts w:cs="Arial" w:ascii="Arial" w:hAnsi="Arial"/>
          <w:u w:val="single"/>
        </w:rPr>
        <w:t>validade</w:t>
      </w:r>
      <w:r>
        <w:rPr>
          <w:rFonts w:cs="Arial" w:ascii="Arial" w:hAnsi="Arial"/>
        </w:rPr>
        <w:t xml:space="preserve"> dos produtos, a Contratada se compromete a trocá-lo sem ônus para a Contratante, no prazo máximo de 10 (dez) dias, a contar da notificação emitida pela Unidade Requisitante.</w:t>
      </w:r>
    </w:p>
    <w:p>
      <w:pPr>
        <w:pStyle w:val="Normal"/>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8. DO FORNECIMENTO DE INFORMAÇÕES: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12"/>
        </w:numPr>
        <w:tabs>
          <w:tab w:val="clear" w:pos="709"/>
          <w:tab w:val="left" w:pos="284" w:leader="none"/>
        </w:tabs>
        <w:spacing w:lineRule="auto" w:line="276"/>
        <w:jc w:val="both"/>
        <w:rPr/>
      </w:pPr>
      <w:r>
        <w:rPr>
          <w:rFonts w:cs="Arial" w:ascii="Arial" w:hAnsi="Arial"/>
          <w:b/>
          <w:bCs/>
          <w:color w:val="000000"/>
        </w:rPr>
        <w:t>HABILITAÇÃO JURÍDICA</w:t>
      </w:r>
    </w:p>
    <w:p>
      <w:pPr>
        <w:pStyle w:val="Normal"/>
        <w:numPr>
          <w:ilvl w:val="1"/>
          <w:numId w:val="12"/>
        </w:numPr>
        <w:tabs>
          <w:tab w:val="clear" w:pos="709"/>
          <w:tab w:val="left" w:pos="284" w:leader="none"/>
        </w:tabs>
        <w:spacing w:lineRule="auto" w:line="276"/>
        <w:jc w:val="both"/>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12"/>
        </w:numPr>
        <w:tabs>
          <w:tab w:val="clear" w:pos="709"/>
          <w:tab w:val="left" w:pos="284" w:leader="none"/>
        </w:tabs>
        <w:spacing w:lineRule="auto" w:line="276"/>
        <w:jc w:val="both"/>
        <w:rPr/>
      </w:pPr>
      <w:r>
        <w:rPr>
          <w:rFonts w:cs="Arial" w:ascii="Arial" w:hAnsi="Arial"/>
        </w:rPr>
        <w:t xml:space="preserve">Apresentar Autorização de Funcionamento da Empresa (AFE) emitida pela ANVISA (ou cópia da sua publicação em D.O.U.); </w:t>
      </w:r>
    </w:p>
    <w:p>
      <w:pPr>
        <w:pStyle w:val="Normal"/>
        <w:numPr>
          <w:ilvl w:val="1"/>
          <w:numId w:val="12"/>
        </w:numPr>
        <w:tabs>
          <w:tab w:val="clear" w:pos="709"/>
          <w:tab w:val="left" w:pos="284" w:leader="none"/>
        </w:tabs>
        <w:spacing w:lineRule="auto" w:line="276"/>
        <w:jc w:val="both"/>
        <w:rPr/>
      </w:pPr>
      <w:r>
        <w:rPr>
          <w:rFonts w:cs="Arial" w:ascii="Arial" w:hAnsi="Arial"/>
        </w:rPr>
        <w:t>Apresentar Licença Sanitária Estadual ou Municipal: vigentes e compatíveis com o objeto da licitação, de acordo com a legislação em vigor.</w:t>
      </w:r>
    </w:p>
    <w:p>
      <w:pPr>
        <w:pStyle w:val="Normal"/>
        <w:tabs>
          <w:tab w:val="clear" w:pos="709"/>
          <w:tab w:val="left" w:pos="1005" w:leader="none"/>
        </w:tabs>
        <w:spacing w:lineRule="auto" w:line="276"/>
        <w:jc w:val="both"/>
        <w:rPr>
          <w:rFonts w:ascii="Arial" w:hAnsi="Arial" w:cs="Arial"/>
        </w:rPr>
      </w:pPr>
      <w:r>
        <w:rPr>
          <w:rFonts w:cs="Arial" w:ascii="Arial" w:hAnsi="Arial"/>
        </w:rPr>
      </w:r>
    </w:p>
    <w:p>
      <w:pPr>
        <w:pStyle w:val="Normal"/>
        <w:numPr>
          <w:ilvl w:val="0"/>
          <w:numId w:val="12"/>
        </w:numPr>
        <w:tabs>
          <w:tab w:val="clear" w:pos="709"/>
          <w:tab w:val="left" w:pos="284" w:leader="none"/>
        </w:tabs>
        <w:spacing w:lineRule="auto" w:line="276"/>
        <w:jc w:val="both"/>
        <w:rPr/>
      </w:pPr>
      <w:r>
        <w:rPr>
          <w:rFonts w:cs="Arial" w:ascii="Arial" w:hAnsi="Arial"/>
          <w:b/>
          <w:bCs/>
        </w:rPr>
        <w:t>REGULARIDADE FISCAL E TRABALHISTA</w:t>
      </w:r>
    </w:p>
    <w:p>
      <w:pPr>
        <w:pStyle w:val="Normal"/>
        <w:numPr>
          <w:ilvl w:val="1"/>
          <w:numId w:val="12"/>
        </w:numPr>
        <w:tabs>
          <w:tab w:val="clear" w:pos="709"/>
          <w:tab w:val="left" w:pos="284" w:leader="none"/>
        </w:tabs>
        <w:spacing w:lineRule="auto" w:line="276"/>
        <w:jc w:val="both"/>
        <w:rPr/>
      </w:pPr>
      <w:r>
        <w:rPr>
          <w:rFonts w:cs="Arial" w:ascii="Arial" w:hAnsi="Arial"/>
          <w:color w:val="000000"/>
        </w:rPr>
        <w:t>Inscrição no Cadastro Nacional de Pessoa Jurídica (CNPJ), do Ministério da Fazenda.</w:t>
      </w:r>
    </w:p>
    <w:p>
      <w:pPr>
        <w:pStyle w:val="Normal"/>
        <w:numPr>
          <w:ilvl w:val="1"/>
          <w:numId w:val="12"/>
        </w:numPr>
        <w:tabs>
          <w:tab w:val="clear" w:pos="709"/>
          <w:tab w:val="left" w:pos="284" w:leader="none"/>
        </w:tabs>
        <w:spacing w:lineRule="auto" w:line="276"/>
        <w:jc w:val="both"/>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12"/>
        </w:numPr>
        <w:tabs>
          <w:tab w:val="clear" w:pos="709"/>
          <w:tab w:val="left" w:pos="284" w:leader="none"/>
        </w:tabs>
        <w:spacing w:lineRule="auto" w:line="276"/>
        <w:jc w:val="both"/>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12"/>
        </w:numPr>
        <w:tabs>
          <w:tab w:val="clear" w:pos="709"/>
          <w:tab w:val="left" w:pos="284" w:leader="none"/>
          <w:tab w:val="left" w:pos="426" w:leader="none"/>
        </w:tabs>
        <w:spacing w:lineRule="auto" w:line="276"/>
        <w:jc w:val="both"/>
        <w:rPr/>
      </w:pPr>
      <w:r>
        <w:rPr>
          <w:rFonts w:cs="Arial" w:ascii="Arial" w:hAnsi="Arial"/>
          <w:color w:val="000000"/>
        </w:rPr>
        <w:t>Será exigida comprovação somente sobre débitos inscritos em dívida ativa.</w:t>
      </w:r>
    </w:p>
    <w:p>
      <w:pPr>
        <w:pStyle w:val="Normal"/>
        <w:numPr>
          <w:ilvl w:val="1"/>
          <w:numId w:val="12"/>
        </w:numPr>
        <w:tabs>
          <w:tab w:val="clear" w:pos="709"/>
          <w:tab w:val="left" w:pos="284" w:leader="none"/>
        </w:tabs>
        <w:spacing w:lineRule="auto" w:line="276"/>
        <w:jc w:val="both"/>
        <w:rPr/>
      </w:pPr>
      <w:r>
        <w:rPr>
          <w:rFonts w:cs="Arial" w:ascii="Arial" w:hAnsi="Arial"/>
          <w:color w:val="000000"/>
        </w:rPr>
        <w:t>Certidão de regularidade de débito para com o Fundo de Garantia por Tempo de Serviço (FGTS).</w:t>
      </w:r>
    </w:p>
    <w:p>
      <w:pPr>
        <w:pStyle w:val="Normal"/>
        <w:numPr>
          <w:ilvl w:val="1"/>
          <w:numId w:val="12"/>
        </w:numPr>
        <w:tabs>
          <w:tab w:val="clear" w:pos="709"/>
          <w:tab w:val="left" w:pos="284" w:leader="none"/>
        </w:tabs>
        <w:spacing w:lineRule="auto" w:line="276"/>
        <w:jc w:val="both"/>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spacing w:lineRule="auto" w:line="276"/>
        <w:jc w:val="both"/>
        <w:rPr>
          <w:rFonts w:ascii="Arial" w:hAnsi="Arial" w:cs="Arial"/>
          <w:highlight w:val="yellow"/>
        </w:rPr>
      </w:pPr>
      <w:r>
        <w:rPr>
          <w:rFonts w:cs="Arial" w:ascii="Arial" w:hAnsi="Arial"/>
          <w:highlight w:val="yellow"/>
        </w:rPr>
      </w:r>
    </w:p>
    <w:p>
      <w:pPr>
        <w:pStyle w:val="Normal"/>
        <w:numPr>
          <w:ilvl w:val="0"/>
          <w:numId w:val="12"/>
        </w:numPr>
        <w:tabs>
          <w:tab w:val="clear" w:pos="709"/>
          <w:tab w:val="left" w:pos="284" w:leader="none"/>
        </w:tabs>
        <w:spacing w:lineRule="auto" w:line="276"/>
        <w:jc w:val="both"/>
        <w:rPr/>
      </w:pPr>
      <w:r>
        <w:rPr>
          <w:rFonts w:cs="Arial" w:ascii="Arial" w:hAnsi="Arial"/>
          <w:b/>
          <w:bCs/>
        </w:rPr>
        <w:t>QUALIFICAÇÃO ECONÔMICO-FINANCEIRA</w:t>
      </w:r>
    </w:p>
    <w:p>
      <w:pPr>
        <w:pStyle w:val="Normal"/>
        <w:numPr>
          <w:ilvl w:val="1"/>
          <w:numId w:val="12"/>
        </w:numPr>
        <w:tabs>
          <w:tab w:val="clear" w:pos="709"/>
          <w:tab w:val="left" w:pos="284" w:leader="none"/>
        </w:tabs>
        <w:spacing w:lineRule="auto" w:line="276"/>
        <w:jc w:val="both"/>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spacing w:lineRule="auto" w:line="276"/>
        <w:jc w:val="both"/>
        <w:rPr>
          <w:rFonts w:ascii="Arial" w:hAnsi="Arial" w:cs="Arial"/>
        </w:rPr>
      </w:pPr>
      <w:r>
        <w:rPr>
          <w:rFonts w:cs="Arial" w:ascii="Arial" w:hAnsi="Arial"/>
        </w:rPr>
      </w:r>
    </w:p>
    <w:p>
      <w:pPr>
        <w:pStyle w:val="Normal"/>
        <w:numPr>
          <w:ilvl w:val="0"/>
          <w:numId w:val="12"/>
        </w:numPr>
        <w:tabs>
          <w:tab w:val="clear" w:pos="709"/>
          <w:tab w:val="left" w:pos="284" w:leader="none"/>
          <w:tab w:val="left" w:pos="426" w:leader="none"/>
        </w:tabs>
        <w:spacing w:lineRule="auto" w:line="276"/>
        <w:jc w:val="both"/>
        <w:rPr/>
      </w:pPr>
      <w:r>
        <w:rPr>
          <w:rFonts w:cs="Arial" w:ascii="Arial" w:hAnsi="Arial"/>
          <w:b/>
          <w:bCs/>
        </w:rPr>
        <w:t>DOCUMENTAÇÃO COMPLEMENTAR</w:t>
      </w:r>
    </w:p>
    <w:p>
      <w:pPr>
        <w:pStyle w:val="Normal"/>
        <w:numPr>
          <w:ilvl w:val="1"/>
          <w:numId w:val="12"/>
        </w:numPr>
        <w:tabs>
          <w:tab w:val="clear" w:pos="709"/>
          <w:tab w:val="left" w:pos="284" w:leader="none"/>
          <w:tab w:val="left" w:pos="426" w:leader="none"/>
        </w:tabs>
        <w:spacing w:lineRule="auto" w:line="276"/>
        <w:jc w:val="both"/>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12"/>
        </w:numPr>
        <w:tabs>
          <w:tab w:val="clear" w:pos="709"/>
          <w:tab w:val="left" w:pos="284" w:leader="none"/>
          <w:tab w:val="left" w:pos="426" w:leader="none"/>
        </w:tabs>
        <w:spacing w:lineRule="auto" w:line="276"/>
        <w:jc w:val="both"/>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12"/>
        </w:numPr>
        <w:tabs>
          <w:tab w:val="clear" w:pos="709"/>
          <w:tab w:val="left" w:pos="284" w:leader="none"/>
          <w:tab w:val="left" w:pos="426" w:leader="none"/>
        </w:tabs>
        <w:spacing w:lineRule="auto" w:line="276"/>
        <w:jc w:val="both"/>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12"/>
        </w:numPr>
        <w:tabs>
          <w:tab w:val="clear" w:pos="709"/>
          <w:tab w:val="left" w:pos="284" w:leader="none"/>
          <w:tab w:val="left" w:pos="426" w:leader="none"/>
        </w:tabs>
        <w:spacing w:lineRule="auto" w:line="276"/>
        <w:jc w:val="both"/>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tabs>
          <w:tab w:val="clear" w:pos="709"/>
          <w:tab w:val="left" w:pos="284" w:leader="none"/>
          <w:tab w:val="left" w:pos="426" w:leader="none"/>
        </w:tabs>
        <w:spacing w:lineRule="auto" w:line="276"/>
        <w:jc w:val="both"/>
        <w:rPr>
          <w:rFonts w:ascii="Arial" w:hAnsi="Arial" w:cs="Arial"/>
          <w:color w:val="000000"/>
        </w:rPr>
      </w:pPr>
      <w:r>
        <w:rPr>
          <w:rFonts w:cs="Arial" w:ascii="Arial" w:hAnsi="Arial"/>
          <w:color w:val="000000"/>
        </w:rPr>
      </w:r>
    </w:p>
    <w:p>
      <w:pPr>
        <w:pStyle w:val="Normal"/>
        <w:numPr>
          <w:ilvl w:val="2"/>
          <w:numId w:val="12"/>
        </w:numPr>
        <w:tabs>
          <w:tab w:val="clear" w:pos="709"/>
          <w:tab w:val="left" w:pos="284" w:leader="none"/>
          <w:tab w:val="left" w:pos="426" w:leader="none"/>
        </w:tabs>
        <w:spacing w:lineRule="auto" w:line="276"/>
        <w:jc w:val="both"/>
        <w:rPr>
          <w:rFonts w:ascii="Arial" w:hAnsi="Arial" w:cs="Arial"/>
          <w:color w:val="000000"/>
        </w:rPr>
      </w:pPr>
      <w:r>
        <w:rPr>
          <w:rFonts w:cs="Arial" w:ascii="Arial" w:hAnsi="Arial"/>
          <w:color w:val="000000"/>
        </w:rPr>
        <w:t xml:space="preserve">Comprovação da condição de Microempresa (ME) ou Empresa de Pequeno Porte (EPP), </w:t>
      </w:r>
      <w:r>
        <w:rPr>
          <w:rFonts w:cs="Arial" w:ascii="Arial" w:hAnsi="Arial"/>
          <w:color w:val="000000"/>
        </w:rPr>
        <w:t>devendo ser feita com a apresentação de um dos seguintes documentos</w:t>
      </w:r>
      <w:r>
        <w:rPr>
          <w:rFonts w:cs="Arial" w:ascii="Arial" w:hAnsi="Arial"/>
          <w:color w:val="000000"/>
        </w:rPr>
        <w:t>:</w:t>
      </w:r>
    </w:p>
    <w:p>
      <w:pPr>
        <w:pStyle w:val="Normal"/>
        <w:numPr>
          <w:ilvl w:val="3"/>
          <w:numId w:val="12"/>
        </w:numPr>
        <w:tabs>
          <w:tab w:val="clear" w:pos="709"/>
          <w:tab w:val="left" w:pos="284" w:leader="none"/>
          <w:tab w:val="left" w:pos="426" w:leader="none"/>
          <w:tab w:val="left" w:pos="567" w:leader="none"/>
        </w:tabs>
        <w:spacing w:lineRule="auto" w:line="276"/>
        <w:jc w:val="both"/>
        <w:rPr/>
      </w:pPr>
      <w:r>
        <w:rPr>
          <w:rFonts w:cs="Arial" w:ascii="Arial" w:hAnsi="Arial"/>
          <w:color w:val="000000"/>
        </w:rPr>
        <w:t>Certidão expedida pela Junta Comercial, caso exerçam atividade comercial, com data inferior a 180 dias.</w:t>
      </w:r>
    </w:p>
    <w:p>
      <w:pPr>
        <w:pStyle w:val="Normal"/>
        <w:numPr>
          <w:ilvl w:val="3"/>
          <w:numId w:val="12"/>
        </w:numPr>
        <w:tabs>
          <w:tab w:val="clear" w:pos="709"/>
          <w:tab w:val="left" w:pos="284" w:leader="none"/>
          <w:tab w:val="left" w:pos="426" w:leader="none"/>
          <w:tab w:val="left" w:pos="567" w:leader="none"/>
        </w:tabs>
        <w:spacing w:lineRule="auto" w:line="276"/>
        <w:jc w:val="both"/>
        <w:rPr/>
      </w:pPr>
      <w:r>
        <w:rPr>
          <w:rFonts w:cs="Arial" w:ascii="Arial" w:hAnsi="Arial"/>
          <w:color w:val="000000"/>
        </w:rPr>
        <w:t>Documento expedido pelo Registro Civil das Pessoas Jurídicas, caso atuem em outra área que não a comercial, com data inferior a 180 dias.</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19 de maio de 2026</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shd w:val="clear" w:color="auto" w:fill="FFFFFF"/>
        <w:jc w:val="center"/>
        <w:rPr>
          <w:rFonts w:ascii="Arial" w:hAnsi="Arial"/>
        </w:rPr>
      </w:pPr>
      <w:r>
        <w:rPr>
          <w:rFonts w:cs="Arial" w:ascii="Arial" w:hAnsi="Arial"/>
          <w:b/>
          <w:sz w:val="23"/>
          <w:szCs w:val="23"/>
          <w:lang w:eastAsia="pt-BR"/>
        </w:rPr>
        <w:t>Priscila Camargo Rodrigues Grecchi</w:t>
      </w:r>
    </w:p>
    <w:p>
      <w:pPr>
        <w:pStyle w:val="Normal"/>
        <w:shd w:val="clear" w:color="auto" w:fill="FFFFFF"/>
        <w:jc w:val="center"/>
        <w:rPr>
          <w:rFonts w:ascii="Arial" w:hAnsi="Arial"/>
        </w:rPr>
      </w:pPr>
      <w:r>
        <w:rPr>
          <w:rFonts w:ascii="Arial" w:hAnsi="Arial"/>
          <w:b/>
          <w:sz w:val="23"/>
          <w:szCs w:val="23"/>
          <w:lang w:eastAsia="pt-BR"/>
        </w:rPr>
        <w:t xml:space="preserve">Chefe de Divisão </w:t>
      </w:r>
    </w:p>
    <w:p>
      <w:pPr>
        <w:pStyle w:val="BodyText"/>
        <w:ind w:left="3969"/>
        <w:jc w:val="center"/>
        <w:rPr>
          <w:rFonts w:ascii="Arial" w:hAnsi="Arial"/>
          <w:sz w:val="2"/>
          <w:szCs w:val="2"/>
          <w:highlight w:val="yellow"/>
        </w:rPr>
      </w:pPr>
      <w:r>
        <w:rPr>
          <w:rFonts w:ascii="Arial" w:hAnsi="Arial"/>
          <w:sz w:val="2"/>
          <w:szCs w:val="2"/>
          <w:highlight w:val="yellow"/>
        </w:rPr>
      </w:r>
      <w:r>
        <w:br w:type="page"/>
      </w:r>
    </w:p>
    <w:p>
      <w:pPr>
        <w:pStyle w:val="Heading2"/>
        <w:numPr>
          <w:ilvl w:val="1"/>
          <w:numId w:val="1"/>
        </w:numPr>
        <w:tabs>
          <w:tab w:val="clear" w:pos="709"/>
        </w:tabs>
        <w:spacing w:before="0" w:after="0"/>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false"/>
        <w:spacing w:lineRule="auto" w:line="240"/>
        <w:ind w:firstLine="284"/>
        <w:textAlignment w:val="auto"/>
        <w:rPr>
          <w:sz w:val="20"/>
          <w:szCs w:val="20"/>
          <w:lang w:val="pt-BR"/>
        </w:rPr>
      </w:pPr>
      <w:r>
        <w:rPr>
          <w:sz w:val="20"/>
          <w:szCs w:val="20"/>
          <w:lang w:val="pt-BR"/>
        </w:rPr>
      </w:r>
    </w:p>
    <w:p>
      <w:pPr>
        <w:pStyle w:val="BodyTextIndent"/>
        <w:overflowPunct w:val="fals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tabs>
          <w:tab w:val="clear" w:pos="709"/>
        </w:tabs>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Heading8"/>
        <w:numPr>
          <w:ilvl w:val="7"/>
          <w:numId w:val="23"/>
        </w:numPr>
        <w:tabs>
          <w:tab w:val="clear" w:pos="709"/>
        </w:tabs>
        <w:ind w:firstLine="284" w:lef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highlight w:val="yellow"/>
        </w:rPr>
      </w:pPr>
      <w:r>
        <w:rPr>
          <w:rFonts w:cs="Arial" w:ascii="Arial" w:hAnsi="Arial"/>
          <w:color w:val="00B050"/>
        </w:rPr>
        <w:t xml:space="preserve"> </w:t>
      </w:r>
    </w:p>
    <w:p>
      <w:pPr>
        <w:pStyle w:val="Heading8"/>
        <w:numPr>
          <w:ilvl w:val="7"/>
          <w:numId w:val="24"/>
        </w:numPr>
        <w:tabs>
          <w:tab w:val="clear" w:pos="709"/>
        </w:tabs>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25"/>
        </w:numPr>
        <w:tabs>
          <w:tab w:val="clear" w:pos="709"/>
        </w:tabs>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26"/>
        </w:numPr>
        <w:tabs>
          <w:tab w:val="clear" w:pos="709"/>
        </w:tabs>
        <w:ind w:firstLine="284" w:left="0"/>
        <w:jc w:val="both"/>
        <w:rPr>
          <w:rFonts w:ascii="Arial" w:hAnsi="Arial" w:cs="Arial"/>
        </w:rPr>
      </w:pPr>
      <w:r>
        <w:rPr>
          <w:rFonts w:cs="Arial" w:ascii="Arial" w:hAnsi="Arial"/>
        </w:rPr>
      </w:r>
    </w:p>
    <w:p>
      <w:pPr>
        <w:pStyle w:val="Normal"/>
        <w:numPr>
          <w:ilvl w:val="0"/>
          <w:numId w:val="27"/>
        </w:numPr>
        <w:tabs>
          <w:tab w:val="clear" w:pos="709"/>
        </w:tabs>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28"/>
        </w:numPr>
        <w:tabs>
          <w:tab w:val="clear" w:pos="709"/>
        </w:tabs>
        <w:ind w:firstLine="284" w:left="0"/>
        <w:jc w:val="both"/>
        <w:rPr>
          <w:rFonts w:ascii="Arial" w:hAnsi="Arial" w:cs="Arial"/>
        </w:rPr>
      </w:pPr>
      <w:r>
        <w:rPr>
          <w:rFonts w:cs="Arial" w:ascii="Arial" w:hAnsi="Arial"/>
        </w:rPr>
      </w:r>
    </w:p>
    <w:p>
      <w:pPr>
        <w:pStyle w:val="Normal"/>
        <w:numPr>
          <w:ilvl w:val="0"/>
          <w:numId w:val="29"/>
        </w:numPr>
        <w:tabs>
          <w:tab w:val="clear" w:pos="709"/>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30"/>
        </w:numPr>
        <w:tabs>
          <w:tab w:val="clear" w:pos="709"/>
        </w:tabs>
        <w:ind w:firstLine="284" w:left="0"/>
        <w:jc w:val="both"/>
        <w:rPr>
          <w:rFonts w:ascii="Arial" w:hAnsi="Arial" w:cs="Arial"/>
        </w:rPr>
      </w:pPr>
      <w:r>
        <w:rPr>
          <w:rFonts w:cs="Arial" w:ascii="Arial" w:hAnsi="Arial"/>
        </w:rPr>
      </w:r>
    </w:p>
    <w:p>
      <w:pPr>
        <w:pStyle w:val="Normal"/>
        <w:numPr>
          <w:ilvl w:val="0"/>
          <w:numId w:val="31"/>
        </w:numPr>
        <w:tabs>
          <w:tab w:val="clear" w:pos="709"/>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32"/>
        </w:numPr>
        <w:tabs>
          <w:tab w:val="clear" w:pos="709"/>
        </w:tabs>
        <w:ind w:firstLine="284" w:left="0"/>
        <w:jc w:val="both"/>
        <w:rPr>
          <w:rFonts w:ascii="Arial" w:hAnsi="Arial" w:cs="Arial"/>
        </w:rPr>
      </w:pPr>
      <w:r>
        <w:rPr>
          <w:rFonts w:cs="Arial" w:ascii="Arial" w:hAnsi="Arial"/>
        </w:rPr>
      </w:r>
    </w:p>
    <w:p>
      <w:pPr>
        <w:pStyle w:val="Normal"/>
        <w:numPr>
          <w:ilvl w:val="0"/>
          <w:numId w:val="33"/>
        </w:numPr>
        <w:tabs>
          <w:tab w:val="clear" w:pos="709"/>
        </w:tabs>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34"/>
        </w:numPr>
        <w:tabs>
          <w:tab w:val="clear" w:pos="709"/>
        </w:tabs>
        <w:ind w:firstLine="284" w:left="0"/>
        <w:jc w:val="both"/>
        <w:rPr>
          <w:rFonts w:ascii="Arial" w:hAnsi="Arial" w:cs="Arial"/>
        </w:rPr>
      </w:pPr>
      <w:r>
        <w:rPr>
          <w:rFonts w:cs="Arial" w:ascii="Arial" w:hAnsi="Arial"/>
        </w:rPr>
      </w:r>
    </w:p>
    <w:p>
      <w:pPr>
        <w:pStyle w:val="Normal"/>
        <w:numPr>
          <w:ilvl w:val="0"/>
          <w:numId w:val="35"/>
        </w:numPr>
        <w:tabs>
          <w:tab w:val="clear" w:pos="709"/>
        </w:tabs>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36"/>
        </w:numPr>
        <w:tabs>
          <w:tab w:val="clear" w:pos="709"/>
        </w:tabs>
        <w:ind w:firstLine="284" w:left="0"/>
        <w:jc w:val="both"/>
        <w:rPr>
          <w:rFonts w:ascii="Arial" w:hAnsi="Arial" w:cs="Arial"/>
        </w:rPr>
      </w:pPr>
      <w:r>
        <w:rPr>
          <w:rFonts w:cs="Arial" w:ascii="Arial" w:hAnsi="Arial"/>
        </w:rPr>
      </w:r>
    </w:p>
    <w:p>
      <w:pPr>
        <w:pStyle w:val="BodyText"/>
        <w:numPr>
          <w:ilvl w:val="0"/>
          <w:numId w:val="37"/>
        </w:numPr>
        <w:tabs>
          <w:tab w:val="clear" w:pos="709"/>
        </w:tabs>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numPr>
          <w:ilvl w:val="0"/>
          <w:numId w:val="38"/>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sz w:val="20"/>
          <w:szCs w:val="20"/>
          <w:lang w:val="pt-BR"/>
        </w:rPr>
      </w:pPr>
      <w:r>
        <w:rPr>
          <w:sz w:val="20"/>
          <w:szCs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6</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39"/>
        </w:numPr>
        <w:ind w:firstLine="284" w:left="0"/>
        <w:rPr>
          <w:sz w:val="20"/>
          <w:szCs w:val="20"/>
        </w:rPr>
      </w:pPr>
      <w:r>
        <w:rPr>
          <w:sz w:val="20"/>
          <w:szCs w:val="20"/>
        </w:rPr>
      </w:r>
    </w:p>
    <w:p>
      <w:pPr>
        <w:pStyle w:val="BodyText"/>
        <w:numPr>
          <w:ilvl w:val="0"/>
          <w:numId w:val="40"/>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pPr>
        <w:pStyle w:val="BodyText"/>
        <w:numPr>
          <w:ilvl w:val="0"/>
          <w:numId w:val="41"/>
        </w:numPr>
        <w:tabs>
          <w:tab w:val="clear" w:pos="709"/>
          <w:tab w:val="left" w:pos="284" w:leader="none"/>
        </w:tabs>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renovadas as quantidades, por igual período,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18</w:t>
      </w:r>
      <w:r>
        <w:rPr>
          <w:rFonts w:cs="Arial" w:ascii="Arial" w:hAnsi="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 xml:space="preserve">Anexo II: </w:t>
      </w:r>
      <w:r>
        <w:rPr>
          <w:rFonts w:cs="Arial" w:ascii="Arial" w:hAnsi="Arial"/>
          <w:sz w:val="18"/>
        </w:rPr>
        <w:t>Declaração de elaboração independente de proposta e atuação conforme ao marco legal anticorrupção</w:t>
      </w:r>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left="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6"/>
        <w:gridCol w:w="1416"/>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kern w:val="2"/>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renovadas as quantidades, por igual período,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bookmarkStart w:id="16" w:name="_GoBack"/>
      <w:bookmarkEnd w:id="1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false"/>
        <w:spacing w:lineRule="auto" w:line="240"/>
        <w:rPr>
          <w:b/>
          <w:bCs/>
          <w:sz w:val="20"/>
          <w:szCs w:val="20"/>
        </w:rPr>
      </w:pPr>
      <w:r>
        <w:rPr>
          <w:b/>
          <w:bCs/>
          <w:sz w:val="20"/>
          <w:szCs w:val="20"/>
        </w:rPr>
      </w:r>
      <w:r>
        <w:br w:type="page"/>
      </w:r>
    </w:p>
    <w:p>
      <w:pPr>
        <w:pStyle w:val="Normal"/>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1" w:type="dxa"/>
          <w:bottom w:w="0" w:type="dxa"/>
          <w:right w:w="0" w:type="dxa"/>
        </w:tblCellMar>
        <w:tblLook w:firstRow="0" w:noVBand="0" w:lastRow="0" w:firstColumn="0" w:lastColumn="0" w:noHBand="0" w:val="0000"/>
      </w:tblPr>
      <w:tblGrid>
        <w:gridCol w:w="765"/>
        <w:gridCol w:w="890"/>
        <w:gridCol w:w="1078"/>
        <w:gridCol w:w="4938"/>
        <w:gridCol w:w="2162"/>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Item</w:t>
            </w:r>
          </w:p>
        </w:tc>
        <w:tc>
          <w:tcPr>
            <w:tcW w:w="890"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user"/>
              <w:jc w:val="center"/>
              <w:rPr>
                <w:rFonts w:ascii="Arial" w:hAnsi="Arial" w:cs="Arial"/>
                <w:b/>
              </w:rPr>
            </w:pPr>
            <w:r>
              <w:rPr>
                <w:rFonts w:cs="Arial" w:ascii="Arial" w:hAnsi="Arial"/>
                <w:b/>
              </w:rPr>
              <w:t>Descritivo</w:t>
            </w:r>
          </w:p>
        </w:tc>
        <w:tc>
          <w:tcPr>
            <w:tcW w:w="2162"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user"/>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shd w:color="auto" w:fill="auto" w:val="clear"/>
          </w:tcPr>
          <w:p>
            <w:pPr>
              <w:pStyle w:val="Normal"/>
              <w:snapToGrid w:val="false"/>
              <w:jc w:val="center"/>
              <w:rPr>
                <w:rFonts w:ascii="Arial" w:hAnsi="Arial" w:cs="Arial"/>
              </w:rPr>
            </w:pPr>
            <w:r>
              <w:rPr>
                <w:rFonts w:cs="Arial" w:ascii="Arial" w:hAnsi="Arial"/>
              </w:rPr>
            </w:r>
          </w:p>
        </w:tc>
        <w:tc>
          <w:tcPr>
            <w:tcW w:w="890"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1078"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4938" w:type="dxa"/>
            <w:tcBorders>
              <w:left w:val="single" w:sz="2" w:space="0" w:color="000000"/>
              <w:bottom w:val="single" w:sz="2" w:space="0" w:color="000000"/>
              <w:right w:val="single" w:sz="4" w:space="0" w:color="000000"/>
            </w:tcBorders>
            <w:shd w:color="auto" w:fill="auto" w:val="clear"/>
            <w:vAlign w:val="center"/>
          </w:tcPr>
          <w:p>
            <w:pPr>
              <w:pStyle w:val="Normal"/>
              <w:snapToGrid w:val="false"/>
              <w:jc w:val="both"/>
              <w:rPr>
                <w:rFonts w:ascii="Arial" w:hAnsi="Arial" w:cs="Arial"/>
                <w:color w:val="000000"/>
              </w:rPr>
            </w:pPr>
            <w:r>
              <w:rPr>
                <w:rFonts w:cs="Arial" w:ascii="Arial" w:hAnsi="Arial"/>
                <w:color w:val="000000"/>
              </w:rPr>
            </w:r>
          </w:p>
        </w:tc>
        <w:tc>
          <w:tcPr>
            <w:tcW w:w="216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u w:val="single"/>
        </w:rPr>
      </w:pPr>
      <w:r>
        <w:rPr>
          <w:rFonts w:cs="Arial" w:ascii="Arial" w:hAnsi="Arial"/>
          <w:b/>
          <w:u w:val="single"/>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kern w:val="2"/>
        </w:rPr>
      </w:pPr>
      <w:r>
        <w:rPr>
          <w:rFonts w:cs="Arial" w:ascii="Arial" w:hAnsi="Arial"/>
          <w:b/>
          <w:bCs/>
          <w:kern w:val="2"/>
        </w:rPr>
        <w:t>MINUTA DE CONTRATO</w:t>
      </w:r>
    </w:p>
    <w:p>
      <w:pPr>
        <w:pStyle w:val="Normal"/>
        <w:jc w:val="center"/>
        <w:rPr>
          <w:rFonts w:ascii="Arial" w:hAnsi="Arial" w:cs="Arial"/>
          <w:color w:val="000000"/>
        </w:rPr>
      </w:pPr>
      <w:r>
        <w:rPr>
          <w:rFonts w:cs="Arial" w:ascii="Arial" w:hAnsi="Arial"/>
          <w:color w:val="000000"/>
        </w:rPr>
        <w:t>====================================================================================</w:t>
      </w:r>
    </w:p>
    <w:p>
      <w:pPr>
        <w:pStyle w:val="Normal"/>
        <w:jc w:val="both"/>
        <w:rPr>
          <w:rFonts w:ascii="Arial" w:hAnsi="Arial" w:cs="Arial"/>
          <w:b/>
          <w:u w:val="single"/>
        </w:rPr>
      </w:pPr>
      <w:r>
        <w:rPr>
          <w:rFonts w:cs="Arial" w:ascii="Arial" w:hAnsi="Arial"/>
          <w:b/>
          <w:u w:val="single"/>
        </w:rPr>
        <w:t>CONTRATO QUE ENTRE SI FAZEM A PREFEITURA DO MUNICÍPIO DE PIRACICABA E ................................................, PARA O FORNECIMENTO PARCELADO DE REGULADORES E INSUMOS PARA SUPORTE VENTILATÓRIO.</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rPr>
      </w:pPr>
      <w:r>
        <w:rPr>
          <w:rFonts w:cs="Arial" w:ascii="Arial" w:hAnsi="Arial"/>
          <w:b/>
        </w:rPr>
        <w:t>Data: ... de ................. de 202..</w:t>
      </w:r>
    </w:p>
    <w:p>
      <w:pPr>
        <w:pStyle w:val="Normal"/>
        <w:jc w:val="both"/>
        <w:rPr>
          <w:rFonts w:ascii="Arial" w:hAnsi="Arial" w:cs="Arial"/>
          <w:b/>
        </w:rPr>
      </w:pPr>
      <w:r>
        <w:rPr>
          <w:rFonts w:cs="Arial" w:ascii="Arial" w:hAnsi="Arial"/>
          <w:b/>
        </w:rPr>
        <w:t>Prazo: até ... de ................. de 202..</w:t>
      </w:r>
    </w:p>
    <w:p>
      <w:pPr>
        <w:pStyle w:val="Normal"/>
        <w:jc w:val="both"/>
        <w:rPr>
          <w:rFonts w:ascii="Arial" w:hAnsi="Arial" w:cs="Arial"/>
          <w:b/>
        </w:rPr>
      </w:pPr>
      <w:r>
        <w:rPr>
          <w:rFonts w:cs="Arial" w:ascii="Arial" w:hAnsi="Arial"/>
          <w:b/>
        </w:rPr>
        <w:t>Valor: R$ ........ (............).</w:t>
      </w:r>
    </w:p>
    <w:p>
      <w:pPr>
        <w:pStyle w:val="Normal"/>
        <w:jc w:val="both"/>
        <w:rPr>
          <w:rFonts w:ascii="Arial" w:hAnsi="Arial" w:cs="Arial"/>
          <w:b/>
        </w:rPr>
      </w:pPr>
      <w:r>
        <w:rPr>
          <w:rFonts w:cs="Arial" w:ascii="Arial" w:hAnsi="Arial"/>
          <w:b/>
        </w:rPr>
        <w:t>Processo Administrativo nº 2026/73.206</w:t>
      </w:r>
    </w:p>
    <w:p>
      <w:pPr>
        <w:pStyle w:val="Normal"/>
        <w:jc w:val="both"/>
        <w:rPr>
          <w:rFonts w:ascii="Arial" w:hAnsi="Arial" w:cs="Arial"/>
          <w:b/>
        </w:rPr>
      </w:pPr>
      <w:r>
        <w:rPr>
          <w:rFonts w:cs="Arial" w:ascii="Arial" w:hAnsi="Arial"/>
          <w:b/>
        </w:rPr>
        <w:t>Pregão Eletrônico n.º ..../2026.</w:t>
      </w:r>
    </w:p>
    <w:p>
      <w:pPr>
        <w:pStyle w:val="Normal"/>
        <w:jc w:val="both"/>
        <w:rPr>
          <w:rFonts w:ascii="Arial" w:hAnsi="Arial" w:cs="Arial"/>
          <w:b/>
        </w:rPr>
      </w:pPr>
      <w:r>
        <w:rPr>
          <w:rFonts w:cs="Arial" w:ascii="Arial" w:hAnsi="Arial"/>
          <w:b/>
        </w:rPr>
        <w:t>Ata de Registro de Preços nº .../2026 (válida até ... de ..................... de 2027, prorrogável).</w:t>
      </w:r>
    </w:p>
    <w:p>
      <w:pPr>
        <w:pStyle w:val="Normal"/>
        <w:jc w:val="both"/>
        <w:rPr>
          <w:rFonts w:ascii="Arial" w:hAnsi="Arial" w:cs="Arial"/>
          <w:b/>
        </w:rPr>
      </w:pPr>
      <w:r>
        <w:rPr>
          <w:rFonts w:cs="Arial" w:ascii="Arial" w:hAnsi="Arial"/>
          <w:b/>
        </w:rPr>
        <w:t>Contrato n.º …./2026.</w:t>
      </w:r>
    </w:p>
    <w:p>
      <w:pPr>
        <w:pStyle w:val="Normal"/>
        <w:jc w:val="both"/>
        <w:rPr>
          <w:rFonts w:ascii="Arial" w:hAnsi="Arial" w:cs="Arial"/>
        </w:rPr>
      </w:pPr>
      <w:r>
        <w:rPr>
          <w:rFonts w:cs="Arial" w:ascii="Arial" w:hAnsi="Arial"/>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ind w:firstLine="851"/>
        <w:jc w:val="both"/>
        <w:rPr>
          <w:rFonts w:ascii="Arial" w:hAnsi="Arial" w:cs="Arial"/>
          <w:b/>
          <w:strike/>
        </w:rPr>
      </w:pPr>
      <w:r>
        <w:rPr>
          <w:rFonts w:cs="Arial" w:ascii="Arial" w:hAnsi="Arial"/>
          <w:b/>
          <w:strike/>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com sede à Rua Antônio Corrêa Barbosa, n.º 2.233, bairro Chácara Nazareth, nesta cidade e Estado, com CNPJ n.º 46.341.038/0001-29, representada pelo Secretário Municipal de Saúde</w:t>
      </w:r>
      <w:r>
        <w:rPr>
          <w:rFonts w:cs="Arial" w:ascii="Arial" w:hAnsi="Arial"/>
          <w:bCs/>
          <w:shd w:fill="FFFFFF" w:val="clear"/>
        </w:rPr>
        <w:t xml:space="preserve">, Sr. </w:t>
      </w:r>
      <w:r>
        <w:rPr>
          <w:rFonts w:cs="Arial" w:ascii="Arial" w:hAnsi="Arial"/>
          <w:b/>
          <w:bCs/>
          <w:color w:val="000000"/>
          <w:shd w:fill="FFFFFF" w:val="clear"/>
        </w:rPr>
        <w:t>GUSTAVO LAPOSTA DE AGUIAR</w:t>
      </w:r>
      <w:r>
        <w:rPr>
          <w:rFonts w:cs="Arial" w:ascii="Arial" w:hAnsi="Arial"/>
          <w:shd w:fill="FFFFFF" w:val="clear"/>
        </w:rPr>
        <w:t>, inscrito no CPF nº .............</w:t>
      </w:r>
      <w:r>
        <w:rPr>
          <w:rFonts w:cs="Arial" w:ascii="Arial" w:hAnsi="Arial"/>
        </w:rPr>
        <w:t xml:space="preserv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b/>
          <w:sz w:val="20"/>
          <w:szCs w:val="20"/>
        </w:rPr>
      </w:pPr>
      <w:r>
        <w:rPr>
          <w:sz w:val="20"/>
          <w:szCs w:val="20"/>
        </w:rPr>
        <w:t xml:space="preserve">2.1. </w:t>
      </w:r>
      <w:r>
        <w:rPr>
          <w:sz w:val="20"/>
          <w:szCs w:val="20"/>
          <w:lang w:val="pt-BR"/>
        </w:rPr>
        <w:t>A CONTRATADA se obriga a fornecer o(s) item(ns) ... de reguladores e insumos para suporte ventilatório, conforme descrição detalhada constante do Edital da Ata de Registro de Preços nº .../2026, bem como seu Termo de Referência, o qual fica fazendo parte integrante do presente instrumento</w:t>
      </w:r>
      <w:r>
        <w:rPr>
          <w:sz w:val="20"/>
          <w:szCs w:val="20"/>
        </w:rPr>
        <w:t>.</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3ª - DOS RECURSOS FINANCEIROS</w:t>
            </w:r>
          </w:p>
        </w:tc>
      </w:tr>
    </w:tbl>
    <w:p>
      <w:pPr>
        <w:pStyle w:val="BodyTextIndent"/>
        <w:ind w:firstLine="851" w:left="283"/>
        <w:rPr>
          <w:b/>
          <w:sz w:val="20"/>
          <w:szCs w:val="20"/>
        </w:rPr>
      </w:pPr>
      <w:r>
        <w:rPr>
          <w:b/>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pelas dotações orçamentárias nº </w:t>
      </w:r>
      <w:r>
        <w:rPr>
          <w:rFonts w:cs="Arial" w:ascii="Arial" w:hAnsi="Arial"/>
          <w:shd w:fill="FFFFFF" w:val="clear"/>
        </w:rPr>
        <w:t>.......................</w:t>
      </w:r>
      <w:r>
        <w:rPr>
          <w:rFonts w:cs="Arial" w:ascii="Arial" w:hAnsi="Arial"/>
        </w:rPr>
        <w:t>, constantes do exercício de 202..</w:t>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b/>
        </w:rPr>
      </w:pPr>
      <w:r>
        <w:rPr>
          <w:rFonts w:cs="Arial" w:ascii="Arial" w:hAnsi="Arial"/>
        </w:rPr>
        <w:t xml:space="preserve">E-mail para emissão da NF-e: </w:t>
      </w:r>
      <w:hyperlink r:id="rId11">
        <w:r>
          <w:rPr>
            <w:rStyle w:val="Style"/>
            <w:rFonts w:cs="Arial" w:ascii="Arial" w:hAnsi="Arial"/>
            <w:color w:val="0000FF"/>
            <w:u w:val="single"/>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w:t>
      </w:r>
      <w:r>
        <w:rPr>
          <w:rFonts w:cs="Arial" w:ascii="Arial" w:hAnsi="Arial"/>
          <w:shd w:fill="FFFFFF" w:val="clear"/>
        </w:rPr>
        <w:t>Fazenda Estadual</w:t>
      </w:r>
      <w:r>
        <w:rPr>
          <w:rFonts w:cs="Arial" w:ascii="Arial" w:hAnsi="Arial"/>
        </w:rPr>
        <w:t>, com validade em vigor;</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Saúde é o órgão credenciado pela </w:t>
      </w:r>
      <w:r>
        <w:rPr>
          <w:rFonts w:cs="Arial" w:ascii="Arial" w:hAnsi="Arial"/>
          <w:b/>
        </w:rPr>
        <w:t>CONTRATANTE</w:t>
      </w:r>
      <w:r>
        <w:rPr>
          <w:rFonts w:cs="Arial" w:ascii="Arial" w:hAnsi="Arial"/>
        </w:rPr>
        <w:t xml:space="preserve"> para vistoriar a execução do presente Educação e prestar toda a assistência e orientações que se fizerem necessárias, indicando os servidores Sr.(a) .............. e Sr.(a) .............., respectivamente, como gestor(a) e fiscal do presente instrumento.</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até ... de .................... de 202., a contar da data da Ordem de Fornecimento.</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9ª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10.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11.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15 (quinze) dias úteis.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12.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shd w:fill="FFFFFF" w:val="clear"/>
        </w:rPr>
        <w:t>12.1.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13.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 xml:space="preserve">assume inteira responsabilidade pela perfeita </w:t>
      </w:r>
      <w:r>
        <w:rPr>
          <w:rFonts w:cs="Arial" w:ascii="Arial" w:hAnsi="Arial"/>
          <w:shd w:fill="FFFFFF" w:val="clear"/>
        </w:rPr>
        <w:t>entrega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2026.</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798"/>
        <w:gridCol w:w="321"/>
        <w:gridCol w:w="4803"/>
      </w:tblGrid>
      <w:tr>
        <w:trPr/>
        <w:tc>
          <w:tcPr>
            <w:tcW w:w="4798" w:type="dxa"/>
            <w:tcBorders>
              <w:top w:val="single" w:sz="4" w:space="0" w:color="000000"/>
              <w:left w:val="single" w:sz="4" w:space="0" w:color="000000"/>
              <w:bottom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GUSTAVO LAPOSTA DE AGUIAR</w:t>
            </w:r>
          </w:p>
          <w:p>
            <w:pPr>
              <w:pStyle w:val="Normal"/>
              <w:jc w:val="center"/>
              <w:rPr>
                <w:rFonts w:ascii="Arial" w:hAnsi="Arial" w:cs="Arial"/>
                <w:b/>
              </w:rPr>
            </w:pPr>
            <w:r>
              <w:rPr>
                <w:rFonts w:cs="Arial" w:ascii="Arial" w:hAnsi="Arial"/>
                <w:b/>
              </w:rPr>
              <w:t>Secretário Municipal de Saúde</w:t>
            </w:r>
          </w:p>
        </w:tc>
        <w:tc>
          <w:tcPr>
            <w:tcW w:w="321" w:type="dxa"/>
            <w:tcBorders>
              <w:left w:val="single" w:sz="4" w:space="0" w:color="000000"/>
            </w:tcBorders>
          </w:tcPr>
          <w:p>
            <w:pPr>
              <w:pStyle w:val="Normal"/>
              <w:snapToGrid w:val="false"/>
              <w:jc w:val="both"/>
              <w:rPr>
                <w:rFonts w:ascii="Arial" w:hAnsi="Arial" w:cs="Arial"/>
              </w:rPr>
            </w:pPr>
            <w:r>
              <w:rPr>
                <w:rFonts w:cs="Arial" w:ascii="Arial" w:hAnsi="Arial"/>
              </w:rPr>
            </w:r>
          </w:p>
        </w:tc>
        <w:tc>
          <w:tcPr>
            <w:tcW w:w="480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 EMPRESA CONTRATADA :::</w:t>
            </w:r>
          </w:p>
          <w:p>
            <w:pPr>
              <w:pStyle w:val="Normal"/>
              <w:jc w:val="center"/>
              <w:rPr>
                <w:rFonts w:ascii="Arial" w:hAnsi="Arial" w:cs="Arial"/>
                <w:b/>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b/>
          <w:u w:val="single"/>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0"/>
        <w:gridCol w:w="319"/>
        <w:gridCol w:w="4803"/>
      </w:tblGrid>
      <w:tr>
        <w:trPr>
          <w:trHeight w:val="1089" w:hRule="atLeast"/>
        </w:trPr>
        <w:tc>
          <w:tcPr>
            <w:tcW w:w="4800" w:type="dxa"/>
            <w:tcBorders>
              <w:top w:val="single" w:sz="4" w:space="0" w:color="000000"/>
              <w:left w:val="single" w:sz="4" w:space="0" w:color="000000"/>
              <w:bottom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w:t>
            </w:r>
          </w:p>
          <w:p>
            <w:pPr>
              <w:pStyle w:val="Normal"/>
              <w:rPr>
                <w:rFonts w:ascii="Arial" w:hAnsi="Arial" w:cs="Arial"/>
                <w:b/>
              </w:rPr>
            </w:pPr>
            <w:r>
              <w:rPr>
                <w:rFonts w:cs="Arial" w:ascii="Arial" w:hAnsi="Arial"/>
                <w:b/>
              </w:rPr>
              <w:t>Nome:</w:t>
            </w:r>
          </w:p>
          <w:p>
            <w:pPr>
              <w:pStyle w:val="Normal"/>
              <w:rPr>
                <w:rFonts w:ascii="Arial" w:hAnsi="Arial" w:cs="Arial"/>
                <w:b/>
              </w:rPr>
            </w:pPr>
            <w:r>
              <w:rPr>
                <w:rFonts w:cs="Arial" w:ascii="Arial" w:hAnsi="Arial"/>
                <w:b/>
              </w:rPr>
              <w:t>CPF:</w:t>
            </w:r>
          </w:p>
        </w:tc>
        <w:tc>
          <w:tcPr>
            <w:tcW w:w="319" w:type="dxa"/>
            <w:tcBorders>
              <w:left w:val="single" w:sz="4" w:space="0" w:color="000000"/>
            </w:tcBorders>
          </w:tcPr>
          <w:p>
            <w:pPr>
              <w:pStyle w:val="Normal"/>
              <w:snapToGrid w:val="false"/>
              <w:jc w:val="both"/>
              <w:rPr>
                <w:rFonts w:ascii="Arial" w:hAnsi="Arial" w:cs="Arial"/>
                <w:b/>
              </w:rPr>
            </w:pPr>
            <w:r>
              <w:rPr>
                <w:rFonts w:cs="Arial" w:ascii="Arial" w:hAnsi="Arial"/>
                <w:b/>
              </w:rPr>
            </w:r>
          </w:p>
        </w:tc>
        <w:tc>
          <w:tcPr>
            <w:tcW w:w="4803"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__________________________</w:t>
            </w:r>
          </w:p>
          <w:p>
            <w:pPr>
              <w:pStyle w:val="Normal"/>
              <w:rPr>
                <w:rFonts w:ascii="Arial" w:hAnsi="Arial" w:cs="Arial"/>
                <w:b/>
              </w:rPr>
            </w:pPr>
            <w:r>
              <w:rPr>
                <w:rFonts w:cs="Arial" w:ascii="Arial" w:hAnsi="Arial"/>
                <w:b/>
              </w:rPr>
              <w:t>Nome:</w:t>
            </w:r>
          </w:p>
          <w:p>
            <w:pPr>
              <w:pStyle w:val="Normal"/>
              <w:jc w:val="both"/>
              <w:rPr>
                <w:rFonts w:ascii="Arial" w:hAnsi="Arial" w:cs="Arial"/>
                <w:b/>
              </w:rPr>
            </w:pPr>
            <w:r>
              <w:rPr>
                <w:rFonts w:cs="Arial" w:ascii="Arial" w:hAnsi="Arial"/>
                <w:b/>
              </w:rPr>
              <w:t>CPF:</w:t>
            </w:r>
          </w:p>
        </w:tc>
      </w:tr>
    </w:tbl>
    <w:p>
      <w:pPr>
        <w:pStyle w:val="Normal"/>
        <w:rPr/>
      </w:pPr>
      <w:r>
        <w:rPr/>
      </w:r>
      <w:bookmarkStart w:id="17" w:name="art1p"/>
      <w:bookmarkStart w:id="18" w:name="art2§1"/>
      <w:bookmarkStart w:id="19" w:name="art1p"/>
      <w:bookmarkStart w:id="20" w:name="art2§1"/>
      <w:bookmarkEnd w:id="19"/>
      <w:bookmarkEnd w:id="20"/>
    </w:p>
    <w:p>
      <w:pPr>
        <w:pStyle w:val="Normal"/>
        <w:rPr/>
      </w:pPr>
      <w:r>
        <w:rPr/>
      </w:r>
    </w:p>
    <w:p>
      <w:pPr>
        <w:pStyle w:val="Normal"/>
        <w:rPr/>
      </w:pPr>
      <w:r>
        <w:rPr/>
      </w:r>
    </w:p>
    <w:p>
      <w:pPr>
        <w:pStyle w:val="Normal"/>
        <w:rPr/>
      </w:pPr>
      <w:r>
        <w:rPr/>
      </w:r>
    </w:p>
    <w:p>
      <w:pPr>
        <w:pStyle w:val="Normal"/>
        <w:jc w:val="center"/>
        <w:rPr>
          <w:rFonts w:ascii="Arial" w:hAnsi="Arial" w:cs="Arial"/>
          <w:b/>
          <w:bCs/>
        </w:rPr>
      </w:pPr>
      <w:r>
        <w:rPr>
          <w:rFonts w:cs="Arial" w:ascii="Arial" w:hAnsi="Arial"/>
          <w:b/>
          <w:bCs/>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418"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Arial">
    <w:charset w:val="01"/>
    <w:family w:val="swiss"/>
    <w:pitch w:val="variable"/>
  </w:font>
  <w:font w:name="Book Antiqua">
    <w:charset w:val="00"/>
    <w:family w:val="roman"/>
    <w:pitch w:val="variable"/>
  </w:font>
  <w:font w:name="Times New Roman">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145</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145</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59">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116" wp14:anchorId="7749FE0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7749FE05">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59">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116" wp14:anchorId="7749FE0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7749FE05">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bullet"/>
      <w:lvlText w:val=""/>
      <w:lvlJc w:val="left"/>
      <w:pPr>
        <w:tabs>
          <w:tab w:val="num" w:pos="0"/>
        </w:tabs>
        <w:ind w:left="0" w:hanging="0"/>
      </w:pPr>
      <w:rPr>
        <w:rFonts w:ascii="Symbol" w:hAnsi="Symbol" w:cs="Symbol" w:hint="default"/>
        <w:sz w:val="20"/>
        <w:b/>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LinkdaInternetuser" w:customStyle="1">
    <w:name w:val="Link da Internet (user)"/>
    <w:qFormat/>
    <w:rsid w:val="005303c6"/>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ndiceuser" w:customStyle="1">
    <w:name w:val="Índice (user)"/>
    <w:basedOn w:val="Normal"/>
    <w:qFormat/>
    <w:pPr>
      <w:suppressLineNumbers/>
    </w:pPr>
    <w:rPr>
      <w:rFonts w:cs="Mangal"/>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11"/>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11"/>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11"/>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ED4DAE-DDD9-4C1D-9237-ECA81A5B7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Application>LibreOffice/25.2.7.2$Windows_X86_64 LibreOffice_project/5cbfd1ab6520636bb5f7b99185aa69bd7456825d</Application>
  <AppVersion>15.0000</AppVersion>
  <Pages>29</Pages>
  <Words>11580</Words>
  <Characters>67032</Characters>
  <CharactersWithSpaces>78085</CharactersWithSpaces>
  <Paragraphs>632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2026-05-08T12:48:00Z</dcterms:created>
  <dc:creator>Thiago Luiz Araujo Santos</dc:creator>
  <dc:description/>
  <dc:language>pt-BR</dc:language>
  <cp:lastModifiedBy/>
  <cp:lastPrinted>2022-08-03T17:48:00Z</cp:lastPrinted>
  <dcterms:modified xsi:type="dcterms:W3CDTF">2026-05-19T10:38:45Z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