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rPr>
      </w:pPr>
      <w:r>
        <w:rPr>
          <w:b/>
          <w:sz w:val="20"/>
          <w:szCs w:val="20"/>
        </w:rPr>
        <w:t xml:space="preserve">EDITAL DE PREGÃO ELETRÔNICO </w:t>
      </w:r>
      <w:r>
        <w:rPr>
          <w:b/>
          <w:sz w:val="20"/>
          <w:szCs w:val="20"/>
          <w:lang w:val="pt-BR"/>
        </w:rPr>
        <w:t>nº 155/2026</w:t>
      </w:r>
      <w:r>
        <w:rPr>
          <w:b/>
          <w:sz w:val="20"/>
          <w:szCs w:val="20"/>
        </w:rPr>
        <w:t xml:space="preserve"> </w:t>
      </w:r>
    </w:p>
    <w:p>
      <w:pPr>
        <w:pStyle w:val="BodyTextIndent"/>
        <w:widowControl w:val="false"/>
        <w:shd w:val="clear" w:color="auto" w:fill="CCCCCC"/>
        <w:overflowPunct w:val="true"/>
        <w:spacing w:lineRule="auto" w:line="240"/>
        <w:jc w:val="center"/>
        <w:rPr>
          <w:b/>
          <w:sz w:val="20"/>
          <w:szCs w:val="20"/>
          <w:lang w:val="pt-BR"/>
        </w:rPr>
      </w:pPr>
      <w:r>
        <w:rPr>
          <w:b/>
          <w:sz w:val="20"/>
          <w:szCs w:val="20"/>
          <w:lang w:val="pt-BR"/>
        </w:rPr>
        <w:t>REGISTRO DE PREÇOS</w:t>
      </w:r>
    </w:p>
    <w:p>
      <w:pPr>
        <w:pStyle w:val="BodyTextIndent"/>
        <w:widowControl w:val="false"/>
        <w:overflowPunct w:val="true"/>
        <w:spacing w:lineRule="auto" w:line="240"/>
        <w:jc w:val="center"/>
        <w:rPr>
          <w:sz w:val="20"/>
          <w:szCs w:val="20"/>
          <w:lang w:val="pt-BR"/>
        </w:rPr>
      </w:pPr>
      <w:r>
        <w:rPr>
          <w:sz w:val="20"/>
          <w:szCs w:val="20"/>
          <w:lang w:val="pt-BR"/>
        </w:rPr>
      </w:r>
    </w:p>
    <w:p>
      <w:pPr>
        <w:pStyle w:val="BodyTextIndent"/>
        <w:widowControl w:val="false"/>
        <w:overflowPunct w:val="tru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true"/>
        <w:spacing w:lineRule="auto" w:line="240"/>
        <w:jc w:val="center"/>
        <w:rPr>
          <w:sz w:val="20"/>
          <w:szCs w:val="20"/>
        </w:rPr>
      </w:pPr>
      <w:r>
        <w:rPr>
          <w:sz w:val="20"/>
          <w:szCs w:val="20"/>
        </w:rPr>
      </w:r>
    </w:p>
    <w:p>
      <w:pPr>
        <w:pStyle w:val="BodyTextIndent"/>
        <w:widowControl w:val="false"/>
        <w:shd w:val="clear" w:color="auto" w:fill="DDDDDD"/>
        <w:overflowPunct w:val="true"/>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5"/>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91.633/2026</w:t>
      </w:r>
    </w:p>
    <w:p>
      <w:pPr>
        <w:pStyle w:val="BodyTextIndent"/>
        <w:widowControl w:val="false"/>
        <w:numPr>
          <w:ilvl w:val="0"/>
          <w:numId w:val="5"/>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18/06/2026 - 08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18/06/2026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ind w:firstLine="561"/>
        <w:jc w:val="lef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66"/>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Registro de Preços para </w:t>
      </w:r>
      <w:r>
        <w:rPr>
          <w:rFonts w:eastAsia="Arial" w:cs="Arial" w:ascii="Arial" w:hAnsi="Arial"/>
          <w:b/>
          <w:bCs/>
          <w:color w:val="000000"/>
          <w:shd w:fill="FFFFFF" w:val="clear"/>
        </w:rPr>
        <w:t>fornecimento parcelado de refletor de LED.</w:t>
      </w:r>
    </w:p>
    <w:p>
      <w:pPr>
        <w:pStyle w:val="Normal"/>
        <w:numPr>
          <w:ilvl w:val="0"/>
          <w:numId w:val="67"/>
        </w:numPr>
        <w:tabs>
          <w:tab w:val="clear" w:pos="709"/>
          <w:tab w:val="left" w:pos="284" w:leader="none"/>
        </w:tabs>
        <w:jc w:val="both"/>
        <w:rPr>
          <w:rFonts w:ascii="Arial" w:hAnsi="Arial" w:cs="Arial"/>
        </w:rPr>
      </w:pPr>
      <w:r>
        <w:rPr>
          <w:rFonts w:cs="Arial" w:ascii="Arial" w:hAnsi="Arial"/>
        </w:rPr>
        <w:t xml:space="preserve">Unidade Requisitante: </w:t>
      </w:r>
      <w:r>
        <w:rPr>
          <w:rFonts w:eastAsia="Arial" w:cs="Arial" w:ascii="Arial" w:hAnsi="Arial"/>
          <w:b/>
          <w:color w:val="000000"/>
          <w:shd w:fill="FFFFFF" w:val="clear"/>
        </w:rPr>
        <w:t>Secretaria Municipal de Esportes, Lazer e Atividades Motoras</w:t>
      </w:r>
      <w:r>
        <w:rPr>
          <w:rFonts w:cs="Arial" w:ascii="Arial" w:hAnsi="Arial"/>
        </w:rPr>
        <w:t xml:space="preserve"> </w:t>
      </w:r>
    </w:p>
    <w:p>
      <w:pPr>
        <w:pStyle w:val="Normal"/>
        <w:numPr>
          <w:ilvl w:val="0"/>
          <w:numId w:val="68"/>
        </w:numPr>
        <w:tabs>
          <w:tab w:val="clear" w:pos="709"/>
          <w:tab w:val="left" w:pos="284" w:leader="none"/>
        </w:tabs>
        <w:jc w:val="both"/>
        <w:rPr>
          <w:rFonts w:ascii="Arial" w:hAnsi="Arial" w:cs="Arial"/>
        </w:rPr>
      </w:pPr>
      <w:r>
        <w:rPr>
          <w:rFonts w:cs="Arial" w:ascii="Arial" w:hAnsi="Arial"/>
        </w:rPr>
        <w:t xml:space="preserve">Fonte de recursos: </w:t>
      </w:r>
      <w:r>
        <w:rPr>
          <w:rFonts w:eastAsia="Arial" w:cs="Arial" w:ascii="Arial" w:hAnsi="Arial"/>
          <w:bCs/>
          <w:color w:val="000000"/>
          <w:shd w:fill="FFFFFF" w:val="clear"/>
        </w:rPr>
        <w:t>Tesouro</w:t>
      </w:r>
      <w:r>
        <w:rPr>
          <w:rFonts w:eastAsia="Arial" w:cs="Arial" w:ascii="Arial" w:hAnsi="Arial"/>
          <w:b/>
          <w:bCs/>
          <w:color w:val="000000"/>
          <w:shd w:fill="FFFFFF" w:val="clear"/>
        </w:rPr>
        <w:t xml:space="preserve">: </w:t>
      </w:r>
      <w:r>
        <w:rPr>
          <w:rFonts w:eastAsia="Arial" w:cs="Arial" w:ascii="Arial" w:hAnsi="Arial"/>
          <w:color w:val="000000"/>
          <w:shd w:fill="FFFFFF" w:val="clear"/>
        </w:rPr>
        <w:t xml:space="preserve">0101011000 - </w:t>
      </w:r>
      <w:r>
        <w:rPr>
          <w:rFonts w:eastAsia="Arial" w:cs="Arial" w:ascii="Arial" w:hAnsi="Arial"/>
          <w:bCs/>
          <w:color w:val="000000"/>
          <w:shd w:fill="FFFFFF" w:val="clear"/>
        </w:rPr>
        <w:t>Dotação</w:t>
      </w:r>
      <w:r>
        <w:rPr>
          <w:rFonts w:eastAsia="Arial" w:cs="Arial" w:ascii="Arial" w:hAnsi="Arial"/>
          <w:b/>
          <w:bCs/>
          <w:color w:val="000000"/>
          <w:shd w:fill="FFFFFF" w:val="clear"/>
        </w:rPr>
        <w:t xml:space="preserve"> </w:t>
      </w:r>
      <w:r>
        <w:rPr>
          <w:rFonts w:eastAsia="Arial" w:cs="Arial" w:ascii="Arial" w:hAnsi="Arial"/>
          <w:bCs/>
          <w:color w:val="000000"/>
          <w:shd w:fill="FFFFFF" w:val="clear"/>
        </w:rPr>
        <w:t>orçamentária</w:t>
      </w:r>
      <w:r>
        <w:rPr>
          <w:rFonts w:eastAsia="Arial" w:cs="Arial" w:ascii="Arial" w:hAnsi="Arial"/>
          <w:b/>
          <w:bCs/>
          <w:color w:val="000000"/>
          <w:shd w:fill="FFFFFF" w:val="clear"/>
        </w:rPr>
        <w:t>:</w:t>
      </w:r>
      <w:r>
        <w:rPr>
          <w:rFonts w:eastAsia="Arial" w:cs="Arial" w:ascii="Arial" w:hAnsi="Arial"/>
          <w:color w:val="000000"/>
          <w:shd w:fill="FFFFFF" w:val="clear"/>
        </w:rPr>
        <w:t xml:space="preserve"> 2050</w:t>
      </w:r>
    </w:p>
    <w:p>
      <w:pPr>
        <w:pStyle w:val="Normal"/>
        <w:numPr>
          <w:ilvl w:val="0"/>
          <w:numId w:val="69"/>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 xml:space="preserve">R$ </w:t>
      </w:r>
      <w:r>
        <w:rPr>
          <w:rFonts w:eastAsia="Arial" w:cs="Arial" w:ascii="Arial" w:hAnsi="Arial"/>
          <w:b/>
          <w:bCs/>
          <w:color w:val="000000"/>
        </w:rPr>
        <w:t>39.063,32 (trinta e nove mil, sessenta e três reais e trinta e dois centavos)</w:t>
      </w:r>
      <w:r>
        <w:rPr>
          <w:rFonts w:cs="Arial" w:ascii="Arial" w:hAnsi="Arial"/>
        </w:rPr>
        <w:t>.</w:t>
      </w:r>
    </w:p>
    <w:p>
      <w:pPr>
        <w:pStyle w:val="Normal"/>
        <w:numPr>
          <w:ilvl w:val="0"/>
          <w:numId w:val="70"/>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6"/>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71"/>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72"/>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73"/>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marca do fabricante</w:t>
      </w:r>
      <w:r>
        <w:rPr>
          <w:rFonts w:cs="Arial" w:ascii="Arial" w:hAnsi="Arial"/>
        </w:rPr>
        <w:t xml:space="preserve"> do produto cotado, sendo admitida apenas uma marca por item.</w:t>
      </w:r>
    </w:p>
    <w:p>
      <w:pPr>
        <w:pStyle w:val="Normal"/>
        <w:numPr>
          <w:ilvl w:val="0"/>
          <w:numId w:val="7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170"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eastAsia="Arial" w:cs="Arial" w:ascii="Arial" w:hAnsi="Arial"/>
                <w:b/>
                <w:bCs/>
                <w:color w:val="000000"/>
                <w:shd w:fill="FFFFFF" w:val="clear"/>
              </w:rPr>
              <w:t>01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eastAsia="Arial" w:cs="Arial" w:ascii="Arial" w:hAnsi="Arial"/>
                <w:color w:val="000000"/>
                <w:shd w:fill="FFFFFF" w:val="clear"/>
              </w:rPr>
              <w:t>500</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eastAsia="Arial" w:cs="Arial" w:ascii="Arial" w:hAnsi="Arial"/>
                <w:color w:val="000000"/>
                <w:shd w:fill="FFFFFF"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eastAsia="Arial" w:cs="Arial" w:ascii="Arial" w:hAnsi="Arial"/>
                <w:color w:val="000000"/>
                <w:shd w:fill="FFFFFF" w:val="clear"/>
              </w:rPr>
              <w:t>Refletor Led 200W IP67 SMD Branco Frio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eastAsia="Arial" w:cs="Arial" w:ascii="Arial" w:hAnsi="Arial"/>
                <w:b/>
                <w:bCs/>
                <w:color w:val="000000"/>
                <w:shd w:fill="FFFFFF" w:val="clear"/>
              </w:rPr>
              <w:t>02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eastAsia="Arial" w:cs="Arial" w:ascii="Arial" w:hAnsi="Arial"/>
                <w:color w:val="000000"/>
                <w:shd w:fill="FFFFFF" w:val="clear"/>
              </w:rPr>
              <w:t>300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eastAsia="Arial" w:cs="Arial" w:ascii="Arial" w:hAnsi="Arial"/>
                <w:color w:val="000000"/>
                <w:shd w:fill="FFFFFF"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eastAsia="Arial" w:cs="Arial" w:ascii="Arial" w:hAnsi="Arial"/>
                <w:color w:val="000000"/>
                <w:shd w:fill="FFFFFF" w:val="clear"/>
              </w:rPr>
              <w:t>Refletor Led 100W Slim IP67 Branco Frio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eastAsia="Arial" w:cs="Arial" w:ascii="Arial" w:hAnsi="Arial"/>
                <w:b/>
                <w:bCs/>
                <w:color w:val="000000"/>
                <w:shd w:fill="FFFFFF" w:val="clear"/>
              </w:rPr>
              <w:t>03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eastAsia="Arial" w:cs="Arial" w:ascii="Arial" w:hAnsi="Arial"/>
                <w:color w:val="000000"/>
                <w:shd w:fill="FFFFFF" w:val="clear"/>
              </w:rPr>
              <w:t>250</w:t>
            </w:r>
          </w:p>
        </w:tc>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eastAsia="Arial" w:cs="Arial" w:ascii="Arial" w:hAnsi="Arial"/>
                <w:color w:val="000000"/>
                <w:shd w:fill="FFFFFF"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normal1"/>
              <w:widowControl w:val="false"/>
              <w:snapToGrid w:val="false"/>
              <w:jc w:val="both"/>
              <w:rPr>
                <w:rFonts w:ascii="Arial" w:hAnsi="Arial" w:cs="Arial"/>
              </w:rPr>
            </w:pPr>
            <w:r>
              <w:rPr>
                <w:rFonts w:eastAsia="Arial" w:cs="Arial" w:ascii="Arial" w:hAnsi="Arial"/>
                <w:color w:val="000000"/>
                <w:shd w:fill="FFFFFF" w:val="clear"/>
              </w:rPr>
              <w:t>Refletor Led 300W IP66 SMD Branco Frio</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75"/>
        </w:numPr>
        <w:tabs>
          <w:tab w:val="clear" w:pos="709"/>
          <w:tab w:val="left" w:pos="284" w:leader="none"/>
        </w:tabs>
        <w:jc w:val="both"/>
        <w:rPr>
          <w:rFonts w:ascii="Arial" w:hAnsi="Arial" w:eastAsia="Arial" w:cs="Arial"/>
        </w:rPr>
      </w:pPr>
      <w:r>
        <w:rPr>
          <w:rFonts w:cs="Arial" w:ascii="Arial" w:hAnsi="Arial"/>
        </w:rPr>
        <w:t>Descritivo técnico:</w:t>
      </w:r>
    </w:p>
    <w:p>
      <w:pPr>
        <w:pStyle w:val="Normal"/>
        <w:tabs>
          <w:tab w:val="clear" w:pos="709"/>
          <w:tab w:val="left" w:pos="284" w:leader="none"/>
        </w:tabs>
        <w:jc w:val="both"/>
        <w:rPr>
          <w:rFonts w:ascii="Arial" w:hAnsi="Arial" w:cs="Arial"/>
        </w:rPr>
      </w:pPr>
      <w:r>
        <w:rPr>
          <w:rFonts w:cs="Arial" w:ascii="Arial" w:hAnsi="Arial"/>
        </w:rPr>
      </w:r>
    </w:p>
    <w:p>
      <w:pPr>
        <w:pStyle w:val="normal1"/>
        <w:jc w:val="both"/>
        <w:rPr>
          <w:rFonts w:ascii="Arial" w:hAnsi="Arial" w:eastAsia="Arial" w:cs="Arial"/>
          <w:color w:val="000000"/>
          <w:shd w:fill="FFFFFF" w:val="clear"/>
        </w:rPr>
      </w:pPr>
      <w:r>
        <w:rPr>
          <w:rFonts w:eastAsia="Arial" w:cs="Arial" w:ascii="Arial" w:hAnsi="Arial"/>
          <w:b/>
          <w:bCs/>
          <w:color w:val="000000"/>
          <w:shd w:fill="FFFFFF" w:val="clear"/>
        </w:rPr>
        <w:t>Item 1 - Refletor LED 200W IP67 SMD Branco Frio</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Refletor Led SMD</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Potência: 200W</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Voltagem: Bivolt</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 xml:space="preserve">Cor: Branco Frio 6000-6500k </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Grau de Proteção: IP67</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Fluxo Luminoso: 18.000lm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Ângulo de Abertura: 120º</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Frequência Nominal: 50/60hz</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Temp. Operação: -20 +55Cº</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Med.: 23x20x3cm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Vida Útil: 30.000 horas</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Garantia: 12 Meses</w:t>
      </w:r>
    </w:p>
    <w:p>
      <w:pPr>
        <w:pStyle w:val="normal1"/>
        <w:jc w:val="both"/>
        <w:rPr>
          <w:rFonts w:ascii="Arial" w:hAnsi="Arial" w:eastAsia="Arial" w:cs="Arial"/>
          <w:color w:val="000000"/>
        </w:rPr>
      </w:pPr>
      <w:r>
        <w:rPr>
          <w:rFonts w:eastAsia="Arial" w:cs="Arial" w:ascii="Arial" w:hAnsi="Arial"/>
          <w:color w:val="000000"/>
          <w:shd w:fill="FFFFFF" w:val="clear"/>
        </w:rPr>
        <w:t>A prova d’água</w:t>
      </w:r>
    </w:p>
    <w:p>
      <w:pPr>
        <w:pStyle w:val="Normal"/>
        <w:tabs>
          <w:tab w:val="clear" w:pos="709"/>
          <w:tab w:val="left" w:pos="284" w:leader="none"/>
        </w:tabs>
        <w:jc w:val="both"/>
        <w:rPr>
          <w:rFonts w:ascii="Arial" w:hAnsi="Arial" w:eastAsia="Arial" w:cs="Arial"/>
          <w:color w:val="000000"/>
        </w:rPr>
      </w:pPr>
      <w:r>
        <w:rPr>
          <w:rFonts w:eastAsia="Arial" w:cs="Arial" w:ascii="Arial" w:hAnsi="Arial"/>
          <w:color w:val="000000"/>
        </w:rPr>
        <w:t>Os materiais deverão estar em conformidade com as normas técnicas da ABNT específicas para o material. Os materiais devem ser novos, de primeiro uso, não sendo aceitos produtos recondicionado.</w:t>
      </w:r>
    </w:p>
    <w:p>
      <w:pPr>
        <w:pStyle w:val="Normal"/>
        <w:tabs>
          <w:tab w:val="clear" w:pos="709"/>
          <w:tab w:val="left" w:pos="284" w:leader="none"/>
        </w:tabs>
        <w:jc w:val="both"/>
        <w:rPr>
          <w:rFonts w:ascii="Arial" w:hAnsi="Arial" w:eastAsia="Arial" w:cs="Arial"/>
          <w:color w:val="000000"/>
        </w:rPr>
      </w:pPr>
      <w:r>
        <w:rPr>
          <w:rFonts w:eastAsia="Arial" w:cs="Arial" w:ascii="Arial" w:hAnsi="Arial"/>
          <w:color w:val="000000"/>
        </w:rPr>
      </w:r>
    </w:p>
    <w:p>
      <w:pPr>
        <w:pStyle w:val="normal1"/>
        <w:jc w:val="both"/>
        <w:rPr>
          <w:rFonts w:ascii="Arial" w:hAnsi="Arial" w:eastAsia="Arial" w:cs="Arial"/>
          <w:color w:val="000000"/>
          <w:shd w:fill="FFFFFF" w:val="clear"/>
        </w:rPr>
      </w:pPr>
      <w:r>
        <w:rPr>
          <w:rFonts w:eastAsia="Arial" w:cs="Arial" w:ascii="Arial" w:hAnsi="Arial"/>
          <w:b/>
          <w:bCs/>
          <w:color w:val="000000"/>
          <w:shd w:fill="FFFFFF" w:val="clear"/>
        </w:rPr>
        <w:t>Item 2 - Refletor LED 100W SLIM IP67 Branco Frio</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Modelo: Refletor Led Slim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Potência: 100W</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Voltagem: 110v ou 220v</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 xml:space="preserve">Cor: Branco Frio 6000-6500k </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Grau de Proteção: IP67</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Fluxo Luminoso: 9.000lm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Ângulo de Abertura: 120º</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Frequência Nominal: 50/60hz</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Temp. Operação: -20 +55Cº</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Dimensão: 20x17x2cm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Vida Útil: 30.000 horas</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Garantia: 12 Meses</w:t>
      </w:r>
    </w:p>
    <w:p>
      <w:pPr>
        <w:pStyle w:val="normal1"/>
        <w:jc w:val="both"/>
        <w:rPr>
          <w:rFonts w:ascii="Arial" w:hAnsi="Arial" w:eastAsia="Arial" w:cs="Arial"/>
          <w:color w:val="000000"/>
        </w:rPr>
      </w:pPr>
      <w:r>
        <w:rPr>
          <w:rFonts w:eastAsia="Arial" w:cs="Arial" w:ascii="Arial" w:hAnsi="Arial"/>
          <w:color w:val="000000"/>
          <w:shd w:fill="FFFFFF" w:val="clear"/>
        </w:rPr>
        <w:t>A prova d’água</w:t>
      </w:r>
    </w:p>
    <w:p>
      <w:pPr>
        <w:pStyle w:val="Normal"/>
        <w:tabs>
          <w:tab w:val="clear" w:pos="709"/>
          <w:tab w:val="left" w:pos="284" w:leader="none"/>
        </w:tabs>
        <w:jc w:val="both"/>
        <w:rPr>
          <w:rFonts w:ascii="Arial" w:hAnsi="Arial" w:eastAsia="Arial" w:cs="Arial"/>
          <w:color w:val="000000"/>
        </w:rPr>
      </w:pPr>
      <w:r>
        <w:rPr>
          <w:rFonts w:eastAsia="Arial" w:cs="Arial" w:ascii="Arial" w:hAnsi="Arial"/>
          <w:color w:val="000000"/>
        </w:rPr>
        <w:t>Os materiais deverão estar em conformidade com as normas técnicas da ABNT específicas para o material. Os materiais devem ser novos, de primeiro uso, não sendo aceitos produtos recondicionado.</w:t>
      </w:r>
    </w:p>
    <w:p>
      <w:pPr>
        <w:pStyle w:val="Normal"/>
        <w:tabs>
          <w:tab w:val="clear" w:pos="709"/>
          <w:tab w:val="left" w:pos="284" w:leader="none"/>
        </w:tabs>
        <w:jc w:val="both"/>
        <w:rPr>
          <w:rFonts w:ascii="Arial" w:hAnsi="Arial" w:eastAsia="Arial" w:cs="Arial"/>
          <w:color w:val="000000"/>
        </w:rPr>
      </w:pPr>
      <w:r>
        <w:rPr>
          <w:rFonts w:eastAsia="Arial" w:cs="Arial" w:ascii="Arial" w:hAnsi="Arial"/>
          <w:color w:val="000000"/>
        </w:rPr>
      </w:r>
    </w:p>
    <w:p>
      <w:pPr>
        <w:pStyle w:val="normal1"/>
        <w:jc w:val="both"/>
        <w:rPr>
          <w:rFonts w:ascii="Arial" w:hAnsi="Arial" w:eastAsia="Arial" w:cs="Arial"/>
          <w:color w:val="000000"/>
          <w:shd w:fill="FFFFFF" w:val="clear"/>
        </w:rPr>
      </w:pPr>
      <w:r>
        <w:rPr>
          <w:rFonts w:eastAsia="Arial" w:cs="Arial" w:ascii="Arial" w:hAnsi="Arial"/>
          <w:b/>
          <w:bCs/>
          <w:color w:val="000000"/>
          <w:shd w:fill="FFFFFF" w:val="clear"/>
        </w:rPr>
        <w:t>Item 3 - Refletor LED 300W IP66 SMD Branco Frio</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Modelo: Refletor Led SMD</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Potência: 300W</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Voltagem: Bivolt</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 xml:space="preserve">Cor: Branco Frio 6000-6500k </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Grau de Proteção: IP66</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Fluxo Luminoso: 27.000lm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Ângulo de Abertura: 120º</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Frequência Nominal: 50/60hz</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Temp. Operação: -20 +55Cº</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Med.: 27x21x3cm</w:t>
      </w:r>
    </w:p>
    <w:p>
      <w:pPr>
        <w:pStyle w:val="normal1"/>
        <w:jc w:val="both"/>
        <w:rPr>
          <w:rFonts w:ascii="Arial" w:hAnsi="Arial" w:eastAsia="Arial" w:cs="Arial"/>
          <w:color w:val="000000"/>
          <w:shd w:fill="FFFFFF" w:val="clear"/>
        </w:rPr>
      </w:pPr>
      <w:r>
        <w:rPr>
          <w:rFonts w:eastAsia="Arial" w:cs="Arial" w:ascii="Arial" w:hAnsi="Arial"/>
          <w:color w:val="000000"/>
          <w:shd w:fill="FFFFFF" w:val="clear"/>
        </w:rPr>
        <w:t>Vida Útil: 30.000 horas</w:t>
      </w:r>
    </w:p>
    <w:p>
      <w:pPr>
        <w:pStyle w:val="normal1"/>
        <w:jc w:val="both"/>
        <w:rPr>
          <w:rFonts w:ascii="Arial" w:hAnsi="Arial" w:eastAsia="Arial" w:cs="Arial"/>
          <w:color w:val="000000"/>
        </w:rPr>
      </w:pPr>
      <w:r>
        <w:rPr>
          <w:rFonts w:eastAsia="Arial" w:cs="Arial" w:ascii="Arial" w:hAnsi="Arial"/>
          <w:color w:val="000000"/>
          <w:shd w:fill="FFFFFF" w:val="clear"/>
        </w:rPr>
        <w:t>Garantia: 12 Meses</w:t>
      </w:r>
    </w:p>
    <w:p>
      <w:pPr>
        <w:pStyle w:val="normal1"/>
        <w:jc w:val="both"/>
        <w:rPr>
          <w:rFonts w:ascii="Arial" w:hAnsi="Arial" w:eastAsia="Arial" w:cs="Arial"/>
          <w:color w:val="000000"/>
        </w:rPr>
      </w:pPr>
      <w:r>
        <w:rPr>
          <w:rFonts w:eastAsia="Arial" w:cs="Arial" w:ascii="Arial" w:hAnsi="Arial"/>
          <w:color w:val="000000"/>
        </w:rPr>
        <w:t>A prova d’água</w:t>
      </w:r>
    </w:p>
    <w:p>
      <w:pPr>
        <w:pStyle w:val="Normal"/>
        <w:tabs>
          <w:tab w:val="clear" w:pos="709"/>
          <w:tab w:val="left" w:pos="284" w:leader="none"/>
        </w:tabs>
        <w:jc w:val="both"/>
        <w:rPr>
          <w:rFonts w:ascii="Arial" w:hAnsi="Arial" w:eastAsia="Arial" w:cs="Arial"/>
        </w:rPr>
      </w:pPr>
      <w:r>
        <w:rPr>
          <w:rFonts w:eastAsia="Arial" w:cs="Arial" w:ascii="Arial" w:hAnsi="Arial"/>
          <w:color w:val="000000"/>
        </w:rPr>
        <w:t>Os materiais deverão estar em conformidade com as normas técnicas da ABNT específicas para o material. Os materiais devem ser novos, de primeiro uso, não sendo aceitos produtos recondicionado.</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AMOSTRA:</w:t>
      </w:r>
    </w:p>
    <w:p>
      <w:pPr>
        <w:pStyle w:val="Normal"/>
        <w:numPr>
          <w:ilvl w:val="0"/>
          <w:numId w:val="76"/>
        </w:numPr>
        <w:tabs>
          <w:tab w:val="clear" w:pos="709"/>
          <w:tab w:val="left" w:pos="284" w:leader="none"/>
        </w:tabs>
        <w:jc w:val="both"/>
        <w:rPr>
          <w:rFonts w:ascii="Arial" w:hAnsi="Arial" w:cs="Arial"/>
        </w:rPr>
      </w:pPr>
      <w:r>
        <w:rPr>
          <w:rFonts w:cs="Arial" w:ascii="Arial" w:hAnsi="Arial"/>
        </w:rPr>
        <w:t>A(s) empresa(s) melhor(es) classificada(s) após a etapa de lances, deverá(ão) apresentar uma amostra de cada item, devendo ser entregue no prazo de até 05 (cinco) dias úteis a contar da data de disputa ou da data da convocação do Pregoeiro nos caso de desclassificações/inabilitações, sob pena de desclassificação pelo não cumprimento.</w:t>
      </w:r>
    </w:p>
    <w:p>
      <w:pPr>
        <w:pStyle w:val="Normal"/>
        <w:numPr>
          <w:ilvl w:val="0"/>
          <w:numId w:val="77"/>
        </w:numPr>
        <w:tabs>
          <w:tab w:val="clear" w:pos="709"/>
          <w:tab w:val="left" w:pos="284" w:leader="none"/>
        </w:tabs>
        <w:jc w:val="both"/>
        <w:rPr>
          <w:rFonts w:ascii="Arial" w:hAnsi="Arial" w:cs="Arial"/>
        </w:rPr>
      </w:pPr>
      <w:r>
        <w:rPr>
          <w:rFonts w:cs="Arial" w:ascii="Arial" w:hAnsi="Arial"/>
        </w:rPr>
        <w:t xml:space="preserve">Local e horário de entrega: </w:t>
      </w:r>
    </w:p>
    <w:p>
      <w:pPr>
        <w:pStyle w:val="Normal"/>
        <w:ind w:firstLine="426"/>
        <w:jc w:val="both"/>
        <w:rPr>
          <w:rFonts w:ascii="Arial" w:hAnsi="Arial" w:eastAsia="Arial" w:cs="Arial"/>
          <w:b/>
          <w:color w:val="000000"/>
        </w:rPr>
      </w:pPr>
      <w:r>
        <w:rPr>
          <w:rFonts w:eastAsia="Arial" w:cs="Arial" w:ascii="Arial" w:hAnsi="Arial"/>
          <w:b/>
          <w:color w:val="000000"/>
        </w:rPr>
        <w:t>Secretaria Municipal de Esportes, Lazer e Atividades Motoras</w:t>
      </w:r>
    </w:p>
    <w:p>
      <w:pPr>
        <w:pStyle w:val="Normal"/>
        <w:ind w:firstLine="426"/>
        <w:jc w:val="both"/>
        <w:rPr>
          <w:rFonts w:ascii="Arial" w:hAnsi="Arial" w:cs="Arial"/>
          <w:b/>
          <w:color w:val="000000"/>
        </w:rPr>
      </w:pPr>
      <w:r>
        <w:rPr>
          <w:rFonts w:eastAsia="Arial" w:cs="Arial" w:ascii="Arial" w:hAnsi="Arial"/>
          <w:b/>
          <w:color w:val="000000"/>
        </w:rPr>
        <w:t xml:space="preserve">Endereço: </w:t>
      </w:r>
      <w:r>
        <w:rPr>
          <w:rFonts w:cs="Arial" w:ascii="Arial" w:hAnsi="Arial"/>
          <w:b/>
          <w:color w:val="000000"/>
        </w:rPr>
        <w:t>R. Antônio Corrêa Barbosa, 2233 – Centro Cívico – Térreo 2</w:t>
      </w:r>
    </w:p>
    <w:p>
      <w:pPr>
        <w:pStyle w:val="Normal"/>
        <w:ind w:firstLine="426"/>
        <w:jc w:val="both"/>
        <w:rPr>
          <w:rFonts w:ascii="Arial" w:hAnsi="Arial" w:cs="Arial"/>
          <w:b/>
        </w:rPr>
      </w:pPr>
      <w:r>
        <w:rPr>
          <w:rFonts w:eastAsia="Arial" w:cs="Arial" w:ascii="Arial" w:hAnsi="Arial"/>
          <w:b/>
          <w:color w:val="000000"/>
        </w:rPr>
        <w:t>Horário de entrega: de 08:30 às 11:30 e das 13:00 às 16:30 horas, de segunda a sexta-feira</w:t>
      </w:r>
    </w:p>
    <w:p>
      <w:pPr>
        <w:pStyle w:val="Normal"/>
        <w:jc w:val="both"/>
        <w:rPr>
          <w:rFonts w:ascii="Arial" w:hAnsi="Arial" w:cs="Arial"/>
          <w:b/>
        </w:rPr>
      </w:pPr>
      <w:r>
        <w:rPr>
          <w:rFonts w:cs="Arial" w:ascii="Arial" w:hAnsi="Arial"/>
          <w:b/>
        </w:rPr>
      </w:r>
    </w:p>
    <w:p>
      <w:pPr>
        <w:pStyle w:val="Normal"/>
        <w:jc w:val="both"/>
        <w:rPr>
          <w:rFonts w:ascii="Arial" w:hAnsi="Arial" w:eastAsia="Arial" w:cs="Arial"/>
          <w:color w:val="000000"/>
        </w:rPr>
      </w:pPr>
      <w:r>
        <w:rPr>
          <w:rFonts w:cs="Arial" w:ascii="Arial" w:hAnsi="Arial"/>
          <w:b/>
        </w:rPr>
        <w:t>Justificativa:</w:t>
      </w:r>
      <w:r>
        <w:rPr>
          <w:rFonts w:eastAsia="Arial" w:cs="Arial" w:ascii="Arial" w:hAnsi="Arial"/>
          <w:color w:val="000000"/>
        </w:rPr>
        <w:t xml:space="preserve"> As amostras serão analisadas pela Unidade Requisitante, sendo que a exigência de apresentação de amostras no presente processo licitatório tem como finalidade assegurar que os refletores de LED a serem adquiridos atendam plenamente às especificações técnicas estabelecidas no Termo de Referência, garantindo a qualidade, eficiência e durabilidade necessárias ao atendimento do interesse público.</w:t>
      </w:r>
    </w:p>
    <w:p>
      <w:pPr>
        <w:pStyle w:val="BodyText"/>
        <w:tabs>
          <w:tab w:val="clear" w:pos="709"/>
          <w:tab w:val="left" w:pos="0" w:leader="none"/>
        </w:tabs>
        <w:rPr>
          <w:rFonts w:eastAsia="Arial"/>
          <w:color w:val="000000"/>
          <w:sz w:val="20"/>
          <w:szCs w:val="20"/>
        </w:rPr>
      </w:pPr>
      <w:r>
        <w:rPr>
          <w:rFonts w:eastAsia="Arial"/>
          <w:color w:val="000000"/>
          <w:sz w:val="20"/>
          <w:szCs w:val="20"/>
        </w:rPr>
        <w:t>Os refletores de LED constituem equipamentos cuja avaliação meramente documental (catálogos, fichas técnicas ou declarações do fabricante) não é suficiente para aferir, de forma precisa, aspectos essenciais de desempenho, tais como:</w:t>
      </w:r>
    </w:p>
    <w:p>
      <w:pPr>
        <w:pStyle w:val="BodyText"/>
        <w:numPr>
          <w:ilvl w:val="0"/>
          <w:numId w:val="8"/>
        </w:numPr>
        <w:tabs>
          <w:tab w:val="clear" w:pos="709"/>
          <w:tab w:val="left" w:pos="0" w:leader="none"/>
        </w:tabs>
        <w:rPr>
          <w:rFonts w:eastAsia="Arial"/>
          <w:color w:val="000000"/>
          <w:sz w:val="20"/>
          <w:szCs w:val="20"/>
        </w:rPr>
      </w:pPr>
      <w:r>
        <w:rPr>
          <w:rFonts w:eastAsia="Arial"/>
          <w:color w:val="000000"/>
          <w:sz w:val="20"/>
          <w:szCs w:val="20"/>
        </w:rPr>
        <w:t xml:space="preserve">Qualidade real da iluminação (fluxo luminoso efetivo); </w:t>
      </w:r>
    </w:p>
    <w:p>
      <w:pPr>
        <w:pStyle w:val="BodyText"/>
        <w:numPr>
          <w:ilvl w:val="0"/>
          <w:numId w:val="8"/>
        </w:numPr>
        <w:tabs>
          <w:tab w:val="clear" w:pos="709"/>
          <w:tab w:val="left" w:pos="0" w:leader="none"/>
        </w:tabs>
        <w:rPr>
          <w:rFonts w:eastAsia="Arial"/>
          <w:color w:val="000000"/>
          <w:sz w:val="20"/>
          <w:szCs w:val="20"/>
        </w:rPr>
      </w:pPr>
      <w:r>
        <w:rPr>
          <w:rFonts w:eastAsia="Arial"/>
          <w:color w:val="000000"/>
          <w:sz w:val="20"/>
          <w:szCs w:val="20"/>
        </w:rPr>
        <w:t xml:space="preserve">Uniformidade e abertura do facho de luz; </w:t>
      </w:r>
    </w:p>
    <w:p>
      <w:pPr>
        <w:pStyle w:val="BodyText"/>
        <w:numPr>
          <w:ilvl w:val="0"/>
          <w:numId w:val="8"/>
        </w:numPr>
        <w:tabs>
          <w:tab w:val="clear" w:pos="709"/>
          <w:tab w:val="left" w:pos="0" w:leader="none"/>
        </w:tabs>
        <w:rPr>
          <w:rFonts w:eastAsia="Arial"/>
          <w:color w:val="000000"/>
          <w:sz w:val="20"/>
          <w:szCs w:val="20"/>
        </w:rPr>
      </w:pPr>
      <w:r>
        <w:rPr>
          <w:rFonts w:eastAsia="Arial"/>
          <w:color w:val="000000"/>
          <w:sz w:val="20"/>
          <w:szCs w:val="20"/>
        </w:rPr>
        <w:t xml:space="preserve">Temperatura de cor e índice de reprodução de cor (IRC); </w:t>
      </w:r>
    </w:p>
    <w:p>
      <w:pPr>
        <w:pStyle w:val="BodyText"/>
        <w:numPr>
          <w:ilvl w:val="0"/>
          <w:numId w:val="8"/>
        </w:numPr>
        <w:tabs>
          <w:tab w:val="clear" w:pos="709"/>
          <w:tab w:val="left" w:pos="0" w:leader="none"/>
        </w:tabs>
        <w:rPr>
          <w:rFonts w:eastAsia="Arial"/>
          <w:color w:val="000000"/>
          <w:sz w:val="20"/>
          <w:szCs w:val="20"/>
        </w:rPr>
      </w:pPr>
      <w:r>
        <w:rPr>
          <w:rFonts w:eastAsia="Arial"/>
          <w:color w:val="000000"/>
          <w:sz w:val="20"/>
          <w:szCs w:val="20"/>
        </w:rPr>
        <w:t xml:space="preserve">Eficiência energética e dissipação térmica; </w:t>
      </w:r>
    </w:p>
    <w:p>
      <w:pPr>
        <w:pStyle w:val="BodyText"/>
        <w:numPr>
          <w:ilvl w:val="0"/>
          <w:numId w:val="8"/>
        </w:numPr>
        <w:tabs>
          <w:tab w:val="clear" w:pos="709"/>
          <w:tab w:val="left" w:pos="0" w:leader="none"/>
        </w:tabs>
        <w:rPr>
          <w:rFonts w:eastAsia="Arial"/>
          <w:color w:val="000000"/>
          <w:sz w:val="20"/>
          <w:szCs w:val="20"/>
        </w:rPr>
      </w:pPr>
      <w:r>
        <w:rPr>
          <w:rFonts w:eastAsia="Arial"/>
          <w:color w:val="000000"/>
          <w:sz w:val="20"/>
          <w:szCs w:val="20"/>
        </w:rPr>
        <w:t xml:space="preserve">Robustez do material, acabamento e grau de proteção (IP); </w:t>
      </w:r>
    </w:p>
    <w:p>
      <w:pPr>
        <w:pStyle w:val="BodyText"/>
        <w:numPr>
          <w:ilvl w:val="0"/>
          <w:numId w:val="8"/>
        </w:numPr>
        <w:tabs>
          <w:tab w:val="clear" w:pos="709"/>
          <w:tab w:val="left" w:pos="0" w:leader="none"/>
        </w:tabs>
        <w:rPr>
          <w:rFonts w:eastAsia="Arial"/>
          <w:color w:val="000000"/>
          <w:sz w:val="20"/>
          <w:szCs w:val="20"/>
        </w:rPr>
      </w:pPr>
      <w:r>
        <w:rPr>
          <w:rFonts w:eastAsia="Arial"/>
          <w:color w:val="000000"/>
          <w:sz w:val="20"/>
          <w:szCs w:val="20"/>
        </w:rPr>
        <w:t xml:space="preserve">Conformidade com padrões de segurança elétrica. </w:t>
      </w:r>
    </w:p>
    <w:p>
      <w:pPr>
        <w:pStyle w:val="Normal"/>
        <w:jc w:val="both"/>
        <w:rPr>
          <w:rFonts w:ascii="Arial" w:hAnsi="Arial" w:cs="Arial"/>
          <w:b/>
        </w:rPr>
      </w:pPr>
      <w:r>
        <w:rPr>
          <w:rFonts w:eastAsia="Arial" w:cs="Arial" w:ascii="Arial" w:hAnsi="Arial"/>
          <w:color w:val="000000"/>
        </w:rPr>
        <w:t>Nesse contexto, a apresentação de amostras permite à Administração realizar testes práticos e inspeções visuais que confirmem a compatibilidade do produto ofertado com as exigências do edital, mitigando riscos de aquisição de produtos de baixa qualidade ou em desacordo com as necessidades do serviço público, especialmente considerando a aplicação dos refletores em ambientes esportivos e espaços públicos, onde a iluminação adequada é fator crítico para segurança e desempenho das atividades</w:t>
      </w:r>
    </w:p>
    <w:p>
      <w:pPr>
        <w:pStyle w:val="Normal"/>
        <w:tabs>
          <w:tab w:val="clear" w:pos="709"/>
          <w:tab w:val="left" w:pos="284" w:leader="none"/>
        </w:tabs>
        <w:ind w:left="720"/>
        <w:jc w:val="both"/>
        <w:rPr>
          <w:rFonts w:ascii="Arial" w:hAnsi="Arial" w:cs="Arial"/>
        </w:rPr>
      </w:pPr>
      <w:r>
        <w:rPr>
          <w:rFonts w:cs="Arial" w:ascii="Arial" w:hAnsi="Arial"/>
        </w:rPr>
      </w:r>
    </w:p>
    <w:p>
      <w:pPr>
        <w:pStyle w:val="Normal"/>
        <w:shd w:val="clear" w:color="auto" w:fill="CCCCCC"/>
        <w:ind w:firstLine="567"/>
        <w:rPr>
          <w:rFonts w:ascii="Arial" w:hAnsi="Arial" w:cs="Arial"/>
        </w:rPr>
      </w:pPr>
      <w:r>
        <w:rPr>
          <w:rFonts w:cs="Arial" w:ascii="Arial" w:hAnsi="Arial"/>
          <w:b/>
          <w:bCs/>
        </w:rPr>
        <w:t>6. DA EMBALAGEM:</w:t>
      </w:r>
    </w:p>
    <w:p>
      <w:pPr>
        <w:pStyle w:val="Normal"/>
        <w:numPr>
          <w:ilvl w:val="0"/>
          <w:numId w:val="78"/>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7. DA ENTREGA:</w:t>
      </w:r>
    </w:p>
    <w:p>
      <w:pPr>
        <w:pStyle w:val="Normal"/>
        <w:numPr>
          <w:ilvl w:val="0"/>
          <w:numId w:val="79"/>
        </w:numPr>
        <w:tabs>
          <w:tab w:val="clear" w:pos="709"/>
          <w:tab w:val="left" w:pos="284" w:leader="none"/>
        </w:tabs>
        <w:jc w:val="both"/>
        <w:rPr>
          <w:rFonts w:ascii="Arial" w:hAnsi="Arial" w:cs="Arial"/>
          <w:lang w:eastAsia="pt-BR"/>
        </w:rPr>
      </w:pPr>
      <w:r>
        <w:rPr>
          <w:rFonts w:cs="Arial" w:ascii="Arial" w:hAnsi="Arial"/>
          <w:lang w:eastAsia="pt-BR"/>
        </w:rPr>
        <w:t xml:space="preserve">Prazo de entrega: </w:t>
      </w:r>
      <w:r>
        <w:rPr>
          <w:rFonts w:eastAsia="Arial" w:cs="Arial" w:ascii="Arial" w:hAnsi="Arial"/>
          <w:color w:val="000000"/>
          <w:shd w:fill="FFFFFF" w:val="clear"/>
        </w:rPr>
        <w:t>Até o máximo de 10</w:t>
      </w:r>
      <w:r>
        <w:rPr>
          <w:rFonts w:eastAsia="Arial" w:cs="Arial" w:ascii="Arial" w:hAnsi="Arial"/>
          <w:color w:val="000000"/>
        </w:rPr>
        <w:t xml:space="preserve"> (dez)</w:t>
      </w:r>
      <w:r>
        <w:rPr>
          <w:rFonts w:eastAsia="Arial" w:cs="Arial" w:ascii="Arial" w:hAnsi="Arial"/>
          <w:color w:val="000000"/>
          <w:shd w:fill="FFFFFF" w:val="clear"/>
        </w:rPr>
        <w:t xml:space="preserve"> dias úteis, a contar da Ordem de Fornecimento, emitida pela Unidade Requisitante</w:t>
      </w:r>
      <w:r>
        <w:rPr>
          <w:rFonts w:cs="Arial" w:ascii="Arial" w:hAnsi="Arial"/>
          <w:lang w:eastAsia="pt-BR"/>
        </w:rPr>
        <w:t>.</w:t>
      </w:r>
    </w:p>
    <w:p>
      <w:pPr>
        <w:pStyle w:val="Normal"/>
        <w:numPr>
          <w:ilvl w:val="0"/>
          <w:numId w:val="80"/>
        </w:numPr>
        <w:tabs>
          <w:tab w:val="clear" w:pos="709"/>
          <w:tab w:val="left" w:pos="284" w:leader="none"/>
        </w:tabs>
        <w:jc w:val="both"/>
        <w:rPr>
          <w:rFonts w:ascii="Arial" w:hAnsi="Arial" w:cs="Arial"/>
        </w:rPr>
      </w:pPr>
      <w:r>
        <w:rPr>
          <w:rFonts w:cs="Arial" w:ascii="Arial" w:hAnsi="Arial"/>
          <w:lang w:eastAsia="pt-BR"/>
        </w:rPr>
        <w:t xml:space="preserve">Local de entrega: </w:t>
      </w:r>
    </w:p>
    <w:p>
      <w:pPr>
        <w:pStyle w:val="Normal"/>
        <w:tabs>
          <w:tab w:val="clear" w:pos="709"/>
          <w:tab w:val="left" w:pos="284" w:leader="none"/>
        </w:tabs>
        <w:ind w:firstLine="284"/>
        <w:jc w:val="both"/>
        <w:rPr>
          <w:rFonts w:ascii="Arial" w:hAnsi="Arial" w:eastAsia="Arial" w:cs="Arial"/>
          <w:b/>
          <w:color w:val="000000"/>
        </w:rPr>
      </w:pPr>
      <w:r>
        <w:rPr>
          <w:rFonts w:eastAsia="Arial" w:cs="Arial" w:ascii="Arial" w:hAnsi="Arial"/>
          <w:b/>
          <w:color w:val="000000"/>
        </w:rPr>
        <w:t>Secretaria Municipal de Esportes, Lazer e Atividades Motoras</w:t>
      </w:r>
    </w:p>
    <w:p>
      <w:pPr>
        <w:pStyle w:val="Normal"/>
        <w:tabs>
          <w:tab w:val="clear" w:pos="709"/>
          <w:tab w:val="left" w:pos="284" w:leader="none"/>
        </w:tabs>
        <w:ind w:firstLine="284"/>
        <w:jc w:val="both"/>
        <w:rPr>
          <w:rFonts w:ascii="Arial" w:hAnsi="Arial" w:eastAsia="Arial" w:cs="Arial"/>
          <w:b/>
          <w:color w:val="000000"/>
        </w:rPr>
      </w:pPr>
      <w:r>
        <w:rPr>
          <w:rFonts w:eastAsia="Arial" w:cs="Arial" w:ascii="Arial" w:hAnsi="Arial"/>
          <w:b/>
          <w:color w:val="000000"/>
        </w:rPr>
        <w:t>Endereço Rua 13 de maio, 2122 – Ginásio Municipal “Waldemar Blatkauskas”</w:t>
      </w:r>
    </w:p>
    <w:p>
      <w:pPr>
        <w:pStyle w:val="Normal"/>
        <w:tabs>
          <w:tab w:val="clear" w:pos="709"/>
          <w:tab w:val="left" w:pos="284" w:leader="none"/>
        </w:tabs>
        <w:ind w:firstLine="284"/>
        <w:jc w:val="both"/>
        <w:rPr>
          <w:rFonts w:ascii="Arial" w:hAnsi="Arial" w:cs="Arial"/>
          <w:b/>
        </w:rPr>
      </w:pPr>
      <w:r>
        <w:rPr>
          <w:rFonts w:eastAsia="Arial" w:cs="Arial" w:ascii="Arial" w:hAnsi="Arial"/>
          <w:b/>
          <w:color w:val="000000"/>
        </w:rPr>
        <w:t>Horário de entrega: de 08:30 às 11:30 e das 13:00 às 16:30 horas, de segunda a sexta-feira.</w:t>
      </w:r>
    </w:p>
    <w:p>
      <w:pPr>
        <w:pStyle w:val="Normal"/>
        <w:keepLines/>
        <w:numPr>
          <w:ilvl w:val="0"/>
          <w:numId w:val="81"/>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8. DA GARANTIA</w:t>
      </w:r>
      <w:r>
        <w:rPr>
          <w:rFonts w:eastAsia="Arial" w:cs="Arial" w:ascii="Arial" w:hAnsi="Arial"/>
          <w:b/>
          <w:color w:val="000000"/>
        </w:rPr>
        <w:t>:</w:t>
      </w:r>
    </w:p>
    <w:p>
      <w:pPr>
        <w:pStyle w:val="Normal"/>
        <w:numPr>
          <w:ilvl w:val="0"/>
          <w:numId w:val="4"/>
        </w:numPr>
        <w:tabs>
          <w:tab w:val="clear" w:pos="709"/>
          <w:tab w:val="left" w:pos="284" w:leader="none"/>
        </w:tabs>
        <w:jc w:val="both"/>
        <w:rPr>
          <w:rFonts w:ascii="Arial" w:hAnsi="Arial" w:cs="Arial"/>
        </w:rPr>
      </w:pPr>
      <w:r>
        <w:rPr>
          <w:rFonts w:eastAsia="Arial" w:cs="Arial" w:ascii="Arial" w:hAnsi="Arial"/>
          <w:color w:val="000000"/>
          <w:shd w:fill="FFFFFF" w:val="clear"/>
        </w:rPr>
        <w:t>A garantia deverá ser de no mínimo</w:t>
      </w:r>
      <w:r>
        <w:rPr>
          <w:rFonts w:eastAsia="Arial" w:cs="Arial" w:ascii="Arial" w:hAnsi="Arial"/>
          <w:color w:val="000000"/>
        </w:rPr>
        <w:t xml:space="preserve"> 12 (doze) </w:t>
      </w:r>
      <w:r>
        <w:rPr>
          <w:rFonts w:eastAsia="Arial" w:cs="Arial" w:ascii="Arial" w:hAnsi="Arial"/>
          <w:color w:val="000000"/>
          <w:shd w:fill="FFFFFF" w:val="clear"/>
        </w:rPr>
        <w:t>meses, contados da data de recebimento</w:t>
      </w:r>
      <w:r>
        <w:rPr>
          <w:rFonts w:cs="Arial" w:ascii="Arial" w:hAnsi="Arial"/>
        </w:rPr>
        <w:t>.</w:t>
      </w:r>
    </w:p>
    <w:p>
      <w:pPr>
        <w:pStyle w:val="Normal"/>
        <w:numPr>
          <w:ilvl w:val="0"/>
          <w:numId w:val="4"/>
        </w:numPr>
        <w:tabs>
          <w:tab w:val="clear" w:pos="709"/>
          <w:tab w:val="left" w:pos="284" w:leader="none"/>
        </w:tabs>
        <w:jc w:val="both"/>
        <w:rPr>
          <w:rFonts w:ascii="Arial" w:hAnsi="Arial" w:cs="Arial"/>
        </w:rPr>
      </w:pPr>
      <w:r>
        <w:rPr>
          <w:rFonts w:eastAsia="Arial" w:cs="Arial" w:ascii="Arial" w:hAnsi="Arial"/>
          <w:color w:val="000000"/>
          <w:shd w:fill="FFFFFF" w:val="clear"/>
        </w:rPr>
        <w:t>Durante a vigência da garantia, a contratada deverá substituir, sem nenhum ônus adicional, produtos defeituosos ou com desgaste anormal, no prazo máximo de 10 (dez) dias, a contar da notificação</w:t>
      </w:r>
      <w:r>
        <w:rPr>
          <w:rFonts w:cs="Arial" w:ascii="Arial" w:hAnsi="Arial"/>
        </w:rPr>
        <w:t>.</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9. DO FORNECIMENTO DE INFORMAÇÕES:</w:t>
      </w:r>
    </w:p>
    <w:p>
      <w:pPr>
        <w:pStyle w:val="Normal"/>
        <w:numPr>
          <w:ilvl w:val="0"/>
          <w:numId w:val="82"/>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10. EXIGÊNCIA PARA HABILITAÇÃO:</w:t>
      </w:r>
    </w:p>
    <w:p>
      <w:pPr>
        <w:pStyle w:val="Normal"/>
        <w:numPr>
          <w:ilvl w:val="0"/>
          <w:numId w:val="83"/>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4"/>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85"/>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8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0"/>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1"/>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2"/>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3"/>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94"/>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5"/>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2"/>
          <w:numId w:val="9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100"/>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10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102"/>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jc w:val="center"/>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02 de junho de 2026</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center"/>
        <w:rPr>
          <w:rFonts w:ascii="Arial" w:hAnsi="Arial" w:cs="Arial"/>
          <w:b/>
        </w:rPr>
      </w:pPr>
      <w:r>
        <w:rPr>
          <w:rFonts w:cs="Arial" w:ascii="Arial" w:hAnsi="Arial"/>
          <w:b/>
        </w:rPr>
        <w:t>Larissa Palomo Monferdini</w:t>
      </w:r>
    </w:p>
    <w:p>
      <w:pPr>
        <w:pStyle w:val="Normal"/>
        <w:jc w:val="center"/>
        <w:rPr>
          <w:rFonts w:ascii="Arial" w:hAnsi="Arial" w:cs="Arial"/>
          <w:b/>
        </w:rPr>
      </w:pPr>
      <w:r>
        <w:rPr>
          <w:rFonts w:cs="Arial" w:ascii="Arial" w:hAnsi="Arial"/>
          <w:b/>
        </w:rPr>
        <w:t>Chefe de Setor</w:t>
      </w:r>
    </w:p>
    <w:p>
      <w:pPr>
        <w:pStyle w:val="Normal"/>
        <w:jc w:val="center"/>
        <w:rPr>
          <w:rFonts w:ascii="Arial" w:hAnsi="Arial" w:cs="Arial"/>
          <w:b/>
        </w:rPr>
      </w:pPr>
      <w:r>
        <w:rPr>
          <w:rFonts w:cs="Arial" w:ascii="Arial" w:hAnsi="Arial"/>
          <w:b/>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highlight w:val="yellow"/>
        </w:rPr>
      </w:pPr>
      <w:r>
        <w:rPr>
          <w:rFonts w:cs="Arial" w:ascii="Arial" w:hAnsi="Arial"/>
          <w:highlight w:val="yellow"/>
        </w:rPr>
      </w:r>
    </w:p>
    <w:p>
      <w:pPr>
        <w:pStyle w:val="Heading2"/>
        <w:numPr>
          <w:ilvl w:val="1"/>
          <w:numId w:val="1"/>
        </w:numPr>
        <w:tabs>
          <w:tab w:val="clear" w:pos="709"/>
        </w:tabs>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Pr>
          <w:sz w:val="20"/>
          <w:szCs w:val="20"/>
        </w:rPr>
      </w:pPr>
      <w:r>
        <w:rPr>
          <w:i w:val="false"/>
          <w:iCs w:val="false"/>
          <w:sz w:val="20"/>
          <w:szCs w:val="20"/>
        </w:rPr>
        <w:t>7. participação</w:t>
      </w:r>
    </w:p>
    <w:p>
      <w:pPr>
        <w:pStyle w:val="Normal"/>
        <w:ind w:firstLine="284"/>
        <w:jc w:val="both"/>
        <w:rPr>
          <w:rFonts w:ascii="Arial" w:hAnsi="Arial" w:cs="Arial"/>
          <w:sz w:val="16"/>
        </w:rPr>
      </w:pPr>
      <w:r>
        <w:rPr>
          <w:rFonts w:cs="Arial" w:ascii="Arial" w:hAnsi="Arial"/>
          <w:sz w:val="16"/>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true"/>
        <w:spacing w:lineRule="auto" w:line="240"/>
        <w:ind w:firstLine="284"/>
        <w:textAlignment w:val="auto"/>
        <w:rPr>
          <w:sz w:val="20"/>
          <w:szCs w:val="20"/>
          <w:lang w:val="pt-BR"/>
        </w:rPr>
      </w:pPr>
      <w:r>
        <w:rPr>
          <w:sz w:val="20"/>
          <w:szCs w:val="20"/>
          <w:lang w:val="pt-BR"/>
        </w:rPr>
      </w:r>
    </w:p>
    <w:p>
      <w:pPr>
        <w:pStyle w:val="BodyTextIndent"/>
        <w:overflowPunct w:val="tru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tabs>
          <w:tab w:val="clear" w:pos="709"/>
        </w:tabs>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Heading8"/>
        <w:numPr>
          <w:ilvl w:val="7"/>
          <w:numId w:val="103"/>
        </w:numPr>
        <w:tabs>
          <w:tab w:val="clear" w:pos="709"/>
        </w:tabs>
        <w:ind w:firstLine="284" w:lef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rPr>
      </w:pPr>
      <w:r>
        <w:rPr>
          <w:rFonts w:cs="Arial" w:ascii="Arial" w:hAnsi="Arial"/>
          <w:color w:val="00B050"/>
        </w:rPr>
      </w:r>
    </w:p>
    <w:p>
      <w:pPr>
        <w:pStyle w:val="Heading8"/>
        <w:numPr>
          <w:ilvl w:val="7"/>
          <w:numId w:val="104"/>
        </w:numPr>
        <w:tabs>
          <w:tab w:val="clear" w:pos="709"/>
        </w:tabs>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105"/>
        </w:numPr>
        <w:tabs>
          <w:tab w:val="clear" w:pos="709"/>
        </w:tabs>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06"/>
        </w:numPr>
        <w:tabs>
          <w:tab w:val="clear" w:pos="709"/>
        </w:tabs>
        <w:ind w:firstLine="284" w:left="0"/>
        <w:jc w:val="both"/>
        <w:rPr>
          <w:rFonts w:ascii="Arial" w:hAnsi="Arial" w:cs="Arial"/>
        </w:rPr>
      </w:pPr>
      <w:r>
        <w:rPr>
          <w:rFonts w:cs="Arial" w:ascii="Arial" w:hAnsi="Arial"/>
        </w:rPr>
      </w:r>
    </w:p>
    <w:p>
      <w:pPr>
        <w:pStyle w:val="Normal"/>
        <w:numPr>
          <w:ilvl w:val="0"/>
          <w:numId w:val="107"/>
        </w:numPr>
        <w:tabs>
          <w:tab w:val="clear" w:pos="709"/>
        </w:tabs>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08"/>
        </w:numPr>
        <w:tabs>
          <w:tab w:val="clear" w:pos="709"/>
        </w:tabs>
        <w:ind w:firstLine="284" w:left="0"/>
        <w:jc w:val="both"/>
        <w:rPr>
          <w:rFonts w:ascii="Arial" w:hAnsi="Arial" w:cs="Arial"/>
        </w:rPr>
      </w:pPr>
      <w:r>
        <w:rPr>
          <w:rFonts w:cs="Arial" w:ascii="Arial" w:hAnsi="Arial"/>
        </w:rPr>
      </w:r>
    </w:p>
    <w:p>
      <w:pPr>
        <w:pStyle w:val="Normal"/>
        <w:numPr>
          <w:ilvl w:val="0"/>
          <w:numId w:val="109"/>
        </w:numPr>
        <w:tabs>
          <w:tab w:val="clear" w:pos="709"/>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110"/>
        </w:numPr>
        <w:tabs>
          <w:tab w:val="clear" w:pos="709"/>
        </w:tabs>
        <w:ind w:firstLine="284" w:left="0"/>
        <w:jc w:val="both"/>
        <w:rPr>
          <w:rFonts w:ascii="Arial" w:hAnsi="Arial" w:cs="Arial"/>
        </w:rPr>
      </w:pPr>
      <w:r>
        <w:rPr>
          <w:rFonts w:cs="Arial" w:ascii="Arial" w:hAnsi="Arial"/>
        </w:rPr>
      </w:r>
    </w:p>
    <w:p>
      <w:pPr>
        <w:pStyle w:val="Normal"/>
        <w:numPr>
          <w:ilvl w:val="0"/>
          <w:numId w:val="111"/>
        </w:numPr>
        <w:tabs>
          <w:tab w:val="clear" w:pos="709"/>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12"/>
        </w:numPr>
        <w:tabs>
          <w:tab w:val="clear" w:pos="709"/>
        </w:tabs>
        <w:ind w:firstLine="284" w:left="0"/>
        <w:jc w:val="both"/>
        <w:rPr>
          <w:rFonts w:ascii="Arial" w:hAnsi="Arial" w:cs="Arial"/>
        </w:rPr>
      </w:pPr>
      <w:r>
        <w:rPr>
          <w:rFonts w:cs="Arial" w:ascii="Arial" w:hAnsi="Arial"/>
        </w:rPr>
      </w:r>
    </w:p>
    <w:p>
      <w:pPr>
        <w:pStyle w:val="Normal"/>
        <w:numPr>
          <w:ilvl w:val="0"/>
          <w:numId w:val="113"/>
        </w:numPr>
        <w:tabs>
          <w:tab w:val="clear" w:pos="709"/>
        </w:tabs>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114"/>
        </w:numPr>
        <w:tabs>
          <w:tab w:val="clear" w:pos="709"/>
        </w:tabs>
        <w:ind w:firstLine="284" w:left="0"/>
        <w:jc w:val="both"/>
        <w:rPr>
          <w:rFonts w:ascii="Arial" w:hAnsi="Arial" w:cs="Arial"/>
        </w:rPr>
      </w:pPr>
      <w:r>
        <w:rPr>
          <w:rFonts w:cs="Arial" w:ascii="Arial" w:hAnsi="Arial"/>
        </w:rPr>
      </w:r>
    </w:p>
    <w:p>
      <w:pPr>
        <w:pStyle w:val="Normal"/>
        <w:numPr>
          <w:ilvl w:val="0"/>
          <w:numId w:val="115"/>
        </w:numPr>
        <w:tabs>
          <w:tab w:val="clear" w:pos="709"/>
        </w:tabs>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16"/>
        </w:numPr>
        <w:tabs>
          <w:tab w:val="clear" w:pos="709"/>
        </w:tabs>
        <w:ind w:firstLine="284" w:left="0"/>
        <w:jc w:val="both"/>
        <w:rPr>
          <w:rFonts w:ascii="Arial" w:hAnsi="Arial" w:cs="Arial"/>
        </w:rPr>
      </w:pPr>
      <w:r>
        <w:rPr>
          <w:rFonts w:cs="Arial" w:ascii="Arial" w:hAnsi="Arial"/>
        </w:rPr>
      </w:r>
    </w:p>
    <w:p>
      <w:pPr>
        <w:pStyle w:val="BodyText"/>
        <w:numPr>
          <w:ilvl w:val="0"/>
          <w:numId w:val="117"/>
        </w:numPr>
        <w:tabs>
          <w:tab w:val="clear" w:pos="709"/>
        </w:tabs>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numPr>
          <w:ilvl w:val="0"/>
          <w:numId w:val="118"/>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sz w:val="20"/>
          <w:szCs w:val="20"/>
          <w:lang w:val="pt-BR"/>
        </w:rPr>
      </w:pPr>
      <w:r>
        <w:rPr>
          <w:sz w:val="20"/>
          <w:szCs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6</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119"/>
        </w:numPr>
        <w:ind w:firstLine="284" w:left="0"/>
        <w:rPr>
          <w:sz w:val="20"/>
          <w:szCs w:val="20"/>
        </w:rPr>
      </w:pPr>
      <w:r>
        <w:rPr>
          <w:sz w:val="20"/>
          <w:szCs w:val="20"/>
        </w:rPr>
      </w:r>
    </w:p>
    <w:p>
      <w:pPr>
        <w:pStyle w:val="BodyText"/>
        <w:numPr>
          <w:ilvl w:val="0"/>
          <w:numId w:val="120"/>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20"/>
          <w:szCs w:val="20"/>
        </w:rPr>
        <w:t xml:space="preserve"> poderá negociar com a licitante para que seja obtido menor preço.</w:t>
      </w:r>
    </w:p>
    <w:p>
      <w:pPr>
        <w:pStyle w:val="BodyText"/>
        <w:numPr>
          <w:ilvl w:val="0"/>
          <w:numId w:val="121"/>
        </w:numPr>
        <w:tabs>
          <w:tab w:val="clear" w:pos="709"/>
          <w:tab w:val="left" w:pos="284" w:leader="none"/>
        </w:tabs>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w:t>
      </w:r>
      <w:r>
        <w:rPr>
          <w:rFonts w:cs="Arial" w:ascii="Arial" w:hAnsi="Arial"/>
          <w:sz w:val="18"/>
          <w:szCs w:val="19"/>
        </w:rPr>
        <w:t>apresentar desconformidade com quaisquer outras exigências do edital ou seus anexos, desde que insanável</w:t>
      </w:r>
      <w:r>
        <w:rPr>
          <w:rFonts w:cs="Arial" w:ascii="Arial" w:hAnsi="Arial"/>
        </w:rPr>
        <w:t>.</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renovadas as quantidades, desde que comprovado o preço vantajoso,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7"/>
        <w:gridCol w:w="1415"/>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Unid.</w:t>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kern w:val="2"/>
              </w:rPr>
            </w:pPr>
            <w:r>
              <w:rPr>
                <w:rFonts w:cs="Arial" w:ascii="Arial" w:hAnsi="Arial"/>
                <w:b/>
              </w:rPr>
              <w:t>Descritivo</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true"/>
        <w:spacing w:lineRule="auto" w:line="240"/>
        <w:rPr>
          <w:b/>
          <w:bCs/>
          <w:sz w:val="20"/>
          <w:szCs w:val="20"/>
        </w:rPr>
      </w:pPr>
      <w:r>
        <w:rPr>
          <w:b/>
          <w:bCs/>
          <w:sz w:val="20"/>
          <w:szCs w:val="20"/>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0" w:noVBand="0" w:lastRow="0" w:firstColumn="0" w:lastColumn="0" w:noHBand="0" w:val="0000"/>
      </w:tblPr>
      <w:tblGrid>
        <w:gridCol w:w="765"/>
        <w:gridCol w:w="889"/>
        <w:gridCol w:w="1078"/>
        <w:gridCol w:w="4938"/>
        <w:gridCol w:w="2163"/>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89"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63"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shd w:color="auto" w:fill="auto" w:val="clear"/>
          </w:tcPr>
          <w:p>
            <w:pPr>
              <w:pStyle w:val="Normal"/>
              <w:snapToGrid w:val="false"/>
              <w:jc w:val="center"/>
              <w:rPr>
                <w:rFonts w:ascii="Arial" w:hAnsi="Arial" w:cs="Arial"/>
              </w:rPr>
            </w:pPr>
            <w:r>
              <w:rPr>
                <w:rFonts w:cs="Arial" w:ascii="Arial" w:hAnsi="Arial"/>
              </w:rPr>
            </w:r>
          </w:p>
        </w:tc>
        <w:tc>
          <w:tcPr>
            <w:tcW w:w="889"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1078"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4938" w:type="dxa"/>
            <w:tcBorders>
              <w:left w:val="single" w:sz="2" w:space="0" w:color="000000"/>
              <w:bottom w:val="single" w:sz="2" w:space="0" w:color="000000"/>
              <w:right w:val="single" w:sz="4" w:space="0" w:color="000000"/>
            </w:tcBorders>
            <w:shd w:color="auto" w:fill="auto" w:val="clear"/>
            <w:vAlign w:val="center"/>
          </w:tcPr>
          <w:p>
            <w:pPr>
              <w:pStyle w:val="Normal"/>
              <w:snapToGrid w:val="false"/>
              <w:jc w:val="both"/>
              <w:rPr>
                <w:rFonts w:ascii="Arial" w:hAnsi="Arial" w:cs="Arial"/>
                <w:color w:val="000000"/>
              </w:rPr>
            </w:pPr>
            <w:r>
              <w:rPr>
                <w:rFonts w:cs="Arial" w:ascii="Arial" w:hAnsi="Arial"/>
                <w:color w:val="000000"/>
              </w:rPr>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u w:val="single"/>
        </w:rPr>
      </w:pPr>
      <w:r>
        <w:rPr>
          <w:rFonts w:cs="Arial" w:ascii="Arial" w:hAnsi="Arial"/>
          <w:b/>
          <w:u w:val="single"/>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kern w:val="2"/>
        </w:rPr>
      </w:pPr>
      <w:r>
        <w:rPr>
          <w:rFonts w:cs="Arial" w:ascii="Arial" w:hAnsi="Arial"/>
          <w:b/>
          <w:bCs/>
          <w:kern w:val="2"/>
        </w:rPr>
        <w:t>MINUTA DE CONTRATO</w:t>
      </w:r>
    </w:p>
    <w:p>
      <w:pPr>
        <w:pStyle w:val="Normal"/>
        <w:jc w:val="center"/>
        <w:rPr>
          <w:rFonts w:ascii="Arial" w:hAnsi="Arial" w:cs="Arial"/>
          <w:b/>
          <w:bCs/>
        </w:rPr>
      </w:pPr>
      <w:r>
        <w:rPr>
          <w:rFonts w:cs="Arial" w:ascii="Arial" w:hAnsi="Arial"/>
          <w:color w:val="000000"/>
        </w:rPr>
        <w:t>====================================================================================</w:t>
      </w:r>
    </w:p>
    <w:p>
      <w:pPr>
        <w:pStyle w:val="Normal"/>
        <w:jc w:val="both"/>
        <w:rPr>
          <w:b/>
          <w:sz w:val="24"/>
          <w:szCs w:val="24"/>
          <w:u w:val="single"/>
        </w:rPr>
      </w:pPr>
      <w:r>
        <w:rPr>
          <w:b/>
          <w:sz w:val="24"/>
          <w:szCs w:val="24"/>
          <w:u w:val="single"/>
        </w:rPr>
        <w:t>CONTRATO QUE ENTRE SI FAZEM A PREFEITURA DO MUNICÍPIO DE PIRACICABA E ................................................, PARA A AQUISIÇÃO DE REFLETORES DE LED.</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2026/091633</w:t>
      </w:r>
    </w:p>
    <w:p>
      <w:pPr>
        <w:pStyle w:val="Normal"/>
        <w:jc w:val="both"/>
        <w:rPr>
          <w:b/>
          <w:sz w:val="24"/>
          <w:szCs w:val="24"/>
        </w:rPr>
      </w:pPr>
      <w:r>
        <w:rPr>
          <w:b/>
          <w:sz w:val="24"/>
          <w:szCs w:val="24"/>
        </w:rPr>
        <w:t>Pregão Eletrônico n.º ..../2026.</w:t>
      </w:r>
    </w:p>
    <w:p>
      <w:pPr>
        <w:pStyle w:val="Normal"/>
        <w:jc w:val="both"/>
        <w:rPr>
          <w:sz w:val="24"/>
          <w:szCs w:val="24"/>
        </w:rPr>
      </w:pPr>
      <w:r>
        <w:rPr>
          <w:b/>
          <w:sz w:val="24"/>
          <w:szCs w:val="24"/>
        </w:rPr>
        <w:t>Contrato n.º …./2026.</w:t>
      </w:r>
    </w:p>
    <w:p>
      <w:pPr>
        <w:pStyle w:val="Normal"/>
        <w:jc w:val="both"/>
        <w:rPr>
          <w:b/>
          <w:sz w:val="24"/>
          <w:szCs w:val="24"/>
        </w:rPr>
      </w:pPr>
      <w:r>
        <w:rPr>
          <w:b/>
          <w:sz w:val="24"/>
          <w:szCs w:val="24"/>
        </w:rPr>
        <w:t>Ata de Registro de Preços n⁰ ..../2026.</w:t>
      </w:r>
    </w:p>
    <w:p>
      <w:pPr>
        <w:pStyle w:val="Normal"/>
        <w:jc w:val="both"/>
        <w:rPr>
          <w:strike/>
          <w:sz w:val="24"/>
          <w:szCs w:val="24"/>
        </w:rPr>
      </w:pPr>
      <w:r>
        <w:rPr>
          <w:strike/>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Esportes, Lazer e Atividades Motoras, </w:t>
      </w:r>
      <w:r>
        <w:rPr>
          <w:b/>
          <w:sz w:val="24"/>
          <w:szCs w:val="24"/>
        </w:rPr>
        <w:t>Sr. ROGER NASCIMENTO CARNEIRO,</w:t>
      </w:r>
      <w:r>
        <w:rPr>
          <w:sz w:val="24"/>
          <w:szCs w:val="24"/>
          <w:shd w:fill="FFFFFF" w:val="clear"/>
        </w:rPr>
        <w:t xml:space="preserve">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b/>
        </w:rPr>
      </w:pPr>
      <w:r>
        <w:rPr>
          <w:b/>
        </w:rPr>
        <w:t>2.1. A CONTRATADA se obriga a entrega do(s) item(ns) .... de refletores LED, conforme descrição detalhada constante do Edital, bem como seu Termo de Referência e ata de registro de preços, os quais ficam fazendo parte integrante do presente instrumento.</w:t>
      </w:r>
    </w:p>
    <w:p>
      <w:pPr>
        <w:pStyle w:val="Normal"/>
        <w:keepLines/>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 constante do exercício de 2026 e correspondentes.</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Esportes, Lazer e Atividades Motoras,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sz w:val="24"/>
          <w:szCs w:val="24"/>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Esportes, Lazer e Atividades Motoras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pPr>
        <w:pStyle w:val="Normal"/>
        <w:ind w:firstLine="851"/>
        <w:jc w:val="both"/>
        <w:rPr>
          <w:b/>
          <w:sz w:val="24"/>
          <w:szCs w:val="24"/>
        </w:rPr>
      </w:pPr>
      <w:r>
        <w:rPr>
          <w:b/>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jc w:val="both"/>
        <w:rPr>
          <w:sz w:val="24"/>
          <w:szCs w:val="24"/>
        </w:rPr>
      </w:pPr>
      <w:r>
        <w:rPr>
          <w:b/>
          <w:sz w:val="24"/>
          <w:szCs w:val="24"/>
        </w:rPr>
        <w:t>8.1.</w:t>
      </w:r>
      <w:r>
        <w:rPr>
          <w:sz w:val="24"/>
          <w:szCs w:val="24"/>
        </w:rPr>
        <w:t xml:space="preserve"> O presente contrato terá vigência até ................................., a contar da data da Ordem de Fornecimento.</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Cs w:val="16"/>
        </w:rPr>
      </w:pPr>
      <w:r>
        <w:rPr>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16"/>
        </w:rPr>
      </w:pPr>
      <w:r>
        <w:rPr>
          <w:b/>
          <w:sz w:val="24"/>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799"/>
        <w:gridCol w:w="322"/>
        <w:gridCol w:w="4800"/>
      </w:tblGrid>
      <w:tr>
        <w:trPr/>
        <w:tc>
          <w:tcPr>
            <w:tcW w:w="4799" w:type="dxa"/>
            <w:tcBorders>
              <w:top w:val="single" w:sz="4" w:space="0" w:color="000000"/>
              <w:left w:val="single" w:sz="4" w:space="0" w:color="000000"/>
              <w:bottom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ROGER NASCIMENTO CARNEIRO</w:t>
            </w:r>
            <w:r>
              <w:rPr>
                <w:sz w:val="24"/>
                <w:szCs w:val="24"/>
              </w:rPr>
              <w:t xml:space="preserve"> </w:t>
            </w:r>
            <w:r>
              <w:rPr>
                <w:b/>
                <w:sz w:val="24"/>
                <w:szCs w:val="24"/>
              </w:rPr>
              <w:t>Secretário Municipal de Esportes, Lazer e Atividades Motoras</w:t>
            </w:r>
          </w:p>
        </w:tc>
        <w:tc>
          <w:tcPr>
            <w:tcW w:w="322" w:type="dxa"/>
            <w:tcBorders>
              <w:left w:val="single" w:sz="4" w:space="0" w:color="000000"/>
            </w:tcBorders>
            <w:shd w:color="auto" w:fill="auto" w:val="clear"/>
          </w:tcPr>
          <w:p>
            <w:pPr>
              <w:pStyle w:val="Normal"/>
              <w:snapToGrid w:val="false"/>
              <w:jc w:val="both"/>
              <w:rPr>
                <w:sz w:val="24"/>
                <w:szCs w:val="24"/>
              </w:rPr>
            </w:pPr>
            <w:r>
              <w:rPr>
                <w:sz w:val="24"/>
                <w:szCs w:val="24"/>
              </w:rPr>
            </w:r>
          </w:p>
        </w:tc>
        <w:tc>
          <w:tcPr>
            <w:tcW w:w="4800"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799"/>
        <w:gridCol w:w="321"/>
        <w:gridCol w:w="4801"/>
      </w:tblGrid>
      <w:tr>
        <w:trPr>
          <w:trHeight w:val="1089" w:hRule="atLeast"/>
        </w:trPr>
        <w:tc>
          <w:tcPr>
            <w:tcW w:w="4799" w:type="dxa"/>
            <w:tcBorders>
              <w:top w:val="single" w:sz="4" w:space="0" w:color="000000"/>
              <w:left w:val="single" w:sz="4" w:space="0" w:color="000000"/>
              <w:bottom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21" w:type="dxa"/>
            <w:tcBorders>
              <w:left w:val="single" w:sz="4" w:space="0" w:color="000000"/>
            </w:tcBorders>
            <w:shd w:color="auto" w:fill="auto" w:val="clear"/>
          </w:tcPr>
          <w:p>
            <w:pPr>
              <w:pStyle w:val="Normal"/>
              <w:snapToGrid w:val="false"/>
              <w:jc w:val="both"/>
              <w:rPr>
                <w:b/>
                <w:sz w:val="24"/>
                <w:szCs w:val="24"/>
              </w:rPr>
            </w:pPr>
            <w:r>
              <w:rPr>
                <w:b/>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rPr>
          <w:sz w:val="24"/>
          <w:szCs w:val="24"/>
        </w:rPr>
      </w:pPr>
      <w:r>
        <w:rPr>
          <w:sz w:val="24"/>
          <w:szCs w:val="24"/>
        </w:rPr>
      </w:r>
      <w:bookmarkStart w:id="16" w:name="art1p"/>
      <w:bookmarkStart w:id="17" w:name="art2§1"/>
      <w:bookmarkStart w:id="18" w:name="art1p"/>
      <w:bookmarkStart w:id="19" w:name="art2§1"/>
      <w:bookmarkEnd w:id="18"/>
      <w:bookmarkEnd w:id="19"/>
    </w:p>
    <w:p>
      <w:pPr>
        <w:pStyle w:val="Normal"/>
        <w:jc w:val="both"/>
        <w:rPr>
          <w:rFonts w:ascii="Arial" w:hAnsi="Arial" w:cs="Arial"/>
        </w:rPr>
      </w:pPr>
      <w:r>
        <w:rPr>
          <w:rFonts w:cs="Arial" w:ascii="Arial" w:hAnsi="Arial"/>
        </w:rPr>
      </w:r>
      <w:bookmarkStart w:id="20" w:name="_GoBack"/>
      <w:bookmarkStart w:id="21" w:name="_GoBack"/>
      <w:bookmarkEnd w:id="21"/>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1" w:gutter="0" w:header="283" w:top="1418" w:footer="284"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155/2026 -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30</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155/2026 -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30</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1">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120" wp14:anchorId="16AD9ECE">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pt;margin-top:6pt;width:367.7pt;height:70.45pt;mso-wrap-style:square;v-text-anchor:top;mso-position-horizontal:right;mso-position-horizontal-relative:margin;mso-position-vertical-relative:page" wp14:anchorId="16AD9ECE">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1">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120" wp14:anchorId="16AD9ECE">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pt;margin-top:6pt;width:367.7pt;height:70.45pt;mso-wrap-style:square;v-text-anchor:top;mso-position-horizontal:right;mso-position-horizontal-relative:margin;mso-position-vertical-relative:page" wp14:anchorId="16AD9ECE">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5"/>
  </w:num>
  <w:num w:numId="99">
    <w:abstractNumId w:val="5"/>
  </w:num>
  <w:num w:numId="100">
    <w:abstractNumId w:val="5"/>
  </w:num>
  <w:num w:numId="101">
    <w:abstractNumId w:val="5"/>
  </w:num>
  <w:num w:numId="102">
    <w:abstractNumId w:val="5"/>
  </w:num>
  <w:num w:numId="1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4">
    <w:abstractNumId w:val="1"/>
  </w:num>
  <w:num w:numId="105">
    <w:abstractNumId w:val="1"/>
  </w:num>
  <w:num w:numId="106">
    <w:abstractNumId w:val="1"/>
  </w:num>
  <w:num w:numId="107">
    <w:abstractNumId w:val="1"/>
  </w:num>
  <w:num w:numId="108">
    <w:abstractNumId w:val="1"/>
  </w:num>
  <w:num w:numId="109">
    <w:abstractNumId w:val="1"/>
  </w:num>
  <w:num w:numId="110">
    <w:abstractNumId w:val="1"/>
  </w:num>
  <w:num w:numId="111">
    <w:abstractNumId w:val="1"/>
  </w:num>
  <w:num w:numId="112">
    <w:abstractNumId w:val="1"/>
  </w:num>
  <w:num w:numId="113">
    <w:abstractNumId w:val="1"/>
  </w:num>
  <w:num w:numId="114">
    <w:abstractNumId w:val="1"/>
  </w:num>
  <w:num w:numId="115">
    <w:abstractNumId w:val="1"/>
  </w:num>
  <w:num w:numId="116">
    <w:abstractNumId w:val="1"/>
  </w:num>
  <w:num w:numId="117">
    <w:abstractNumId w:val="1"/>
  </w:num>
  <w:num w:numId="118">
    <w:abstractNumId w:val="1"/>
  </w:num>
  <w:num w:numId="119">
    <w:abstractNumId w:val="1"/>
  </w:num>
  <w:num w:numId="120">
    <w:abstractNumId w:val="1"/>
  </w:num>
  <w:num w:numId="121">
    <w:abstractNumId w:val="1"/>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name w:val="Índice (user)"/>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7"/>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normal1" w:customStyle="1">
    <w:name w:val="normal1"/>
    <w:qFormat/>
    <w:rsid w:val="00d56da7"/>
    <w:pPr>
      <w:widowControl/>
      <w:suppressAutoHyphens w:val="true"/>
      <w:bidi w:val="0"/>
      <w:spacing w:before="0" w:after="0"/>
      <w:jc w:val="left"/>
    </w:pPr>
    <w:rPr>
      <w:rFonts w:ascii="Times New Roman" w:hAnsi="Times New Roman" w:eastAsia="NSimSun" w:cs="Lucida Sans"/>
      <w:color w:val="00000A"/>
      <w:kern w:val="0"/>
      <w:sz w:val="20"/>
      <w:szCs w:val="20"/>
      <w:lang w:val="pt-BR" w:eastAsia="zh-CN" w:bidi="hi-IN"/>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elements/1.1/"/>
    <ds:schemaRef ds:uri="60198707-c4ff-4d5d-8bc5-5efdd47f407d"/>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705AE0A-F47C-4B46-A017-5DEC039B4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Application>LibreOffice/25.2.7.2$Windows_X86_64 LibreOffice_project/5cbfd1ab6520636bb5f7b99185aa69bd7456825d</Application>
  <AppVersion>15.0000</AppVersion>
  <Pages>30</Pages>
  <Words>10805</Words>
  <Characters>62742</Characters>
  <CharactersWithSpaces>73022</CharactersWithSpaces>
  <Paragraphs>617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2026-05-22T18:53:00Z</dcterms:created>
  <dc:creator>Thiago Luiz Araujo Santos</dc:creator>
  <dc:description/>
  <dc:language>pt-BR</dc:language>
  <cp:lastModifiedBy/>
  <cp:lastPrinted>2022-08-03T17:48:00Z</cp:lastPrinted>
  <dcterms:modified xsi:type="dcterms:W3CDTF">2026-06-02T10:56:19Z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