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fals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DISPENSA ELETRÔNICA n</w:t>
      </w:r>
      <w:r>
        <w:rPr>
          <w:b/>
          <w:color w:val="auto"/>
          <w:sz w:val="20"/>
          <w:szCs w:val="20"/>
          <w:shd w:fill="auto" w:val="clear"/>
          <w:lang w:val="pt-BR"/>
        </w:rPr>
        <w:t xml:space="preserve">º </w:t>
      </w:r>
      <w:r>
        <w:rPr>
          <w:b/>
          <w:color w:val="000000"/>
          <w:sz w:val="20"/>
          <w:szCs w:val="20"/>
          <w:shd w:fill="auto" w:val="clear"/>
          <w:lang w:val="pt-BR"/>
        </w:rPr>
        <w:t>059</w:t>
      </w:r>
      <w:r>
        <w:rPr>
          <w:b/>
          <w:color w:val="auto"/>
          <w:sz w:val="20"/>
          <w:szCs w:val="20"/>
          <w:shd w:fill="auto" w:val="clear"/>
          <w:lang w:val="pt-BR"/>
        </w:rPr>
        <w:t>/2026</w:t>
      </w:r>
      <w:r>
        <w:rPr>
          <w:b/>
          <w:color w:val="auto"/>
          <w:sz w:val="20"/>
          <w:szCs w:val="20"/>
          <w:shd w:fill="auto" w:val="clear"/>
        </w:rPr>
        <w:t xml:space="preserve"> </w:t>
      </w:r>
    </w:p>
    <w:p>
      <w:pPr>
        <w:pStyle w:val="BodyTextIndent"/>
        <w:widowControl w:val="false"/>
        <w:overflowPunct w:val="false"/>
        <w:spacing w:lineRule="auto" w:line="240"/>
        <w:jc w:val="center"/>
        <w:rPr>
          <w:color w:val="auto"/>
          <w:sz w:val="20"/>
          <w:szCs w:val="20"/>
        </w:rPr>
      </w:pPr>
      <w:r>
        <w:rPr>
          <w:color w:val="auto"/>
          <w:sz w:val="20"/>
          <w:szCs w:val="20"/>
        </w:rPr>
      </w:r>
    </w:p>
    <w:p>
      <w:pPr>
        <w:pStyle w:val="BodyTextIndent"/>
        <w:widowControl w:val="false"/>
        <w:overflowPunct w:val="false"/>
        <w:spacing w:lineRule="auto" w:line="240"/>
        <w:jc w:val="center"/>
        <w:rPr>
          <w:b/>
          <w:bCs/>
          <w:color w:val="auto"/>
          <w:sz w:val="20"/>
          <w:szCs w:val="20"/>
          <w:lang w:val="pt-BR"/>
        </w:rPr>
      </w:pPr>
      <w:r>
        <w:rPr>
          <w:b/>
          <w:bCs/>
          <w:color w:val="auto"/>
          <w:sz w:val="20"/>
          <w:szCs w:val="20"/>
          <w:lang w:val="pt-BR"/>
        </w:rPr>
        <w:t>TERMO DE REFERÊNCIA</w:t>
      </w:r>
    </w:p>
    <w:p>
      <w:pPr>
        <w:pStyle w:val="BodyTextIndent"/>
        <w:widowControl w:val="false"/>
        <w:overflowPunct w:val="false"/>
        <w:spacing w:lineRule="auto" w:line="240"/>
        <w:jc w:val="center"/>
        <w:rPr>
          <w:color w:val="auto"/>
          <w:sz w:val="20"/>
          <w:szCs w:val="20"/>
        </w:rPr>
      </w:pPr>
      <w:r>
        <w:rPr>
          <w:color w:val="auto"/>
          <w:sz w:val="20"/>
          <w:szCs w:val="20"/>
        </w:rPr>
      </w:r>
    </w:p>
    <w:p>
      <w:pPr>
        <w:pStyle w:val="BodyTextIndent"/>
        <w:widowControl w:val="false"/>
        <w:shd w:val="clear" w:color="auto" w:fill="DDDDDD"/>
        <w:overflowPunct w:val="false"/>
        <w:spacing w:lineRule="auto" w:line="240"/>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BodyTextIndent"/>
        <w:widowControl w:val="false"/>
        <w:numPr>
          <w:ilvl w:val="0"/>
          <w:numId w:val="3"/>
        </w:numPr>
        <w:tabs>
          <w:tab w:val="clear" w:pos="709"/>
          <w:tab w:val="left" w:pos="284" w:leader="none"/>
        </w:tabs>
        <w:spacing w:lineRule="auto" w:line="240"/>
        <w:rPr>
          <w:color w:val="auto"/>
          <w:sz w:val="20"/>
          <w:szCs w:val="20"/>
          <w:lang w:val="pt-BR"/>
        </w:rPr>
      </w:pPr>
      <w:r>
        <w:rPr>
          <w:color w:val="auto"/>
          <w:sz w:val="20"/>
          <w:szCs w:val="20"/>
        </w:rPr>
        <w:t>Número do proces</w:t>
      </w:r>
      <w:r>
        <w:rPr>
          <w:color w:val="auto"/>
          <w:sz w:val="20"/>
          <w:szCs w:val="20"/>
          <w:lang w:val="pt-BR"/>
        </w:rPr>
        <w:t>s</w:t>
      </w:r>
      <w:r>
        <w:rPr>
          <w:color w:val="auto"/>
          <w:sz w:val="20"/>
          <w:szCs w:val="20"/>
          <w:shd w:fill="auto" w:val="clear"/>
          <w:lang w:val="pt-BR"/>
        </w:rPr>
        <w:t xml:space="preserve">o: </w:t>
      </w:r>
      <w:r>
        <w:rPr>
          <w:color w:val="000000"/>
          <w:sz w:val="20"/>
          <w:szCs w:val="20"/>
          <w:shd w:fill="auto" w:val="clear"/>
          <w:lang w:val="pt-BR"/>
        </w:rPr>
        <w:t>96.886</w:t>
      </w:r>
      <w:r>
        <w:rPr>
          <w:b/>
          <w:bCs/>
          <w:color w:val="000000"/>
          <w:sz w:val="20"/>
          <w:szCs w:val="20"/>
          <w:shd w:fill="auto" w:val="clear"/>
          <w:lang w:val="pt-BR"/>
        </w:rPr>
        <w:t>/2026</w:t>
      </w:r>
      <w:r>
        <w:rPr>
          <w:b/>
          <w:color w:val="000000"/>
          <w:sz w:val="20"/>
          <w:szCs w:val="20"/>
          <w:shd w:fill="auto" w:val="clear"/>
          <w:lang w:val="pt-BR"/>
        </w:rPr>
        <w:t xml:space="preserve"> </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auto"/>
          <w:sz w:val="20"/>
          <w:szCs w:val="20"/>
          <w:shd w:fill="auto" w:val="clear"/>
        </w:rPr>
        <w:t xml:space="preserve">Data </w:t>
      </w:r>
      <w:r>
        <w:rPr>
          <w:color w:val="auto"/>
          <w:sz w:val="20"/>
          <w:szCs w:val="20"/>
          <w:shd w:fill="auto" w:val="clear"/>
          <w:lang w:val="pt-BR"/>
        </w:rPr>
        <w:t xml:space="preserve">limite </w:t>
      </w:r>
      <w:r>
        <w:rPr>
          <w:color w:val="auto"/>
          <w:sz w:val="20"/>
          <w:szCs w:val="20"/>
          <w:shd w:fill="auto" w:val="clear"/>
        </w:rPr>
        <w:t xml:space="preserve">de </w:t>
      </w:r>
      <w:r>
        <w:rPr>
          <w:color w:val="auto"/>
          <w:sz w:val="20"/>
          <w:szCs w:val="20"/>
          <w:shd w:fill="auto" w:val="clear"/>
          <w:lang w:val="pt-BR"/>
        </w:rPr>
        <w:t>recebimento de propostas</w:t>
      </w:r>
      <w:r>
        <w:rPr>
          <w:color w:val="auto"/>
          <w:sz w:val="20"/>
          <w:szCs w:val="20"/>
          <w:shd w:fill="auto" w:val="clear"/>
        </w:rPr>
        <w:t>:</w:t>
      </w:r>
      <w:r>
        <w:rPr>
          <w:color w:val="auto"/>
          <w:sz w:val="20"/>
          <w:szCs w:val="20"/>
          <w:shd w:fill="auto" w:val="clear"/>
          <w:lang w:val="pt-BR"/>
        </w:rPr>
        <w:t xml:space="preserve"> 16/06</w:t>
      </w:r>
      <w:r>
        <w:rPr>
          <w:color w:val="000000"/>
          <w:sz w:val="20"/>
          <w:szCs w:val="20"/>
          <w:shd w:fill="auto" w:val="clear"/>
          <w:lang w:val="pt-BR"/>
        </w:rPr>
        <w:t>/2026 - 08h</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auto"/>
          <w:sz w:val="20"/>
          <w:szCs w:val="20"/>
          <w:shd w:fill="auto" w:val="clear"/>
        </w:rPr>
        <w:t>Data de início de lances:</w:t>
      </w:r>
      <w:r>
        <w:rPr>
          <w:color w:val="auto"/>
          <w:sz w:val="20"/>
          <w:szCs w:val="20"/>
          <w:shd w:fill="auto" w:val="clear"/>
          <w:lang w:val="pt-BR"/>
        </w:rPr>
        <w:t xml:space="preserve"> 16/06</w:t>
      </w:r>
      <w:r>
        <w:rPr>
          <w:color w:val="000000"/>
          <w:sz w:val="20"/>
          <w:szCs w:val="20"/>
          <w:shd w:fill="auto" w:val="clear"/>
          <w:lang w:val="pt-BR"/>
        </w:rPr>
        <w:t>/2026 - 09h</w:t>
      </w:r>
    </w:p>
    <w:p>
      <w:pPr>
        <w:pStyle w:val="BodyTextIndent"/>
        <w:widowControl w:val="false"/>
        <w:numPr>
          <w:ilvl w:val="0"/>
          <w:numId w:val="3"/>
        </w:numPr>
        <w:tabs>
          <w:tab w:val="clear" w:pos="709"/>
          <w:tab w:val="left" w:pos="284" w:leader="none"/>
        </w:tabs>
        <w:spacing w:lineRule="auto" w:line="240"/>
        <w:textAlignment w:val="auto"/>
        <w:rPr>
          <w:highlight w:val="none"/>
          <w:shd w:fill="auto" w:val="clear"/>
        </w:rPr>
      </w:pPr>
      <w:r>
        <w:rPr>
          <w:color w:val="auto"/>
          <w:sz w:val="20"/>
          <w:szCs w:val="20"/>
          <w:shd w:fill="auto" w:val="clear"/>
          <w:lang w:val="pt-BR"/>
        </w:rPr>
        <w:t xml:space="preserve">Duração da etapa de lances: </w:t>
      </w:r>
      <w:r>
        <w:rPr>
          <w:b/>
          <w:color w:val="auto"/>
          <w:sz w:val="20"/>
          <w:szCs w:val="20"/>
          <w:shd w:fill="auto" w:val="clear"/>
          <w:lang w:val="pt-BR"/>
        </w:rPr>
        <w:t>06 (seis) horas</w:t>
      </w:r>
      <w:r>
        <w:rPr>
          <w:color w:val="auto"/>
          <w:sz w:val="20"/>
          <w:szCs w:val="20"/>
          <w:shd w:fill="auto" w:val="clear"/>
          <w:lang w:val="pt-BR"/>
        </w:rPr>
        <w:t>.</w:t>
      </w:r>
    </w:p>
    <w:p>
      <w:pPr>
        <w:pStyle w:val="BodyTextIndent"/>
        <w:widowControl w:val="false"/>
        <w:numPr>
          <w:ilvl w:val="0"/>
          <w:numId w:val="3"/>
        </w:numPr>
        <w:tabs>
          <w:tab w:val="clear" w:pos="709"/>
          <w:tab w:val="left" w:pos="284" w:leader="none"/>
        </w:tabs>
        <w:spacing w:lineRule="auto" w:line="240"/>
        <w:rPr/>
      </w:pPr>
      <w:r>
        <w:rPr>
          <w:b/>
          <w:color w:val="auto"/>
          <w:sz w:val="20"/>
          <w:szCs w:val="20"/>
          <w:shd w:fill="auto" w:val="clear"/>
          <w:lang w:val="pt-BR"/>
        </w:rPr>
        <w:t xml:space="preserve">Endereço eletrônico: </w:t>
      </w:r>
      <w:hyperlink r:id="rId2">
        <w:r>
          <w:rPr>
            <w:rStyle w:val="Style"/>
            <w:b/>
            <w:color w:val="0000FF"/>
            <w:sz w:val="20"/>
            <w:szCs w:val="20"/>
            <w:u w:val="single"/>
            <w:shd w:fill="auto" w:val="clear"/>
            <w:lang w:val="pt-BR"/>
          </w:rPr>
          <w:t>https://bnccompras.com</w:t>
        </w:r>
      </w:hyperlink>
      <w:r>
        <w:rPr>
          <w:b/>
          <w:color w:val="auto"/>
          <w:sz w:val="20"/>
          <w:szCs w:val="20"/>
          <w:shd w:fill="auto" w:val="clear"/>
          <w:lang w:val="pt-BR"/>
        </w:rPr>
        <w:t>.</w:t>
      </w:r>
    </w:p>
    <w:p>
      <w:pPr>
        <w:pStyle w:val="BodyTextIndent"/>
        <w:widowControl w:val="false"/>
        <w:tabs>
          <w:tab w:val="clear" w:pos="709"/>
          <w:tab w:val="left" w:pos="284" w:leader="none"/>
        </w:tabs>
        <w:overflowPunct w:val="false"/>
        <w:spacing w:lineRule="auto" w:line="240"/>
        <w:rPr>
          <w:b/>
          <w:bCs/>
          <w:color w:val="auto"/>
          <w:sz w:val="20"/>
          <w:szCs w:val="20"/>
          <w:highlight w:val="none"/>
          <w:shd w:fill="auto" w:val="clear"/>
        </w:rPr>
      </w:pPr>
      <w:r>
        <w:rPr>
          <w:b/>
          <w:bCs/>
          <w:color w:val="auto"/>
          <w:sz w:val="20"/>
          <w:szCs w:val="20"/>
          <w:shd w:fill="auto" w:val="clear"/>
        </w:rPr>
      </w:r>
    </w:p>
    <w:p>
      <w:pPr>
        <w:pStyle w:val="Normal"/>
        <w:shd w:val="clear" w:color="auto" w:fill="DDDDDD"/>
        <w:ind w:firstLine="567"/>
        <w:jc w:val="both"/>
        <w:rPr>
          <w:highlight w:val="none"/>
          <w:shd w:fill="auto" w:val="clear"/>
        </w:rPr>
      </w:pPr>
      <w:r>
        <w:rPr>
          <w:rFonts w:cs="Arial" w:ascii="Arial" w:hAnsi="Arial"/>
          <w:b/>
          <w:bCs/>
          <w:shd w:fill="auto" w:val="clear"/>
        </w:rPr>
        <w:t>2. DO OBJETO:</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Objeto: </w:t>
      </w:r>
      <w:r>
        <w:rPr>
          <w:rFonts w:cs="Arial" w:ascii="Arial" w:hAnsi="Arial"/>
          <w:b/>
          <w:shd w:fill="auto" w:val="clear"/>
        </w:rPr>
        <w:t>Aquisição d</w:t>
      </w:r>
      <w:r>
        <w:rPr>
          <w:rFonts w:cs="Arial" w:ascii="Arial" w:hAnsi="Arial"/>
          <w:b/>
          <w:bCs/>
          <w:shd w:fill="auto" w:val="clear"/>
        </w:rPr>
        <w:t>e Forno de Micro-ondas.</w:t>
      </w:r>
    </w:p>
    <w:p>
      <w:pPr>
        <w:pStyle w:val="Normal"/>
        <w:numPr>
          <w:ilvl w:val="0"/>
          <w:numId w:val="4"/>
        </w:numPr>
        <w:tabs>
          <w:tab w:val="clear" w:pos="709"/>
          <w:tab w:val="left" w:pos="284" w:leader="none"/>
        </w:tabs>
        <w:jc w:val="both"/>
        <w:rPr>
          <w:rFonts w:ascii="Arial" w:hAnsi="Arial" w:cs="Arial"/>
          <w:highlight w:val="none"/>
          <w:shd w:fill="auto" w:val="clear"/>
        </w:rPr>
      </w:pPr>
      <w:r>
        <w:rPr>
          <w:rFonts w:cs="Arial" w:ascii="Arial" w:hAnsi="Arial"/>
          <w:shd w:fill="auto" w:val="clear"/>
        </w:rPr>
        <w:t>Unidade Requisitante: Secretaria Municipal de Agricultura, Abastecimento e Meio Ambiente.</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Fonte de recursos: 0101011000.</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Valor estimado da contratação: </w:t>
      </w:r>
      <w:r>
        <w:rPr>
          <w:rFonts w:cs="Arial" w:ascii="Arial" w:hAnsi="Arial"/>
          <w:b/>
          <w:bCs/>
          <w:shd w:fill="auto" w:val="clear"/>
        </w:rPr>
        <w:t>R$ 2.338,89 (Dois mil e trezentos e trinta e oito reais e oitenta e nove</w:t>
      </w:r>
    </w:p>
    <w:p>
      <w:pPr>
        <w:pStyle w:val="Normal"/>
        <w:numPr>
          <w:ilvl w:val="0"/>
          <w:numId w:val="4"/>
        </w:numPr>
        <w:tabs>
          <w:tab w:val="clear" w:pos="709"/>
          <w:tab w:val="left" w:pos="284" w:leader="none"/>
        </w:tabs>
        <w:jc w:val="both"/>
        <w:rPr>
          <w:rFonts w:ascii="Arial" w:hAnsi="Arial" w:cs="Arial"/>
          <w:b/>
          <w:bCs/>
          <w:highlight w:val="none"/>
          <w:shd w:fill="auto" w:val="clear"/>
        </w:rPr>
      </w:pPr>
      <w:r>
        <w:rPr>
          <w:rFonts w:cs="Arial" w:ascii="Arial" w:hAnsi="Arial"/>
          <w:b/>
          <w:bCs/>
          <w:shd w:fill="auto" w:val="clear"/>
        </w:rPr>
        <w:t>centavos).</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Prazo de contratação: até a entrega definitiva.</w:t>
      </w:r>
    </w:p>
    <w:p>
      <w:pPr>
        <w:pStyle w:val="Normal"/>
        <w:numPr>
          <w:ilvl w:val="0"/>
          <w:numId w:val="4"/>
        </w:numPr>
        <w:tabs>
          <w:tab w:val="clear" w:pos="709"/>
          <w:tab w:val="left" w:pos="284" w:leader="none"/>
        </w:tabs>
        <w:jc w:val="both"/>
        <w:rPr>
          <w:rFonts w:ascii="Arial" w:hAnsi="Arial" w:cs="Arial"/>
        </w:rPr>
      </w:pPr>
      <w:r>
        <w:rPr>
          <w:rFonts w:cs="Arial" w:ascii="Arial" w:hAnsi="Arial"/>
          <w:shd w:fill="auto" w:val="clear"/>
        </w:rPr>
        <w:t>Amparo Legal: Art. 75, Inciso II</w:t>
      </w:r>
      <w:r>
        <w:rPr>
          <w:rFonts w:cs="Arial" w:ascii="Arial" w:hAnsi="Arial"/>
        </w:rPr>
        <w:t xml:space="preserve">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15"/>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3"/>
        </w:numPr>
        <w:tabs>
          <w:tab w:val="clear" w:pos="709"/>
          <w:tab w:val="left" w:pos="284" w:leader="none"/>
        </w:tabs>
        <w:jc w:val="both"/>
        <w:rPr>
          <w:rFonts w:ascii="Arial" w:hAnsi="Arial" w:cs="Arial"/>
          <w:b/>
          <w:u w:val="single"/>
        </w:rPr>
      </w:pPr>
      <w:r>
        <w:rPr>
          <w:rFonts w:cs="Arial" w:ascii="Arial" w:hAnsi="Arial"/>
        </w:rPr>
        <w:t>Prazo de Pagamento: 15 (quinze) dias úteis, contados da data do recebimento da nota fiscal, em atendimento ao Decreto Municipal Nº</w:t>
      </w:r>
      <w:r>
        <w:rPr>
          <w:rFonts w:cs="Arial" w:ascii="Arial" w:hAnsi="Arial"/>
          <w:shd w:fill="auto" w:val="clear"/>
        </w:rPr>
        <w:t xml:space="preserve"> 17.640/18.</w:t>
      </w:r>
    </w:p>
    <w:p>
      <w:pPr>
        <w:pStyle w:val="ListParagraph"/>
        <w:numPr>
          <w:ilvl w:val="0"/>
          <w:numId w:val="3"/>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 xml:space="preserve">Deverá ser especificado na proposta o </w:t>
      </w:r>
      <w:r>
        <w:rPr>
          <w:rFonts w:cs="Arial" w:ascii="Arial" w:hAnsi="Arial"/>
          <w:b/>
          <w:sz w:val="20"/>
          <w:szCs w:val="20"/>
          <w:shd w:fill="auto" w:val="clear"/>
        </w:rPr>
        <w:t xml:space="preserve">preço unitário e total </w:t>
      </w:r>
      <w:r>
        <w:rPr>
          <w:rFonts w:cs="Arial" w:ascii="Arial" w:hAnsi="Arial"/>
          <w:sz w:val="20"/>
          <w:szCs w:val="20"/>
          <w:shd w:fill="auto" w:val="clear"/>
        </w:rPr>
        <w:t xml:space="preserve">e </w:t>
      </w:r>
      <w:r>
        <w:rPr>
          <w:rFonts w:cs="Arial" w:ascii="Arial" w:hAnsi="Arial"/>
          <w:b/>
          <w:sz w:val="20"/>
          <w:szCs w:val="20"/>
          <w:shd w:fill="auto" w:val="clear"/>
        </w:rPr>
        <w:t xml:space="preserve">a marca </w:t>
      </w:r>
      <w:r>
        <w:rPr>
          <w:rFonts w:cs="Arial" w:ascii="Arial" w:hAnsi="Arial"/>
          <w:sz w:val="20"/>
          <w:szCs w:val="20"/>
          <w:shd w:fill="auto" w:val="clear"/>
        </w:rPr>
        <w:t>dos produtos ofertados.</w:t>
      </w:r>
    </w:p>
    <w:p>
      <w:pPr>
        <w:pStyle w:val="ListParagraph"/>
        <w:numPr>
          <w:ilvl w:val="0"/>
          <w:numId w:val="3"/>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Critério de Julgamento: Menor valor por item.</w:t>
      </w:r>
    </w:p>
    <w:p>
      <w:pPr>
        <w:pStyle w:val="Normal"/>
        <w:numPr>
          <w:ilvl w:val="0"/>
          <w:numId w:val="3"/>
        </w:numPr>
        <w:tabs>
          <w:tab w:val="clear" w:pos="709"/>
          <w:tab w:val="left" w:pos="284" w:leader="none"/>
        </w:tabs>
        <w:jc w:val="both"/>
        <w:rPr>
          <w:highlight w:val="none"/>
          <w:shd w:fill="auto" w:val="clear"/>
        </w:rPr>
      </w:pPr>
      <w:r>
        <w:rPr>
          <w:rFonts w:cs="Arial" w:ascii="Arial" w:hAnsi="Arial"/>
          <w:shd w:fill="auto" w:val="clear"/>
        </w:rPr>
        <w:t>Especificações e quantidades:</w:t>
      </w:r>
    </w:p>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70"/>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highlight w:val="none"/>
                <w:shd w:fill="auto" w:val="clear"/>
              </w:rPr>
            </w:pPr>
            <w:r>
              <w:rPr>
                <w:rFonts w:cs="Arial" w:ascii="Arial" w:hAnsi="Arial"/>
                <w:b/>
                <w:bCs/>
                <w:shd w:fill="auto" w:val="clear"/>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04</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Unid.</w:t>
            </w:r>
          </w:p>
        </w:tc>
        <w:tc>
          <w:tcPr>
            <w:tcW w:w="73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59" w:before="13" w:after="0"/>
              <w:ind w:hanging="0" w:left="81" w:right="45"/>
              <w:jc w:val="both"/>
              <w:rPr>
                <w:rFonts w:ascii="Arial" w:hAnsi="Arial" w:eastAsia="Times New Roman" w:cs="Arial"/>
                <w:b w:val="false"/>
                <w:bCs w:val="false"/>
                <w:kern w:val="2"/>
                <w:sz w:val="20"/>
                <w:szCs w:val="20"/>
                <w:highlight w:val="none"/>
                <w:shd w:fill="auto" w:val="clear"/>
                <w:lang w:val="pt-BR" w:eastAsia="zh-CN"/>
              </w:rPr>
            </w:pPr>
            <w:r>
              <w:rPr>
                <w:rFonts w:eastAsia="Times New Roman" w:cs="Arial" w:ascii="Arial" w:hAnsi="Arial"/>
                <w:b w:val="false"/>
                <w:bCs w:val="false"/>
                <w:kern w:val="2"/>
                <w:sz w:val="20"/>
                <w:szCs w:val="20"/>
                <w:shd w:fill="auto" w:val="clear"/>
                <w:lang w:val="pt-BR" w:eastAsia="zh-CN"/>
              </w:rPr>
              <w:t>Micro-ondas 20 litros, 127 V, potência 1.300 W ou superior, frequência 60 Hz – Cor: Branco/Cinza.</w:t>
            </w:r>
          </w:p>
        </w:tc>
      </w:tr>
    </w:tbl>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p>
      <w:pPr>
        <w:pStyle w:val="Normal"/>
        <w:numPr>
          <w:ilvl w:val="0"/>
          <w:numId w:val="3"/>
        </w:numPr>
        <w:tabs>
          <w:tab w:val="clear" w:pos="709"/>
          <w:tab w:val="left" w:pos="284" w:leader="none"/>
        </w:tabs>
        <w:ind w:hanging="0" w:left="0"/>
        <w:jc w:val="both"/>
        <w:rPr>
          <w:highlight w:val="none"/>
          <w:shd w:fill="auto" w:val="clear"/>
        </w:rPr>
      </w:pPr>
      <w:r>
        <w:rPr>
          <w:rFonts w:cs="Arial" w:ascii="Arial" w:hAnsi="Arial"/>
          <w:color w:val="000000"/>
          <w:shd w:fill="auto" w:val="clear"/>
        </w:rPr>
        <w:t>Descritivo técni</w:t>
      </w:r>
      <w:r>
        <w:rPr>
          <w:rFonts w:cs="Arial" w:ascii="Arial" w:hAnsi="Arial"/>
          <w:b w:val="false"/>
          <w:bCs w:val="false"/>
          <w:color w:val="000000"/>
          <w:shd w:fill="auto" w:val="clear"/>
        </w:rPr>
        <w:t xml:space="preserve">co: </w:t>
      </w:r>
      <w:r>
        <w:rPr>
          <w:rFonts w:eastAsia="Arial" w:cs="Arial" w:ascii="Arial" w:hAnsi="Arial"/>
          <w:b w:val="false"/>
          <w:bCs w:val="false"/>
          <w:color w:val="000000"/>
          <w:shd w:fill="auto" w:val="clear"/>
        </w:rPr>
        <w:t>Item 1: Forno de Micro-ondas, com as seguintes especificações técnicas mínimas:</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Volume Total (litros): 20 L;</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Potência: 1.000 W ou superior;</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Frequência: 60 Hz;</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Tensão (V): 127 V (Mínima: 116 V – Máxima: 133 V);</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Tipo de instalação: Bancada;</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Cor: Branco ou Cinza;</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Tecla Início/ +30 segundos;</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Tecla Cancela/Pausa;</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Tecla Potência: Indica a potência e quantidade do alimento para cozimento;</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Trava de segurança: Tecla que permite travar o acionamento do aparelho;</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Selo de Classificação energética: A;</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Registro INMETRO;</w:t>
      </w:r>
    </w:p>
    <w:p>
      <w:pPr>
        <w:pStyle w:val="Normal"/>
        <w:numPr>
          <w:ilvl w:val="0"/>
          <w:numId w:val="0"/>
        </w:numPr>
        <w:tabs>
          <w:tab w:val="clear" w:pos="709"/>
          <w:tab w:val="left" w:pos="284" w:leader="none"/>
        </w:tabs>
        <w:ind w:hanging="0" w:left="0"/>
        <w:jc w:val="both"/>
        <w:rPr>
          <w:rFonts w:ascii="Arial" w:hAnsi="Arial" w:eastAsia="Arial" w:cs="Arial"/>
          <w:b w:val="false"/>
          <w:bCs w:val="false"/>
          <w:color w:val="000000"/>
          <w:highlight w:val="none"/>
          <w:shd w:fill="auto" w:val="clear"/>
        </w:rPr>
      </w:pPr>
      <w:r>
        <w:rPr>
          <w:rFonts w:eastAsia="Arial" w:cs="Arial" w:ascii="Arial" w:hAnsi="Arial"/>
          <w:b w:val="false"/>
          <w:bCs w:val="false"/>
          <w:color w:val="000000"/>
          <w:shd w:fill="auto" w:val="clear"/>
        </w:rPr>
        <w:t>Garantia mínima: 12 meses;</w:t>
      </w:r>
    </w:p>
    <w:p>
      <w:pPr>
        <w:pStyle w:val="Normal"/>
        <w:numPr>
          <w:ilvl w:val="0"/>
          <w:numId w:val="0"/>
        </w:numPr>
        <w:tabs>
          <w:tab w:val="clear" w:pos="709"/>
          <w:tab w:val="left" w:pos="284" w:leader="none"/>
        </w:tabs>
        <w:ind w:hanging="0" w:left="0"/>
        <w:jc w:val="both"/>
        <w:rPr>
          <w:b w:val="false"/>
          <w:bCs w:val="false"/>
          <w:highlight w:val="none"/>
          <w:shd w:fill="auto" w:val="clear"/>
        </w:rPr>
      </w:pPr>
      <w:r>
        <w:rPr>
          <w:rFonts w:eastAsia="Arial" w:cs="Arial" w:ascii="Arial" w:hAnsi="Arial"/>
          <w:b w:val="false"/>
          <w:bCs w:val="false"/>
          <w:color w:val="000000"/>
          <w:shd w:fill="auto" w:val="clear"/>
        </w:rPr>
        <w:t>Certificado de Garantia.</w:t>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shd w:val="clear" w:color="auto" w:fill="CCCCCC"/>
        <w:tabs>
          <w:tab w:val="clear" w:pos="709"/>
          <w:tab w:val="left" w:pos="3450" w:leader="none"/>
        </w:tabs>
        <w:ind w:firstLine="567"/>
        <w:jc w:val="both"/>
        <w:rPr>
          <w:rFonts w:ascii="Arial" w:hAnsi="Arial" w:cs="Arial"/>
          <w:b/>
          <w:bCs/>
        </w:rPr>
      </w:pPr>
      <w:r>
        <w:rPr>
          <w:rFonts w:cs="Arial" w:ascii="Arial" w:hAnsi="Arial"/>
          <w:b/>
          <w:bCs/>
        </w:rPr>
        <w:t>4. DA EMBALAGEM:</w:t>
      </w:r>
    </w:p>
    <w:p>
      <w:pPr>
        <w:pStyle w:val="ListParagraph"/>
        <w:numPr>
          <w:ilvl w:val="0"/>
          <w:numId w:val="5"/>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sz w:val="20"/>
          <w:szCs w:val="20"/>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rPr>
      </w:pPr>
      <w:r>
        <w:rPr>
          <w:rFonts w:eastAsia="Arial" w:cs="Arial" w:ascii="Arial" w:hAnsi="Arial"/>
        </w:rPr>
      </w:r>
    </w:p>
    <w:p>
      <w:pPr>
        <w:pStyle w:val="Normal"/>
        <w:shd w:val="clear" w:color="auto" w:fill="CCCCCC"/>
        <w:ind w:firstLine="567"/>
        <w:jc w:val="both"/>
        <w:rPr>
          <w:highlight w:val="none"/>
          <w:shd w:fill="auto" w:val="clear"/>
        </w:rPr>
      </w:pPr>
      <w:r>
        <w:rPr>
          <w:rFonts w:eastAsia="Arial" w:cs="Arial" w:ascii="Arial" w:hAnsi="Arial"/>
          <w:b/>
          <w:bCs w:val="false"/>
          <w:i w:val="false"/>
          <w:caps w:val="false"/>
          <w:smallCaps w:val="false"/>
          <w:color w:val="000000"/>
          <w:spacing w:val="0"/>
          <w:shd w:fill="auto" w:val="clear"/>
        </w:rPr>
        <w:t>5</w:t>
      </w:r>
      <w:r>
        <w:rPr>
          <w:rFonts w:cs="Arial" w:ascii="Arial" w:hAnsi="Arial"/>
          <w:b/>
          <w:bCs/>
          <w:color w:val="000000"/>
          <w:shd w:fill="auto" w:val="clear"/>
        </w:rPr>
        <w:t>.</w:t>
      </w:r>
      <w:r>
        <w:rPr>
          <w:rFonts w:cs="Arial" w:ascii="Arial" w:hAnsi="Arial"/>
          <w:b/>
          <w:bCs/>
          <w:shd w:fill="auto" w:val="clear"/>
        </w:rPr>
        <w:t xml:space="preserve"> DA ENTREGA:</w:t>
      </w:r>
    </w:p>
    <w:p>
      <w:pPr>
        <w:pStyle w:val="Normal"/>
        <w:numPr>
          <w:ilvl w:val="0"/>
          <w:numId w:val="16"/>
        </w:numPr>
        <w:tabs>
          <w:tab w:val="clear" w:pos="709"/>
          <w:tab w:val="left" w:pos="284" w:leader="none"/>
        </w:tabs>
        <w:jc w:val="both"/>
        <w:rPr>
          <w:rFonts w:ascii="Arial" w:hAnsi="Arial" w:cs="Arial"/>
          <w:highlight w:val="none"/>
          <w:shd w:fill="auto" w:val="clear"/>
          <w:lang w:eastAsia="pt-BR"/>
        </w:rPr>
      </w:pPr>
      <w:r>
        <w:rPr>
          <w:rFonts w:cs="Arial" w:ascii="Arial" w:hAnsi="Arial"/>
          <w:shd w:fill="auto" w:val="clear"/>
          <w:lang w:eastAsia="pt-BR"/>
        </w:rPr>
        <w:t>Prazo de entrega: Até o máximo de 30 (trinta) dias, a contar da Ordem de Fornecimento, emitida pela</w:t>
      </w:r>
    </w:p>
    <w:p>
      <w:pPr>
        <w:pStyle w:val="Normal"/>
        <w:numPr>
          <w:ilvl w:val="0"/>
          <w:numId w:val="10"/>
        </w:numPr>
        <w:tabs>
          <w:tab w:val="clear" w:pos="709"/>
          <w:tab w:val="left" w:pos="284" w:leader="none"/>
        </w:tabs>
        <w:jc w:val="both"/>
        <w:rPr>
          <w:rFonts w:ascii="Arial" w:hAnsi="Arial" w:cs="Arial"/>
          <w:highlight w:val="none"/>
          <w:shd w:fill="auto" w:val="clear"/>
          <w:lang w:eastAsia="pt-BR"/>
        </w:rPr>
      </w:pPr>
      <w:r>
        <w:rPr>
          <w:rFonts w:cs="Arial" w:ascii="Arial" w:hAnsi="Arial"/>
          <w:shd w:fill="auto" w:val="clear"/>
          <w:lang w:eastAsia="pt-BR"/>
        </w:rPr>
        <w:t>Unidade Requisitante.</w:t>
      </w:r>
    </w:p>
    <w:p>
      <w:pPr>
        <w:pStyle w:val="Normal"/>
        <w:numPr>
          <w:ilvl w:val="0"/>
          <w:numId w:val="10"/>
        </w:numPr>
        <w:tabs>
          <w:tab w:val="clear" w:pos="709"/>
          <w:tab w:val="left" w:pos="284" w:leader="none"/>
        </w:tabs>
        <w:jc w:val="both"/>
        <w:rPr>
          <w:highlight w:val="none"/>
          <w:shd w:fill="auto" w:val="clear"/>
        </w:rPr>
      </w:pPr>
      <w:r>
        <w:rPr>
          <w:rFonts w:cs="Arial" w:ascii="Arial" w:hAnsi="Arial"/>
          <w:shd w:fill="auto" w:val="clear"/>
          <w:lang w:eastAsia="pt-BR"/>
        </w:rPr>
        <w:t>Local de entrega: Secretaria-Executiva de Meio Ambiente</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t>Rua Antônio Correa Barbosa, 2233 – 7º Andar – Bairro: Chácara Nazareth – CEP: 13.400-900 – Piracicaba – SP</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t>Horário de entrega: de 09h às 16h horas, de segunda a sexta-feira.</w:t>
      </w:r>
    </w:p>
    <w:p>
      <w:pPr>
        <w:pStyle w:val="Normal"/>
        <w:numPr>
          <w:ilvl w:val="0"/>
          <w:numId w:val="10"/>
        </w:numPr>
        <w:tabs>
          <w:tab w:val="clear" w:pos="709"/>
          <w:tab w:val="left" w:pos="284" w:leader="none"/>
        </w:tabs>
        <w:jc w:val="both"/>
        <w:rPr>
          <w:rFonts w:ascii="Arial" w:hAnsi="Arial" w:cs="Arial"/>
        </w:rPr>
      </w:pPr>
      <w:r>
        <w:rPr>
          <w:rFonts w:cs="Arial" w:ascii="Arial" w:hAnsi="Arial"/>
        </w:rPr>
        <w:t>A Contratada será responsável pelo transporte e descarregamento do produto, devendo entregá-los em condições adequadas para o armazenamento.</w:t>
      </w:r>
    </w:p>
    <w:p>
      <w:pPr>
        <w:pStyle w:val="Normal"/>
        <w:numPr>
          <w:ilvl w:val="0"/>
          <w:numId w:val="10"/>
        </w:numPr>
        <w:tabs>
          <w:tab w:val="clear" w:pos="709"/>
          <w:tab w:val="left" w:pos="284" w:leader="none"/>
        </w:tabs>
        <w:jc w:val="both"/>
        <w:rPr>
          <w:rFonts w:ascii="Arial" w:hAnsi="Arial" w:cs="Arial"/>
          <w:lang w:eastAsia="pt-BR"/>
        </w:rPr>
      </w:pPr>
      <w:r>
        <w:rPr>
          <w:rFonts w:cs="Arial" w:ascii="Arial" w:hAnsi="Arial"/>
        </w:rPr>
        <w:t>Se for constatada qualquer alteração na qualidade ou composição durante a validade dos produtos, a contratada se compromete a trocá-los sem ônus para a contratante, no prazo máximo de 10 (dez) dias, a contar da notificação.</w:t>
      </w:r>
    </w:p>
    <w:p>
      <w:pPr>
        <w:pStyle w:val="Normal"/>
        <w:numPr>
          <w:ilvl w:val="0"/>
          <w:numId w:val="0"/>
        </w:numPr>
        <w:tabs>
          <w:tab w:val="clear" w:pos="709"/>
          <w:tab w:val="left" w:pos="284" w:leader="none"/>
        </w:tabs>
        <w:ind w:hanging="0" w:left="0"/>
        <w:jc w:val="both"/>
        <w:rPr>
          <w:rFonts w:ascii="Arial" w:hAnsi="Arial" w:cs="Arial"/>
          <w:lang w:eastAsia="pt-BR"/>
        </w:rPr>
      </w:pPr>
      <w:r>
        <w:rPr>
          <w:rFonts w:cs="Arial" w:ascii="Arial" w:hAnsi="Arial"/>
          <w:lang w:eastAsia="pt-BR"/>
        </w:rPr>
      </w:r>
    </w:p>
    <w:p>
      <w:pPr>
        <w:pStyle w:val="Normal"/>
        <w:shd w:val="clear" w:color="auto" w:fill="CCCCCC"/>
        <w:ind w:firstLine="567"/>
        <w:jc w:val="both"/>
        <w:rPr>
          <w:rFonts w:ascii="Arial" w:hAnsi="Arial" w:cs="Arial"/>
        </w:rPr>
      </w:pPr>
      <w:r>
        <w:rPr>
          <w:rFonts w:cs="Arial" w:ascii="Arial" w:hAnsi="Arial"/>
          <w:b/>
          <w:bCs/>
        </w:rPr>
        <w:t>6. DA GARANTIA E ASSISTÊNCIA TÉCNICA:</w:t>
      </w:r>
    </w:p>
    <w:p>
      <w:pPr>
        <w:pStyle w:val="Normal"/>
        <w:numPr>
          <w:ilvl w:val="0"/>
          <w:numId w:val="17"/>
        </w:numPr>
        <w:tabs>
          <w:tab w:val="clear" w:pos="709"/>
          <w:tab w:val="left" w:pos="284" w:leader="none"/>
        </w:tabs>
        <w:jc w:val="both"/>
        <w:rPr>
          <w:rFonts w:ascii="Arial" w:hAnsi="Arial" w:cs="Arial"/>
        </w:rPr>
      </w:pPr>
      <w:r>
        <w:rPr>
          <w:rFonts w:cs="Arial" w:ascii="Arial" w:hAnsi="Arial"/>
          <w:lang w:eastAsia="pt-BR"/>
        </w:rPr>
        <w:t>A garantia deverá ser de no mínimo 12 (doze) meses, contados da data de recebimento.</w:t>
      </w:r>
    </w:p>
    <w:p>
      <w:pPr>
        <w:pStyle w:val="Normal"/>
        <w:numPr>
          <w:ilvl w:val="0"/>
          <w:numId w:val="10"/>
        </w:numPr>
        <w:tabs>
          <w:tab w:val="clear" w:pos="709"/>
          <w:tab w:val="left" w:pos="284" w:leader="none"/>
        </w:tabs>
        <w:jc w:val="both"/>
        <w:rPr>
          <w:rFonts w:ascii="Arial" w:hAnsi="Arial" w:cs="Arial"/>
        </w:rPr>
      </w:pPr>
      <w:r>
        <w:rPr>
          <w:rFonts w:cs="Arial" w:ascii="Arial" w:hAnsi="Arial"/>
          <w:sz w:val="20"/>
          <w:szCs w:val="20"/>
          <w:lang w:eastAsia="pt-BR"/>
        </w:rPr>
        <w:t>Durante a vigência da garantia, a contratada deverá substituir, sem nenhum ônus adicional, produtos defeituosos ou com desgaste anormal, no prazo máximo de 10 (dez) dias, a contar da notificação.</w:t>
      </w:r>
    </w:p>
    <w:p>
      <w:pPr>
        <w:pStyle w:val="Normal"/>
        <w:numPr>
          <w:ilvl w:val="0"/>
          <w:numId w:val="10"/>
        </w:numPr>
        <w:tabs>
          <w:tab w:val="clear" w:pos="709"/>
          <w:tab w:val="left" w:pos="284" w:leader="none"/>
        </w:tabs>
        <w:jc w:val="both"/>
        <w:rPr>
          <w:rFonts w:ascii="Arial" w:hAnsi="Arial" w:cs="Arial"/>
        </w:rPr>
      </w:pPr>
      <w:r>
        <w:rPr>
          <w:rFonts w:cs="Arial" w:ascii="Arial" w:hAnsi="Arial"/>
          <w:sz w:val="20"/>
          <w:szCs w:val="20"/>
          <w:lang w:eastAsia="pt-BR"/>
        </w:rPr>
        <w:t>Indicar nome e endereço da assistência técnica</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sz w:val="20"/>
          <w:szCs w:val="20"/>
          <w:lang w:eastAsia="pt-BR"/>
        </w:rPr>
        <w:t>1.</w:t>
      </w:r>
      <w:r>
        <w:rPr>
          <w:rFonts w:cs="Arial" w:ascii="Arial" w:hAnsi="Arial"/>
          <w:sz w:val="20"/>
          <w:szCs w:val="20"/>
          <w:lang w:eastAsia="pt-BR"/>
        </w:rPr>
        <w:t xml:space="preserve"> Quando esta não estiver estabelecida na cidade de Piracicaba, a Contratada se compromete a realizar o transporte do bem para a análise da assistência, sem custo adicional à Contratante.</w:t>
      </w:r>
    </w:p>
    <w:p>
      <w:pPr>
        <w:pStyle w:val="Normal"/>
        <w:numPr>
          <w:ilvl w:val="0"/>
          <w:numId w:val="0"/>
        </w:numPr>
        <w:tabs>
          <w:tab w:val="clear" w:pos="709"/>
          <w:tab w:val="left" w:pos="284" w:leader="none"/>
        </w:tabs>
        <w:ind w:hanging="0" w:left="0"/>
        <w:jc w:val="both"/>
        <w:rPr>
          <w:highlight w:val="none"/>
          <w:shd w:fill="FFFF00" w:val="clear"/>
        </w:rPr>
      </w:pPr>
      <w:r>
        <w:rPr>
          <w:shd w:fill="FFFF00" w:val="clear"/>
        </w:rPr>
      </w:r>
    </w:p>
    <w:p>
      <w:pPr>
        <w:pStyle w:val="Normal"/>
        <w:shd w:val="clear" w:color="auto" w:fill="CCCCCC"/>
        <w:ind w:firstLine="567"/>
        <w:jc w:val="both"/>
        <w:rPr>
          <w:rFonts w:ascii="Arial" w:hAnsi="Arial" w:cs="Arial"/>
        </w:rPr>
      </w:pPr>
      <w:r>
        <w:rPr>
          <w:rFonts w:cs="Arial" w:ascii="Arial" w:hAnsi="Arial"/>
          <w:b/>
          <w:bCs/>
        </w:rPr>
        <w:t>7. DA SUSTENTABILIDADE:</w:t>
      </w:r>
    </w:p>
    <w:p>
      <w:pPr>
        <w:pStyle w:val="Normal"/>
        <w:numPr>
          <w:ilvl w:val="0"/>
          <w:numId w:val="18"/>
        </w:numPr>
        <w:tabs>
          <w:tab w:val="clear" w:pos="709"/>
          <w:tab w:val="left" w:pos="284" w:leader="none"/>
        </w:tabs>
        <w:jc w:val="both"/>
        <w:rPr>
          <w:rFonts w:ascii="Arial" w:hAnsi="Arial" w:cs="Arial"/>
          <w:sz w:val="20"/>
          <w:szCs w:val="20"/>
          <w:lang w:eastAsia="pt-BR"/>
        </w:rPr>
      </w:pPr>
      <w:r>
        <w:rPr>
          <w:rFonts w:cs="Arial" w:ascii="Arial" w:hAnsi="Arial"/>
          <w:sz w:val="20"/>
          <w:szCs w:val="20"/>
          <w:lang w:eastAsia="pt-BR"/>
        </w:rPr>
        <w:t>Além dos critérios de sustentabilidade eventualmente inseridos na descrição do objeto, devem ser</w:t>
      </w:r>
    </w:p>
    <w:p>
      <w:pPr>
        <w:pStyle w:val="Normal"/>
        <w:numPr>
          <w:ilvl w:val="0"/>
          <w:numId w:val="0"/>
        </w:numPr>
        <w:tabs>
          <w:tab w:val="clear" w:pos="709"/>
          <w:tab w:val="left" w:pos="284" w:leader="none"/>
        </w:tabs>
        <w:ind w:hanging="0" w:left="0"/>
        <w:jc w:val="both"/>
        <w:rPr>
          <w:rFonts w:ascii="Arial" w:hAnsi="Arial" w:cs="Arial"/>
          <w:sz w:val="20"/>
          <w:szCs w:val="20"/>
          <w:lang w:eastAsia="pt-BR"/>
        </w:rPr>
      </w:pPr>
      <w:r>
        <w:rPr>
          <w:rFonts w:cs="Arial" w:ascii="Arial" w:hAnsi="Arial"/>
          <w:sz w:val="20"/>
          <w:szCs w:val="20"/>
          <w:lang w:eastAsia="pt-BR"/>
        </w:rPr>
        <w:t>atendidos os seguintes requisitos, que se baseiam no Guia Nacional de Contratações Sustentáveis:</w:t>
      </w:r>
    </w:p>
    <w:p>
      <w:pPr>
        <w:pStyle w:val="Normal"/>
        <w:numPr>
          <w:ilvl w:val="0"/>
          <w:numId w:val="0"/>
        </w:numPr>
        <w:tabs>
          <w:tab w:val="clear" w:pos="709"/>
          <w:tab w:val="left" w:pos="284" w:leader="none"/>
        </w:tabs>
        <w:ind w:hanging="0" w:left="0"/>
        <w:jc w:val="both"/>
        <w:rPr>
          <w:rFonts w:ascii="Arial" w:hAnsi="Arial" w:cs="Arial"/>
          <w:sz w:val="20"/>
          <w:szCs w:val="20"/>
          <w:lang w:eastAsia="pt-BR"/>
        </w:rPr>
      </w:pPr>
      <w:r>
        <w:rPr>
          <w:rFonts w:cs="Arial" w:ascii="Arial" w:hAnsi="Arial"/>
          <w:b/>
          <w:bCs/>
          <w:sz w:val="20"/>
          <w:szCs w:val="20"/>
          <w:lang w:eastAsia="pt-BR"/>
        </w:rPr>
        <w:t>1.</w:t>
      </w:r>
      <w:r>
        <w:rPr>
          <w:rFonts w:cs="Arial" w:ascii="Arial" w:hAnsi="Arial"/>
          <w:sz w:val="20"/>
          <w:szCs w:val="20"/>
          <w:lang w:eastAsia="pt-BR"/>
        </w:rPr>
        <w:t xml:space="preserve"> Que os bens sejam constituídos, no todo ou em parte, por material reciclado, atóxico, biodegradável, conforme ABNT NBR – 15448-1 e 15448-2;</w:t>
      </w:r>
    </w:p>
    <w:p>
      <w:pPr>
        <w:pStyle w:val="Normal"/>
        <w:numPr>
          <w:ilvl w:val="0"/>
          <w:numId w:val="0"/>
        </w:numPr>
        <w:tabs>
          <w:tab w:val="clear" w:pos="709"/>
          <w:tab w:val="left" w:pos="284" w:leader="none"/>
        </w:tabs>
        <w:ind w:hanging="0" w:left="0"/>
        <w:jc w:val="both"/>
        <w:rPr>
          <w:rFonts w:ascii="Arial" w:hAnsi="Arial" w:cs="Arial"/>
          <w:sz w:val="20"/>
          <w:szCs w:val="20"/>
          <w:lang w:eastAsia="pt-BR"/>
        </w:rPr>
      </w:pPr>
      <w:r>
        <w:rPr>
          <w:rFonts w:cs="Arial" w:ascii="Arial" w:hAnsi="Arial"/>
          <w:b/>
          <w:bCs/>
          <w:sz w:val="20"/>
          <w:szCs w:val="20"/>
          <w:lang w:eastAsia="pt-BR"/>
        </w:rPr>
        <w:t>2.</w:t>
      </w:r>
      <w:r>
        <w:rPr>
          <w:rFonts w:cs="Arial" w:ascii="Arial" w:hAnsi="Arial"/>
          <w:sz w:val="20"/>
          <w:szCs w:val="20"/>
          <w:lang w:eastAsia="pt-BR"/>
        </w:rPr>
        <w:t xml:space="preserve"> Que sejam observados os requisitos ambientais para a obtenção de certificação do Instituto Nacional de Metrologia, Normalização e Qualidade Industrial –INMETRO como produtos sustentáveis ou de menor impacto ambiental em relação aos seus similares;</w:t>
      </w:r>
    </w:p>
    <w:p>
      <w:pPr>
        <w:pStyle w:val="Normal"/>
        <w:numPr>
          <w:ilvl w:val="0"/>
          <w:numId w:val="0"/>
        </w:numPr>
        <w:tabs>
          <w:tab w:val="clear" w:pos="709"/>
          <w:tab w:val="left" w:pos="284" w:leader="none"/>
        </w:tabs>
        <w:ind w:hanging="0" w:left="0"/>
        <w:jc w:val="both"/>
        <w:rPr>
          <w:rFonts w:ascii="Arial" w:hAnsi="Arial" w:cs="Arial"/>
          <w:sz w:val="20"/>
          <w:szCs w:val="20"/>
          <w:lang w:eastAsia="pt-BR"/>
        </w:rPr>
      </w:pPr>
      <w:r>
        <w:rPr>
          <w:rFonts w:cs="Arial" w:ascii="Arial" w:hAnsi="Arial"/>
          <w:b/>
          <w:bCs/>
          <w:sz w:val="20"/>
          <w:szCs w:val="20"/>
          <w:lang w:eastAsia="pt-BR"/>
        </w:rPr>
        <w:t>3.</w:t>
      </w:r>
      <w:r>
        <w:rPr>
          <w:rFonts w:cs="Arial" w:ascii="Arial" w:hAnsi="Arial"/>
          <w:sz w:val="20"/>
          <w:szCs w:val="20"/>
          <w:lang w:eastAsia="pt-BR"/>
        </w:rPr>
        <w:t xml:space="preserve"> Que os bens devam ser, preferencialmente, acondicionados em embalagem individual adequada, com o menor volume possível, que utilize materiais recicláveis, deforma a garantir a máxima proteção durante o transporte e o armazenamento; </w:t>
      </w:r>
    </w:p>
    <w:p>
      <w:pPr>
        <w:pStyle w:val="Normal"/>
        <w:numPr>
          <w:ilvl w:val="0"/>
          <w:numId w:val="0"/>
        </w:numPr>
        <w:tabs>
          <w:tab w:val="clear" w:pos="709"/>
          <w:tab w:val="left" w:pos="284" w:leader="none"/>
        </w:tabs>
        <w:ind w:hanging="0" w:left="0"/>
        <w:jc w:val="both"/>
        <w:rPr>
          <w:rFonts w:ascii="Arial" w:hAnsi="Arial" w:cs="Arial"/>
          <w:sz w:val="20"/>
          <w:szCs w:val="20"/>
          <w:lang w:eastAsia="pt-BR"/>
        </w:rPr>
      </w:pPr>
      <w:r>
        <w:rPr>
          <w:rFonts w:cs="Arial" w:ascii="Arial" w:hAnsi="Arial"/>
          <w:b/>
          <w:bCs/>
          <w:sz w:val="20"/>
          <w:szCs w:val="20"/>
          <w:lang w:eastAsia="pt-BR"/>
        </w:rPr>
        <w:t>4.</w:t>
      </w:r>
      <w:r>
        <w:rPr>
          <w:rFonts w:cs="Arial" w:ascii="Arial" w:hAnsi="Arial"/>
          <w:sz w:val="20"/>
          <w:szCs w:val="20"/>
          <w:lang w:eastAsia="pt-BR"/>
        </w:rPr>
        <w:t xml:space="preserve"> Que os bens não contenham substâncias perigosas em concentração acima da recomendada na diretiva RoHS (Restriction of Certain Hazardous Substances), tais como mercúrio (Hg), chumbo (Pb), cromo hexavalente (Cr(VI)), cádmio (Cd), bifenilpolibromados (PBBs), éteres difenil-polibromados (PBDEs).</w:t>
      </w:r>
    </w:p>
    <w:p>
      <w:pPr>
        <w:pStyle w:val="Normal"/>
        <w:numPr>
          <w:ilvl w:val="0"/>
          <w:numId w:val="0"/>
        </w:numPr>
        <w:tabs>
          <w:tab w:val="clear" w:pos="709"/>
          <w:tab w:val="left" w:pos="284" w:leader="none"/>
        </w:tabs>
        <w:ind w:hanging="0" w:left="0"/>
        <w:jc w:val="both"/>
        <w:rPr>
          <w:highlight w:val="none"/>
          <w:shd w:fill="FFFF00" w:val="clear"/>
        </w:rPr>
      </w:pPr>
      <w:r>
        <w:rPr>
          <w:shd w:fill="FFFF00" w:val="clear"/>
        </w:rPr>
      </w:r>
    </w:p>
    <w:p>
      <w:pPr>
        <w:pStyle w:val="Normal"/>
        <w:shd w:val="clear" w:color="auto" w:fill="DDDDDD"/>
        <w:ind w:firstLine="567"/>
        <w:jc w:val="both"/>
        <w:rPr>
          <w:rFonts w:ascii="Arial" w:hAnsi="Arial" w:cs="Arial"/>
        </w:rPr>
      </w:pPr>
      <w:r>
        <w:rPr>
          <w:rFonts w:cs="Arial" w:ascii="Arial" w:hAnsi="Arial"/>
          <w:b/>
          <w:bCs/>
        </w:rPr>
        <w:t>8. DO FORNECIMENTO DE INFORMAÇÕES:</w:t>
      </w:r>
    </w:p>
    <w:p>
      <w:pPr>
        <w:pStyle w:val="Normal"/>
        <w:numPr>
          <w:ilvl w:val="0"/>
          <w:numId w:val="6"/>
        </w:numPr>
        <w:tabs>
          <w:tab w:val="clear" w:pos="709"/>
          <w:tab w:val="left" w:pos="284" w:leader="none"/>
          <w:tab w:val="left" w:pos="567" w:leader="none"/>
        </w:tabs>
        <w:jc w:val="both"/>
        <w:rPr>
          <w:rFonts w:ascii="Arial" w:hAnsi="Arial" w:cs="Arial"/>
        </w:rPr>
      </w:pPr>
      <w:r>
        <w:rPr>
          <w:rFonts w:cs="Arial" w:ascii="Arial" w:hAnsi="Arial"/>
        </w:rPr>
        <w:t xml:space="preserve">As solicitações de esclarecimentos referentes a presente licitação deverão ser inseridas no sistema de processamento da licitação, através do sítio eletrônico: </w:t>
      </w:r>
      <w:hyperlink r:id="rId3">
        <w:r>
          <w:rPr>
            <w:rStyle w:val="Style"/>
            <w:rFonts w:cs="Arial" w:ascii="Arial" w:hAnsi="Arial"/>
            <w:color w:val="0000FF"/>
            <w:u w:val="single"/>
          </w:rPr>
          <w:t>https://bnccompras.com</w:t>
        </w:r>
      </w:hyperlink>
      <w:r>
        <w:rPr>
          <w:rFonts w:cs="Arial" w:ascii="Arial" w:hAnsi="Arial"/>
        </w:rPr>
        <w:t>.</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6"/>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3255" w:leader="none"/>
        </w:tabs>
        <w:jc w:val="both"/>
        <w:rPr>
          <w:rFonts w:ascii="Arial" w:hAnsi="Arial" w:cs="Arial"/>
        </w:rPr>
      </w:pPr>
      <w:r>
        <w:rPr>
          <w:rFonts w:cs="Arial" w:ascii="Arial" w:hAnsi="Arial"/>
        </w:rPr>
        <w:tab/>
      </w:r>
    </w:p>
    <w:p>
      <w:pPr>
        <w:pStyle w:val="Normal"/>
        <w:shd w:val="clear" w:color="auto" w:fill="CCCCCC"/>
        <w:ind w:firstLine="567"/>
        <w:jc w:val="both"/>
        <w:rPr>
          <w:rFonts w:ascii="Arial" w:hAnsi="Arial" w:cs="Arial"/>
        </w:rPr>
      </w:pPr>
      <w:r>
        <w:rPr>
          <w:rFonts w:cs="Arial" w:ascii="Arial" w:hAnsi="Arial"/>
          <w:b/>
          <w:bCs/>
        </w:rPr>
        <w:t>9.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Inscrição no Cadastro Nacional de Pessoa Jurídica (CNPJ), do Ministério da Fazenda.</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Conjunta Negativa de Débitos ou Positiva com Efeito de Negativa, relativa a Tributos Federais (inclusive as contribuições sociais) e à Dívida Ativa da União.</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negativa de Débitos ou Positiva com Efeito de Negativa de</w:t>
      </w:r>
      <w:r>
        <w:rPr>
          <w:rFonts w:cs="Arial" w:ascii="Arial" w:hAnsi="Arial"/>
          <w:shd w:fill="auto" w:val="clear"/>
        </w:rPr>
        <w:t xml:space="preserve"> Tributos Estaduais relativos ao ICMS;</w:t>
      </w:r>
    </w:p>
    <w:p>
      <w:pPr>
        <w:pStyle w:val="Normal"/>
        <w:numPr>
          <w:ilvl w:val="2"/>
          <w:numId w:val="7"/>
        </w:numPr>
        <w:tabs>
          <w:tab w:val="clear" w:pos="709"/>
          <w:tab w:val="left" w:pos="284" w:leader="none"/>
          <w:tab w:val="left" w:pos="426" w:leader="none"/>
        </w:tabs>
        <w:jc w:val="both"/>
        <w:rPr>
          <w:highlight w:val="none"/>
          <w:shd w:fill="auto" w:val="clear"/>
        </w:rPr>
      </w:pPr>
      <w:r>
        <w:rPr>
          <w:rFonts w:cs="Arial" w:ascii="Arial" w:hAnsi="Arial"/>
          <w:color w:val="000000"/>
          <w:shd w:fill="auto" w:val="clear"/>
        </w:rPr>
        <w:t>Será exigida comprovação somente sobre débitos inscritos em dívida ativa.</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de regularidade de débito para com o Fundo de Garantia por Tempo de Serviço (FGTS).</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none"/>
          <w:shd w:fill="auto" w:val="clear"/>
        </w:rPr>
      </w:pPr>
      <w:r>
        <w:rPr>
          <w:rFonts w:cs="Arial" w:ascii="Arial" w:hAnsi="Arial"/>
          <w:shd w:fill="auto" w:val="clear"/>
        </w:rPr>
      </w:r>
    </w:p>
    <w:p>
      <w:pPr>
        <w:pStyle w:val="Normal"/>
        <w:numPr>
          <w:ilvl w:val="0"/>
          <w:numId w:val="7"/>
        </w:numPr>
        <w:tabs>
          <w:tab w:val="clear" w:pos="709"/>
          <w:tab w:val="left" w:pos="284" w:leader="none"/>
        </w:tabs>
        <w:jc w:val="both"/>
        <w:rPr>
          <w:highlight w:val="none"/>
          <w:shd w:fill="auto" w:val="clear"/>
        </w:rPr>
      </w:pPr>
      <w:r>
        <w:rPr>
          <w:rFonts w:cs="Arial" w:ascii="Arial" w:hAnsi="Arial"/>
          <w:b/>
          <w:bCs/>
          <w:shd w:fill="auto" w:val="clear"/>
        </w:rPr>
        <w:t>QUALIFICAÇÃO ECONÔMICO-FINANCEIRA</w:t>
      </w:r>
    </w:p>
    <w:p>
      <w:pPr>
        <w:pStyle w:val="Normal"/>
        <w:numPr>
          <w:ilvl w:val="1"/>
          <w:numId w:val="7"/>
        </w:numPr>
        <w:tabs>
          <w:tab w:val="clear" w:pos="709"/>
          <w:tab w:val="left" w:pos="284" w:leader="none"/>
        </w:tabs>
        <w:jc w:val="both"/>
        <w:rPr>
          <w:rFonts w:ascii="Arial" w:hAnsi="Arial" w:cs="Arial"/>
        </w:rPr>
      </w:pPr>
      <w:r>
        <w:rPr>
          <w:rFonts w:cs="Arial" w:ascii="Arial" w:hAnsi="Arial"/>
          <w:shd w:fill="auto" w:val="clear"/>
        </w:rPr>
        <w:t>Certidão negativa de falência expedida pelo distribuidor da sede da pessoa</w:t>
      </w:r>
      <w:r>
        <w:rPr>
          <w:rFonts w:cs="Arial" w:ascii="Arial" w:hAnsi="Arial"/>
        </w:rPr>
        <w:t xml:space="preserve"> jurídica, com data não superior a 180 (cento e oitenta) dias, da data limite para o recebimento das propostas da presente licitação.</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1.1. </w:t>
      </w: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w:t>
      </w:r>
      <w:bookmarkStart w:id="0" w:name="_GoBack"/>
      <w:bookmarkEnd w:id="0"/>
      <w:r>
        <w:rPr>
          <w:rFonts w:cs="Arial" w:ascii="Arial" w:hAnsi="Arial"/>
        </w:rPr>
        <w:t xml:space="preserve"> documentos</w:t>
      </w:r>
      <w:r>
        <w:rPr>
          <w:rFonts w:cs="Arial" w:ascii="Arial" w:hAnsi="Arial"/>
          <w:color w:val="000000"/>
        </w:rPr>
        <w:t>:</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numPr>
          <w:ilvl w:val="0"/>
          <w:numId w:val="0"/>
        </w:numPr>
        <w:tabs>
          <w:tab w:val="clear" w:pos="709"/>
          <w:tab w:val="left" w:pos="284" w:leader="none"/>
          <w:tab w:val="left" w:pos="426" w:leader="none"/>
          <w:tab w:val="left" w:pos="567" w:leader="none"/>
        </w:tabs>
        <w:ind w:hanging="0" w:left="0"/>
        <w:jc w:val="both"/>
        <w:rPr>
          <w:highlight w:val="none"/>
          <w:shd w:fill="FFFF00" w:val="clear"/>
        </w:rPr>
      </w:pPr>
      <w:r>
        <w:rPr>
          <w:shd w:fill="FFFF00" w:val="clear"/>
        </w:rPr>
      </w:r>
    </w:p>
    <w:p>
      <w:pPr>
        <w:pStyle w:val="Normal"/>
        <w:numPr>
          <w:ilvl w:val="0"/>
          <w:numId w:val="7"/>
        </w:numPr>
        <w:tabs>
          <w:tab w:val="clear" w:pos="709"/>
          <w:tab w:val="left" w:pos="284" w:leader="none"/>
          <w:tab w:val="left" w:pos="426" w:leader="none"/>
          <w:tab w:val="left" w:pos="567" w:leader="none"/>
        </w:tabs>
        <w:jc w:val="both"/>
        <w:rPr>
          <w:rFonts w:ascii="Arial" w:hAnsi="Arial" w:cs="Arial"/>
        </w:rPr>
      </w:pPr>
      <w:r>
        <w:rPr>
          <w:rFonts w:cs="Arial" w:ascii="Arial" w:hAnsi="Arial"/>
          <w:b/>
        </w:rPr>
        <w:t>CATÁLOGOS</w:t>
      </w:r>
    </w:p>
    <w:p>
      <w:pPr>
        <w:pStyle w:val="Normal"/>
        <w:numPr>
          <w:ilvl w:val="1"/>
          <w:numId w:val="19"/>
        </w:numPr>
        <w:tabs>
          <w:tab w:val="clear" w:pos="709"/>
          <w:tab w:val="left" w:pos="284" w:leader="none"/>
          <w:tab w:val="left" w:pos="426" w:leader="none"/>
          <w:tab w:val="left" w:pos="567" w:leader="none"/>
        </w:tabs>
        <w:jc w:val="both"/>
        <w:rPr>
          <w:rFonts w:ascii="Arial" w:hAnsi="Arial" w:cs="Arial"/>
        </w:rPr>
      </w:pPr>
      <w:r>
        <w:rPr>
          <w:rFonts w:cs="Arial" w:ascii="Arial" w:hAnsi="Arial"/>
        </w:rPr>
        <w:t>Deverá(ão) ser apresentado(s) junto com a proposta, sob pena de desclassificação pelo não cumprimento:</w:t>
      </w:r>
    </w:p>
    <w:p>
      <w:pPr>
        <w:pStyle w:val="Normal"/>
        <w:numPr>
          <w:ilvl w:val="2"/>
          <w:numId w:val="7"/>
        </w:numPr>
        <w:tabs>
          <w:tab w:val="clear" w:pos="709"/>
          <w:tab w:val="left" w:pos="284" w:leader="none"/>
          <w:tab w:val="left" w:pos="426" w:leader="none"/>
          <w:tab w:val="left" w:pos="567" w:leader="none"/>
        </w:tabs>
        <w:jc w:val="both"/>
        <w:rPr>
          <w:rFonts w:ascii="Arial" w:hAnsi="Arial" w:cs="Arial"/>
        </w:rPr>
      </w:pPr>
      <w:r>
        <w:rPr>
          <w:rFonts w:cs="Arial" w:ascii="Arial" w:hAnsi="Arial"/>
        </w:rPr>
        <w:t>Catálogos técnicos contendo descritivo/folder/foto do produto ofertado o descritivo do produto ofertado, comprovando as especificações técnicas do edital, sob pena de desclassificação pelo não cumprimento.</w:t>
      </w:r>
    </w:p>
    <w:p>
      <w:pPr>
        <w:pStyle w:val="Normal"/>
        <w:tabs>
          <w:tab w:val="clear" w:pos="709"/>
          <w:tab w:val="left" w:pos="284" w:leader="none"/>
          <w:tab w:val="left" w:pos="426" w:leader="none"/>
          <w:tab w:val="left" w:pos="567" w:leader="none"/>
        </w:tabs>
        <w:jc w:val="both"/>
        <w:rPr>
          <w:rFonts w:ascii="Arial" w:hAnsi="Arial" w:cs="Arial"/>
          <w:highlight w:val="none"/>
          <w:shd w:fill="auto" w:val="clear"/>
        </w:rPr>
      </w:pPr>
      <w:r>
        <w:rPr>
          <w:rFonts w:cs="Arial" w:ascii="Arial" w:hAnsi="Arial"/>
          <w:shd w:fill="auto" w:val="clear"/>
        </w:rPr>
      </w:r>
    </w:p>
    <w:p>
      <w:pPr>
        <w:pStyle w:val="Normal"/>
        <w:ind w:firstLine="567"/>
        <w:jc w:val="both"/>
        <w:rPr>
          <w:highlight w:val="none"/>
          <w:shd w:fill="auto" w:val="clear"/>
        </w:rPr>
      </w:pPr>
      <w:r>
        <w:rPr>
          <w:rFonts w:cs="Arial" w:ascii="Arial" w:hAnsi="Arial"/>
          <w:shd w:fill="auto" w:val="clear"/>
        </w:rPr>
        <w:t>Piracicaba, 10 de junho de 2026.</w:t>
      </w:r>
    </w:p>
    <w:p>
      <w:pPr>
        <w:pStyle w:val="Normal"/>
        <w:ind w:firstLine="567"/>
        <w:jc w:val="both"/>
        <w:rPr>
          <w:rFonts w:ascii="Arial" w:hAnsi="Arial" w:cs="Arial"/>
          <w:highlight w:val="none"/>
          <w:shd w:fill="auto" w:val="clear"/>
        </w:rPr>
      </w:pPr>
      <w:r>
        <w:rPr>
          <w:rFonts w:cs="Arial" w:ascii="Arial" w:hAnsi="Arial"/>
          <w:shd w:fill="auto" w:val="clear"/>
        </w:rPr>
      </w:r>
    </w:p>
    <w:p>
      <w:pPr>
        <w:pStyle w:val="Normal"/>
        <w:rPr>
          <w:rFonts w:ascii="Arial" w:hAnsi="Arial" w:cs="Arial"/>
          <w:highlight w:val="none"/>
          <w:shd w:fill="auto" w:val="clear"/>
        </w:rPr>
      </w:pPr>
      <w:r>
        <w:rPr>
          <w:rFonts w:cs="Arial" w:ascii="Arial" w:hAnsi="Arial"/>
          <w:shd w:fill="auto" w:val="clear"/>
        </w:rPr>
      </w:r>
    </w:p>
    <w:p>
      <w:pPr>
        <w:pStyle w:val="Normal"/>
        <w:jc w:val="center"/>
        <w:rPr>
          <w:highlight w:val="none"/>
          <w:shd w:fill="auto" w:val="clear"/>
        </w:rPr>
      </w:pPr>
      <w:r>
        <w:rPr>
          <w:rFonts w:cs="Arial" w:ascii="Arial" w:hAnsi="Arial"/>
          <w:b/>
          <w:shd w:fill="auto" w:val="clear"/>
        </w:rPr>
        <w:t>Larissa Palomo Monferdini</w:t>
      </w:r>
    </w:p>
    <w:p>
      <w:pPr>
        <w:pStyle w:val="Normal"/>
        <w:jc w:val="center"/>
        <w:rPr>
          <w:highlight w:val="none"/>
          <w:shd w:fill="auto" w:val="clear"/>
        </w:rPr>
      </w:pPr>
      <w:r>
        <w:rPr>
          <w:rFonts w:cs="Arial" w:ascii="Arial" w:hAnsi="Arial"/>
          <w:b/>
          <w:shd w:fill="auto" w:val="clear"/>
        </w:rPr>
        <w:t>Chefe de Setor</w:t>
      </w:r>
      <w:r>
        <w:br w:type="page"/>
      </w:r>
    </w:p>
    <w:p>
      <w:pPr>
        <w:pStyle w:val="Heading2"/>
        <w:numPr>
          <w:ilvl w:val="1"/>
          <w:numId w:val="1"/>
        </w:numPr>
        <w:spacing w:before="0" w:after="0"/>
        <w:ind w:hanging="0" w:left="0"/>
        <w:rPr/>
      </w:pPr>
      <w:r>
        <w:rPr/>
        <w:t>REGULAMENTO GERAL</w:t>
      </w:r>
    </w:p>
    <w:p>
      <w:pPr>
        <w:pStyle w:val="Heading2"/>
        <w:tabs>
          <w:tab w:val="clear" w:pos="0"/>
          <w:tab w:val="left" w:pos="708" w:leader="none"/>
          <w:tab w:val="left" w:pos="851" w:leader="none"/>
        </w:tabs>
        <w:ind w:hanging="0" w:left="0"/>
        <w:rPr>
          <w:b w:val="false"/>
        </w:rPr>
      </w:pPr>
      <w:r>
        <w:rPr>
          <w:b w:val="false"/>
          <w:lang w:val="pt-BR"/>
        </w:rPr>
        <w:t>DISPENSA ELETRÔNICA</w:t>
      </w:r>
    </w:p>
    <w:p>
      <w:pPr>
        <w:pStyle w:val="Heading2"/>
        <w:numPr>
          <w:ilvl w:val="0"/>
          <w:numId w:val="1"/>
        </w:numPr>
        <w:tabs>
          <w:tab w:val="left" w:pos="0" w:leader="none"/>
          <w:tab w:val="left" w:pos="708" w:leader="none"/>
          <w:tab w:val="left" w:pos="851" w:leader="none"/>
        </w:tabs>
        <w:ind w:hanging="0" w:left="576"/>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1"/>
        </w:numPr>
        <w:ind w:firstLine="284" w:left="0" w:right="-1"/>
        <w:jc w:val="both"/>
        <w:rPr>
          <w:rFonts w:ascii="Arial" w:hAnsi="Arial" w:cs="Arial"/>
        </w:rPr>
      </w:pPr>
      <w:r>
        <w:rPr>
          <w:rFonts w:cs="Arial" w:ascii="Arial" w:hAnsi="Arial"/>
        </w:rPr>
      </w:r>
    </w:p>
    <w:p>
      <w:pPr>
        <w:pStyle w:val="Heading3"/>
        <w:numPr>
          <w:ilvl w:val="2"/>
          <w:numId w:val="1"/>
        </w:numPr>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Style w:val="Style"/>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Heading9"/>
        <w:numPr>
          <w:ilvl w:val="8"/>
          <w:numId w:val="1"/>
        </w:numPr>
        <w:ind w:firstLine="284" w:left="0" w:right="-1"/>
        <w:rPr>
          <w:b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firstLine="284" w:left="0" w:right="-1"/>
        <w:jc w:val="both"/>
        <w:rPr>
          <w:rFonts w:ascii="Arial" w:hAnsi="Arial" w:cs="Arial"/>
        </w:rPr>
      </w:pPr>
      <w:r>
        <w:rPr>
          <w:rFonts w:cs="Arial" w:ascii="Arial" w:hAnsi="Arial"/>
        </w:rPr>
      </w:r>
    </w:p>
    <w:p>
      <w:pPr>
        <w:pStyle w:val="Standard"/>
        <w:numPr>
          <w:ilvl w:val="0"/>
          <w:numId w:val="1"/>
        </w:numPr>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1"/>
        </w:numPr>
        <w:ind w:firstLine="284" w:left="0" w:right="-1"/>
        <w:jc w:val="both"/>
        <w:rPr>
          <w:rFonts w:ascii="Arial" w:hAnsi="Arial" w:cs="Arial"/>
        </w:rPr>
      </w:pPr>
      <w:r>
        <w:rPr>
          <w:rFonts w:cs="Arial" w:ascii="Arial" w:hAnsi="Arial"/>
        </w:rPr>
      </w:r>
    </w:p>
    <w:p>
      <w:pPr>
        <w:pStyle w:val="Heading1"/>
        <w:numPr>
          <w:ilvl w:val="0"/>
          <w:numId w:val="1"/>
        </w:numPr>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rStyle w:val="Style"/>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1"/>
        </w:numPr>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Hyperlink"/>
            <w:rFonts w:cs="Arial" w:ascii="Arial" w:hAnsi="Arial"/>
            <w:color w:val="0000FF"/>
          </w:rPr>
          <w:t>notafiscal@piracicaba.sp.gov.br</w:t>
        </w:r>
      </w:hyperlink>
      <w:r>
        <w:rPr>
          <w:rStyle w:val="Hyperlink"/>
          <w:rFonts w:cs="Arial" w:ascii="Arial" w:hAnsi="Arial"/>
          <w:color w:val="0000FF"/>
        </w:rPr>
        <w:t>.</w:t>
      </w:r>
    </w:p>
    <w:p>
      <w:pPr>
        <w:pStyle w:val="Normal"/>
        <w:ind w:hanging="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numPr>
          <w:ilvl w:val="0"/>
          <w:numId w:val="1"/>
        </w:numPr>
        <w:ind w:firstLine="284" w:left="0" w:right="-1"/>
        <w:jc w:val="both"/>
        <w:rPr>
          <w:rFonts w:ascii="Arial" w:hAnsi="Arial" w:cs="Arial"/>
        </w:rPr>
      </w:pPr>
      <w:r>
        <w:rPr>
          <w:rFonts w:cs="Arial" w:ascii="Arial" w:hAnsi="Arial"/>
        </w:rPr>
      </w:r>
      <w:bookmarkStart w:id="3" w:name="_Ref114668108"/>
      <w:bookmarkStart w:id="4"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4"/>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ind w:firstLine="284" w:left="0" w:right="-1"/>
        <w:jc w:val="both"/>
        <w:rPr>
          <w:rFonts w:ascii="Arial" w:hAnsi="Arial" w:cs="Arial"/>
        </w:rPr>
      </w:pPr>
      <w:r>
        <w:rPr>
          <w:rFonts w:cs="Arial" w:ascii="Arial" w:hAnsi="Arial"/>
        </w:rPr>
      </w:r>
      <w:bookmarkStart w:id="5" w:name="_Ref114668139"/>
      <w:bookmarkStart w:id="6"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firstLine="284" w:left="0" w:right="-1"/>
        <w:jc w:val="both"/>
        <w:rPr>
          <w:rFonts w:ascii="Arial" w:hAnsi="Arial" w:cs="Arial"/>
        </w:rPr>
      </w:pPr>
      <w:r>
        <w:rPr>
          <w:rFonts w:cs="Arial" w:ascii="Arial" w:hAnsi="Arial"/>
        </w:rPr>
      </w:r>
      <w:bookmarkStart w:id="7" w:name="_Ref114668249"/>
      <w:bookmarkStart w:id="8" w:name="_Ref114668249"/>
    </w:p>
    <w:p>
      <w:pPr>
        <w:pStyle w:val="Normal"/>
        <w:numPr>
          <w:ilvl w:val="0"/>
          <w:numId w:val="1"/>
        </w:numPr>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8"/>
    </w:p>
    <w:p>
      <w:pPr>
        <w:pStyle w:val="Normal"/>
        <w:numPr>
          <w:ilvl w:val="0"/>
          <w:numId w:val="1"/>
        </w:numPr>
        <w:ind w:firstLine="284" w:left="0" w:right="-1"/>
        <w:jc w:val="both"/>
        <w:rPr>
          <w:rFonts w:ascii="Arial" w:hAnsi="Arial" w:cs="Arial"/>
        </w:rPr>
      </w:pPr>
      <w:r>
        <w:rPr>
          <w:rFonts w:cs="Arial" w:ascii="Arial" w:hAnsi="Arial"/>
        </w:rPr>
      </w:r>
      <w:bookmarkStart w:id="9" w:name="_Ref114668245"/>
      <w:bookmarkStart w:id="10" w:name="_Ref114668245"/>
    </w:p>
    <w:p>
      <w:pPr>
        <w:pStyle w:val="Normal"/>
        <w:numPr>
          <w:ilvl w:val="0"/>
          <w:numId w:val="1"/>
        </w:numPr>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0"/>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1" w:name="_Ref114668247"/>
      <w:bookmarkStart w:id="12" w:name="_Ref114668247"/>
    </w:p>
    <w:p>
      <w:pPr>
        <w:pStyle w:val="Normal"/>
        <w:numPr>
          <w:ilvl w:val="0"/>
          <w:numId w:val="1"/>
        </w:numPr>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2"/>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ind w:firstLine="284" w:left="0" w:right="-1"/>
        <w:jc w:val="both"/>
        <w:rPr>
          <w:rFonts w:ascii="Arial" w:hAnsi="Arial" w:cs="Arial"/>
        </w:rPr>
      </w:pPr>
      <w:r>
        <w:rPr>
          <w:rFonts w:cs="Arial" w:ascii="Arial" w:hAnsi="Arial"/>
        </w:rPr>
      </w:r>
      <w:bookmarkStart w:id="13" w:name="_Ref114668251"/>
      <w:bookmarkStart w:id="14" w:name="_Ref114668251"/>
    </w:p>
    <w:p>
      <w:pPr>
        <w:pStyle w:val="Normal"/>
        <w:numPr>
          <w:ilvl w:val="0"/>
          <w:numId w:val="1"/>
        </w:numPr>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4"/>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5" w:name="_Ref114668252"/>
      <w:bookmarkStart w:id="16" w:name="_Ref114668252"/>
    </w:p>
    <w:p>
      <w:pPr>
        <w:pStyle w:val="Normal"/>
        <w:numPr>
          <w:ilvl w:val="0"/>
          <w:numId w:val="1"/>
        </w:numPr>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
      <w:bookmarkEnd w:id="16"/>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firstLine="284" w:left="0" w:right="-1"/>
        <w:jc w:val="both"/>
        <w:rPr>
          <w:rFonts w:ascii="Arial" w:hAnsi="Arial" w:cs="Arial"/>
          <w:b/>
        </w:rPr>
      </w:pPr>
      <w:r>
        <w:rPr>
          <w:rFonts w:cs="Arial" w:ascii="Arial" w:hAnsi="Arial"/>
          <w:b/>
        </w:rPr>
      </w:r>
    </w:p>
    <w:p>
      <w:pPr>
        <w:pStyle w:val="Normal"/>
        <w:numPr>
          <w:ilvl w:val="0"/>
          <w:numId w:val="1"/>
        </w:numPr>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Heading1"/>
        <w:tabs>
          <w:tab w:val="clear" w:pos="0"/>
        </w:tabs>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rStyle w:val="Style"/>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firstLine="284" w:left="0"/>
        <w:jc w:val="both"/>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2"/>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2"/>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2"/>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2"/>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2"/>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2"/>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2"/>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hanging="0"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overflowPunct w:val="fals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32"/>
        <w:gridCol w:w="861"/>
        <w:gridCol w:w="4533"/>
        <w:gridCol w:w="1416"/>
        <w:gridCol w:w="1706"/>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Item</w:t>
            </w:r>
          </w:p>
        </w:tc>
        <w:tc>
          <w:tcPr>
            <w:tcW w:w="832"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Quant.</w:t>
            </w:r>
          </w:p>
        </w:tc>
        <w:tc>
          <w:tcPr>
            <w:tcW w:w="861"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Unitário</w:t>
            </w:r>
          </w:p>
        </w:tc>
        <w:tc>
          <w:tcPr>
            <w:tcW w:w="170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1"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1"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BodyTextIndent"/>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850" w:gutter="0" w:header="1146" w:top="1418" w:footer="420" w:bottom="568"/>
      <w:pgNumType w:fmt="decimal"/>
      <w:formProt w:val="false"/>
      <w:textDirection w:val="lrTb"/>
      <w:docGrid w:type="default" w:linePitch="600" w:charSpace="6553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Arial MT">
    <w:charset w:val="00"/>
    <w:family w:val="roman"/>
    <w:pitch w:val="variable"/>
  </w:font>
  <w:font w:name="Book Antiqua">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 xml:space="preserve">Dispensa Eletrônica nº 059/2026 – Página </w:t>
    </w:r>
    <w:r>
      <w:rPr>
        <w:rFonts w:cs="Arial" w:ascii="Arial" w:hAnsi="Arial"/>
        <w:b/>
        <w:color w:val="000000"/>
        <w:sz w:val="16"/>
      </w:rPr>
      <w:fldChar w:fldCharType="begin"/>
    </w:r>
    <w:r>
      <w:rPr>
        <w:rFonts w:cs="Arial" w:ascii="Arial" w:hAnsi="Arial"/>
        <w:b/>
        <w:color w:val="000000"/>
        <w:sz w:val="16"/>
      </w:rPr>
      <w:instrText xml:space="preserve"> PAGE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r>
      <w:rPr>
        <w:rFonts w:cs="Arial" w:ascii="Arial" w:hAnsi="Arial"/>
        <w:color w:val="000000"/>
        <w:sz w:val="16"/>
      </w:rPr>
      <w:t xml:space="preserve"> de </w:t>
    </w:r>
    <w:r>
      <w:rPr>
        <w:rFonts w:cs="Arial" w:ascii="Arial" w:hAnsi="Arial"/>
        <w:b/>
        <w:color w:val="000000"/>
        <w:sz w:val="16"/>
      </w:rPr>
      <w:fldChar w:fldCharType="begin"/>
    </w:r>
    <w:r>
      <w:rPr>
        <w:rFonts w:cs="Arial" w:ascii="Arial" w:hAnsi="Arial"/>
        <w:b/>
        <w:color w:val="000000"/>
        <w:sz w:val="16"/>
      </w:rPr>
      <w:instrText xml:space="preserve"> NUMPAGES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p>
  <w:p>
    <w:pPr>
      <w:pStyle w:val="Contedodoquadro"/>
      <w:jc w:val="center"/>
      <w:rPr>
        <w:rFonts w:ascii="Arial" w:hAnsi="Arial" w:cs="Arial"/>
        <w:b/>
        <w:sz w:val="16"/>
      </w:rPr>
    </w:pPr>
    <w:r>
      <w:rPr>
        <w:rFonts w:cs="Arial" w:ascii="Arial" w:hAnsi="Arial"/>
        <w:b/>
        <w:sz w:val="16"/>
      </w:rPr>
      <w:drawing>
        <wp:anchor distT="0" distB="0" distL="114300" distR="114300" simplePos="0" relativeHeight="50"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pPr>
      <w:pStyle w:val="Contedodoquadro"/>
      <w:ind w:hanging="3346" w:left="3346"/>
      <w:rPr>
        <w:color w:val="000000"/>
      </w:rPr>
    </w:pPr>
    <w:r>
      <w:rPr>
        <w:color w:val="000000"/>
      </w:rPr>
    </w:r>
  </w:p>
  <w:p>
    <w:pPr>
      <w:pStyle w:val="Contedodoquadro"/>
      <w:ind w:hanging="0" w:left="3346"/>
      <w:rPr>
        <w:rFonts w:ascii="Arial" w:hAnsi="Arial" w:cs="Arial"/>
        <w:sz w:val="16"/>
      </w:rPr>
    </w:pPr>
    <w:r>
      <w:rPr>
        <w:rFonts w:cs="Arial" w:ascii="Arial" w:hAnsi="Arial"/>
        <w:sz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 xml:space="preserve">Dispensa Eletrônica nº 059/2026 – Página </w:t>
    </w:r>
    <w:r>
      <w:rPr>
        <w:rFonts w:cs="Arial" w:ascii="Arial" w:hAnsi="Arial"/>
        <w:b/>
        <w:color w:val="000000"/>
        <w:sz w:val="16"/>
      </w:rPr>
      <w:fldChar w:fldCharType="begin"/>
    </w:r>
    <w:r>
      <w:rPr>
        <w:rFonts w:cs="Arial" w:ascii="Arial" w:hAnsi="Arial"/>
        <w:b/>
        <w:color w:val="000000"/>
        <w:sz w:val="16"/>
      </w:rPr>
      <w:instrText xml:space="preserve"> PAGE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r>
      <w:rPr>
        <w:rFonts w:cs="Arial" w:ascii="Arial" w:hAnsi="Arial"/>
        <w:color w:val="000000"/>
        <w:sz w:val="16"/>
      </w:rPr>
      <w:t xml:space="preserve"> de </w:t>
    </w:r>
    <w:r>
      <w:rPr>
        <w:rFonts w:cs="Arial" w:ascii="Arial" w:hAnsi="Arial"/>
        <w:b/>
        <w:color w:val="000000"/>
        <w:sz w:val="16"/>
      </w:rPr>
      <w:fldChar w:fldCharType="begin"/>
    </w:r>
    <w:r>
      <w:rPr>
        <w:rFonts w:cs="Arial" w:ascii="Arial" w:hAnsi="Arial"/>
        <w:b/>
        <w:color w:val="000000"/>
        <w:sz w:val="16"/>
      </w:rPr>
      <w:instrText xml:space="preserve"> NUMPAGES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p>
  <w:p>
    <w:pPr>
      <w:pStyle w:val="Contedodoquadro"/>
      <w:jc w:val="center"/>
      <w:rPr>
        <w:rFonts w:ascii="Arial" w:hAnsi="Arial" w:cs="Arial"/>
        <w:b/>
        <w:sz w:val="16"/>
      </w:rPr>
    </w:pPr>
    <w:r>
      <w:rPr>
        <w:rFonts w:cs="Arial" w:ascii="Arial" w:hAnsi="Arial"/>
        <w:b/>
        <w:sz w:val="16"/>
      </w:rPr>
      <w:drawing>
        <wp:anchor distT="0" distB="0" distL="114300" distR="114300" simplePos="0" relativeHeight="50"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pPr>
      <w:pStyle w:val="Contedodoquadro"/>
      <w:ind w:hanging="3346" w:left="3346"/>
      <w:rPr>
        <w:color w:val="000000"/>
      </w:rPr>
    </w:pPr>
    <w:r>
      <w:rPr>
        <w:color w:val="000000"/>
      </w:rPr>
    </w:r>
  </w:p>
  <w:p>
    <w:pPr>
      <w:pStyle w:val="Contedodoquadro"/>
      <w:ind w:hanging="0" w:left="3346"/>
      <w:rPr>
        <w:rFonts w:ascii="Arial" w:hAnsi="Arial" w:cs="Arial"/>
        <w:sz w:val="16"/>
      </w:rPr>
    </w:pPr>
    <w:r>
      <w:rPr>
        <w:rFonts w:cs="Arial" w:ascii="Arial" w:hAnsi="Arial"/>
        <w:sz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114300" distR="114300" simplePos="0" relativeHeight="13"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distT="0" distB="0" distL="0" distR="0" simplePos="0" relativeHeight="3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2"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114300" distR="114300" simplePos="0" relativeHeight="13"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3"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distT="0" distB="0" distL="0" distR="0" simplePos="0" relativeHeight="3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4"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4">
    <w:lvl w:ilvl="0">
      <w:start w:val="1"/>
      <w:numFmt w:val="lowerLetter"/>
      <w:lvlText w:val="%1)"/>
      <w:lvlJc w:val="left"/>
      <w:pPr>
        <w:tabs>
          <w:tab w:val="num" w:pos="0"/>
        </w:tabs>
        <w:ind w:left="0" w:hanging="0"/>
      </w:pPr>
      <w:rPr>
        <w:rFonts w:ascii="Arial" w:hAnsi="Arial"/>
        <w:b/>
        <w:bCs/>
        <w:sz w:val="20"/>
        <w:szCs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5">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7">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8">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9">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0">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1">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2">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3">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3"/>
    <w:lvlOverride w:ilvl="0">
      <w:startOverride w:val="1"/>
    </w:lvlOverride>
  </w:num>
  <w:num w:numId="16">
    <w:abstractNumId w:val="10"/>
    <w:lvlOverride w:ilvl="0">
      <w:startOverride w:val="1"/>
    </w:lvlOverride>
  </w:num>
  <w:num w:numId="17">
    <w:abstractNumId w:val="10"/>
    <w:lvlOverride w:ilvl="0">
      <w:startOverride w:val="1"/>
    </w:lvlOverride>
  </w:num>
  <w:num w:numId="18">
    <w:abstractNumId w:val="10"/>
    <w:lvlOverride w:ilvl="0">
      <w:startOverride w:val="1"/>
    </w:lvlOverride>
  </w:num>
  <w:num w:numId="19">
    <w:abstractNumId w:val="7"/>
    <w:lvlOverride w:ilvl="0">
      <w:startOverride w:val="1"/>
    </w:lvlOverride>
    <w:lvlOverride w:ilvl="1">
      <w:startOverride w:val="1"/>
    </w:lvlOverride>
  </w:num>
</w:numbering>
</file>

<file path=word/settings.xml><?xml version="1.0" encoding="utf-8"?>
<w:settings xmlns:w="http://schemas.openxmlformats.org/wordprocessingml/2006/main">
  <w:zoom w:percent="14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tabs>
        <w:tab w:val="clear" w:pos="709"/>
        <w:tab w:val="left" w:pos="0" w:leader="none"/>
      </w:tabs>
      <w:ind w:hanging="432" w:left="432"/>
      <w:jc w:val="center"/>
      <w:outlineLvl w:val="0"/>
    </w:pPr>
    <w:rPr>
      <w:rFonts w:ascii="Arial" w:hAnsi="Arial" w:cs="Arial"/>
      <w:b/>
      <w:bCs/>
      <w:sz w:val="32"/>
      <w:szCs w:val="32"/>
      <w:lang w:val="x-none"/>
    </w:rPr>
  </w:style>
  <w:style w:type="paragraph" w:styleId="Heading2">
    <w:name w:val="heading 2"/>
    <w:basedOn w:val="Normal"/>
    <w:next w:val="Normal"/>
    <w:qFormat/>
    <w:pPr>
      <w:keepNext w:val="true"/>
      <w:tabs>
        <w:tab w:val="clear" w:pos="709"/>
        <w:tab w:val="left" w:pos="0" w:leader="none"/>
      </w:tabs>
      <w:ind w:hanging="576" w:left="576"/>
      <w:jc w:val="center"/>
      <w:outlineLvl w:val="1"/>
    </w:pPr>
    <w:rPr>
      <w:rFonts w:ascii="Arial" w:hAnsi="Arial" w:cs="Arial"/>
      <w:b/>
      <w:bCs/>
      <w:sz w:val="24"/>
      <w:szCs w:val="24"/>
      <w:lang w:val="x-none"/>
    </w:rPr>
  </w:style>
  <w:style w:type="paragraph" w:styleId="Heading3">
    <w:name w:val="heading 3"/>
    <w:basedOn w:val="Normal"/>
    <w:next w:val="Normal"/>
    <w:qFormat/>
    <w:pPr>
      <w:keepNext w:val="true"/>
      <w:tabs>
        <w:tab w:val="clear" w:pos="709"/>
        <w:tab w:val="left" w:pos="0" w:leader="none"/>
      </w:tabs>
      <w:ind w:hanging="720" w:left="720"/>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tabs>
        <w:tab w:val="clear" w:pos="709"/>
        <w:tab w:val="left" w:pos="0" w:leader="none"/>
      </w:tabs>
      <w:ind w:hanging="864" w:left="864"/>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tabs>
        <w:tab w:val="clear" w:pos="709"/>
        <w:tab w:val="left" w:pos="0" w:leader="none"/>
      </w:tabs>
      <w:ind w:hanging="1008" w:left="1008"/>
      <w:jc w:val="center"/>
      <w:outlineLvl w:val="4"/>
    </w:pPr>
    <w:rPr>
      <w:b/>
      <w:sz w:val="28"/>
      <w:lang w:val="x-none"/>
    </w:rPr>
  </w:style>
  <w:style w:type="paragraph" w:styleId="Heading6">
    <w:name w:val="heading 6"/>
    <w:basedOn w:val="Normal"/>
    <w:next w:val="Normal"/>
    <w:qFormat/>
    <w:pPr>
      <w:keepNext w:val="true"/>
      <w:tabs>
        <w:tab w:val="clear" w:pos="709"/>
        <w:tab w:val="left" w:pos="0" w:leader="none"/>
      </w:tabs>
      <w:ind w:hanging="1152" w:left="1152"/>
      <w:jc w:val="center"/>
      <w:outlineLvl w:val="5"/>
    </w:pPr>
    <w:rPr>
      <w:rFonts w:ascii="Arial" w:hAnsi="Arial" w:cs="Arial"/>
      <w:b/>
      <w:bCs/>
      <w:color w:val="0000FF"/>
      <w:lang w:val="x-none"/>
    </w:rPr>
  </w:style>
  <w:style w:type="paragraph" w:styleId="Heading7">
    <w:name w:val="heading 7"/>
    <w:basedOn w:val="Normal"/>
    <w:next w:val="Normal"/>
    <w:qFormat/>
    <w:pPr>
      <w:keepNext w:val="true"/>
      <w:tabs>
        <w:tab w:val="clear" w:pos="709"/>
        <w:tab w:val="left" w:pos="0" w:leader="none"/>
      </w:tabs>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tabs>
        <w:tab w:val="clear" w:pos="709"/>
        <w:tab w:val="left" w:pos="0" w:leader="none"/>
      </w:tabs>
      <w:ind w:firstLine="561"/>
      <w:jc w:val="both"/>
      <w:outlineLvl w:val="7"/>
    </w:pPr>
    <w:rPr>
      <w:rFonts w:ascii="Arial" w:hAnsi="Arial"/>
      <w:b/>
      <w:bCs/>
      <w:sz w:val="22"/>
      <w:szCs w:val="22"/>
      <w:lang w:val="x-none"/>
    </w:rPr>
  </w:style>
  <w:style w:type="paragraph" w:styleId="Heading9">
    <w:name w:val="heading 9"/>
    <w:basedOn w:val="Normal"/>
    <w:next w:val="Normal"/>
    <w:qFormat/>
    <w:pPr>
      <w:keepNext w:val="true"/>
      <w:tabs>
        <w:tab w:val="clear" w:pos="709"/>
        <w:tab w:val="left" w:pos="0" w:leader="none"/>
      </w:tabs>
      <w:ind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rFonts w:ascii="Arial" w:hAnsi="Arial"/>
      <w:b/>
      <w:bCs/>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Hyperlink">
    <w:name w:val="Hyperlink"/>
    <w:basedOn w:val="DefaultParagraphFont"/>
    <w:unhideWhenUsed/>
    <w:rsid w:val="00dc4724"/>
    <w:rPr>
      <w:color w:themeColor="hyperlink" w:val="0563C1"/>
      <w:u w:val="single"/>
    </w:rPr>
  </w:style>
  <w:style w:type="character" w:styleId="Fontepargpadro20" w:customStyle="1">
    <w:name w:val="Fonte parág. padrão20"/>
    <w:qFormat/>
    <w:rsid w:val="00863310"/>
    <w:rPr/>
  </w:style>
  <w:style w:type="character" w:styleId="Marcadores" w:customStyle="1">
    <w:name w:val="Marcadore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itle">
    <w:name w:val="Title"/>
    <w:basedOn w:val="Ttulo21"/>
    <w:next w:val="BodyText"/>
    <w:qFormat/>
    <w:pPr/>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hanging="0"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tabs>
        <w:tab w:val="clear" w:pos="709"/>
        <w:tab w:val="left" w:pos="851" w:leader="none"/>
      </w:tabs>
      <w:spacing w:lineRule="auto" w:line="264" w:before="0" w:after="180"/>
      <w:ind w:hanging="851" w:left="851"/>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hanging="0"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hanging="0"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tabs>
        <w:tab w:val="left" w:pos="0" w:leader="none"/>
        <w:tab w:val="left" w:pos="567" w:leader="none"/>
      </w:tabs>
      <w:suppressAutoHyphens w:val="false"/>
      <w:spacing w:before="240" w:after="0"/>
      <w:ind w:hanging="360" w:left="360"/>
      <w:jc w:val="both"/>
    </w:pPr>
    <w:rPr>
      <w:rFonts w:eastAsia="MS Gothic"/>
      <w:kern w:val="0"/>
      <w:sz w:val="20"/>
      <w:szCs w:val="20"/>
      <w:lang w:val="pt-BR" w:eastAsia="pt-BR"/>
    </w:rPr>
  </w:style>
  <w:style w:type="paragraph" w:styleId="Nivel2" w:customStyle="1">
    <w:name w:val="Nivel 2"/>
    <w:basedOn w:val="Normal"/>
    <w:link w:val="Nivel2Char"/>
    <w:qFormat/>
    <w:rsid w:val="00ed126a"/>
    <w:pPr>
      <w:tabs>
        <w:tab w:val="clear" w:pos="709"/>
        <w:tab w:val="left" w:pos="0" w:leader="none"/>
      </w:tabs>
      <w:suppressAutoHyphens w:val="false"/>
      <w:spacing w:lineRule="auto" w:line="276" w:before="120" w:after="120"/>
      <w:ind w:hanging="432" w:left="4969"/>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tabs>
        <w:tab w:val="clear" w:pos="709"/>
        <w:tab w:val="left" w:pos="0" w:leader="none"/>
      </w:tabs>
      <w:suppressAutoHyphens w:val="false"/>
      <w:spacing w:lineRule="auto" w:line="276" w:before="120" w:after="120"/>
      <w:ind w:hanging="504" w:left="3198"/>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ind w:hanging="0" w:left="851"/>
    </w:pPr>
    <w:rPr>
      <w:color w:val="auto"/>
    </w:rPr>
  </w:style>
  <w:style w:type="paragraph" w:styleId="Nivel5" w:customStyle="1">
    <w:name w:val="Nivel 5"/>
    <w:basedOn w:val="Nivel4"/>
    <w:qFormat/>
    <w:rsid w:val="00ed126a"/>
    <w:pPr>
      <w:ind w:hanging="0" w:left="1276"/>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customStyle="1">
    <w:name w:val="Table Paragraph"/>
    <w:basedOn w:val="Normal"/>
    <w:uiPriority w:val="1"/>
    <w:qFormat/>
    <w:rsid w:val="00a32f70"/>
    <w:pPr>
      <w:widowControl w:val="false"/>
      <w:suppressAutoHyphens w:val="false"/>
    </w:pPr>
    <w:rPr>
      <w:rFonts w:ascii="Arial MT" w:hAnsi="Arial MT" w:eastAsia="Arial MT" w:cs="Arial MT"/>
      <w:kern w:val="0"/>
      <w:sz w:val="22"/>
      <w:szCs w:val="22"/>
      <w:lang w:val="pt-PT" w:eastAsia="en-US"/>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9235B4D-0EA0-455B-979B-80C4BEDCC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Application>LibreOffice/25.8.6.2$Windows_X86_64 LibreOffice_project/b4b39682cd9868fa725bc664aff94278d315bd04</Application>
  <AppVersion>15.0000</AppVersion>
  <Pages>12</Pages>
  <Words>4978</Words>
  <Characters>29026</Characters>
  <CharactersWithSpaces>33746</CharactersWithSpaces>
  <Paragraphs>286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dc:description/>
  <dc:language>pt-BR</dc:language>
  <cp:lastModifiedBy/>
  <dcterms:modified xsi:type="dcterms:W3CDTF">2026-06-10T15:55:18Z</dcterms:modified>
  <cp:revision>79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