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sz w:val="20"/>
          <w:szCs w:val="20"/>
        </w:rPr>
      </w:pPr>
      <w:r>
        <w:rPr>
          <w:b/>
          <w:sz w:val="20"/>
          <w:szCs w:val="20"/>
        </w:rPr>
        <w:t xml:space="preserve">EDITAL DE PREGÃO ELETRÔNICO </w:t>
      </w:r>
      <w:r>
        <w:rPr>
          <w:b/>
          <w:sz w:val="20"/>
          <w:szCs w:val="20"/>
          <w:lang w:val="pt-BR"/>
        </w:rPr>
        <w:t xml:space="preserve">nº </w:t>
      </w:r>
      <w:r>
        <w:rPr>
          <w:b/>
          <w:sz w:val="20"/>
          <w:szCs w:val="20"/>
          <w:lang w:val="pt-BR"/>
        </w:rPr>
        <w:t>173</w:t>
      </w:r>
      <w:r>
        <w:rPr>
          <w:b/>
          <w:sz w:val="20"/>
          <w:szCs w:val="20"/>
          <w:lang w:val="pt-BR"/>
        </w:rPr>
        <w:t>/</w:t>
      </w:r>
      <w:r>
        <w:rPr>
          <w:b/>
          <w:sz w:val="20"/>
          <w:szCs w:val="20"/>
          <w:lang w:val="pt-BR"/>
        </w:rPr>
        <w:t>2026</w:t>
      </w:r>
      <w:r>
        <w:rPr>
          <w:b/>
          <w:sz w:val="20"/>
          <w:szCs w:val="20"/>
        </w:rPr>
        <w:t xml:space="preserve"> </w:t>
      </w:r>
    </w:p>
    <w:p>
      <w:pPr>
        <w:pStyle w:val="BodyTextIndent"/>
        <w:widowControl w:val="false"/>
        <w:shd w:val="clear" w:color="auto" w:fill="CCCCCC"/>
        <w:overflowPunct w:val="false"/>
        <w:spacing w:lineRule="auto" w:line="240"/>
        <w:jc w:val="center"/>
        <w:rPr>
          <w:b/>
          <w:sz w:val="20"/>
          <w:szCs w:val="20"/>
          <w:lang w:val="pt-BR"/>
        </w:rPr>
      </w:pPr>
      <w:r>
        <w:rPr>
          <w:b/>
          <w:sz w:val="20"/>
          <w:szCs w:val="20"/>
          <w:lang w:val="pt-BR"/>
        </w:rPr>
        <w:t>REGISTRO DE PREÇOS</w:t>
      </w:r>
    </w:p>
    <w:p>
      <w:pPr>
        <w:pStyle w:val="BodyTextIndent"/>
        <w:widowControl w:val="false"/>
        <w:overflowPunct w:val="false"/>
        <w:spacing w:lineRule="auto" w:line="240"/>
        <w:jc w:val="center"/>
        <w:rPr>
          <w:sz w:val="20"/>
          <w:szCs w:val="20"/>
          <w:lang w:val="pt-BR"/>
        </w:rPr>
      </w:pPr>
      <w:r>
        <w:rPr>
          <w:sz w:val="20"/>
          <w:szCs w:val="20"/>
          <w:lang w:val="pt-BR"/>
        </w:rPr>
      </w:r>
    </w:p>
    <w:p>
      <w:pPr>
        <w:pStyle w:val="BodyTextIndent"/>
        <w:widowControl w:val="false"/>
        <w:overflowPunct w:val="fals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false"/>
        <w:spacing w:lineRule="auto" w:line="240"/>
        <w:jc w:val="center"/>
        <w:rPr>
          <w:sz w:val="20"/>
          <w:szCs w:val="20"/>
          <w:lang w:val="pt-BR"/>
        </w:rPr>
      </w:pPr>
      <w:r>
        <w:rPr>
          <w:sz w:val="20"/>
          <w:szCs w:val="20"/>
          <w:lang w:val="pt-BR"/>
        </w:rPr>
      </w:r>
    </w:p>
    <w:p>
      <w:pPr>
        <w:pStyle w:val="BodyTextIndent"/>
        <w:widowControl w:val="false"/>
        <w:shd w:val="clear" w:color="auto" w:fill="DDDDDD"/>
        <w:overflowPunct w:val="false"/>
        <w:spacing w:lineRule="auto" w:line="240"/>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9"/>
        </w:numPr>
        <w:tabs>
          <w:tab w:val="clear" w:pos="709"/>
          <w:tab w:val="left" w:pos="284" w:leader="none"/>
        </w:tabs>
        <w:overflowPunct w:val="fals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92.053/2026</w:t>
      </w:r>
    </w:p>
    <w:p>
      <w:pPr>
        <w:pStyle w:val="BodyTextIndent"/>
        <w:widowControl w:val="false"/>
        <w:numPr>
          <w:ilvl w:val="0"/>
          <w:numId w:val="9"/>
        </w:numPr>
        <w:tabs>
          <w:tab w:val="clear" w:pos="709"/>
          <w:tab w:val="left" w:pos="284" w:leader="none"/>
        </w:tabs>
        <w:overflowPunct w:val="fals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30</w:t>
      </w:r>
      <w:r>
        <w:rPr>
          <w:b/>
          <w:sz w:val="20"/>
          <w:szCs w:val="20"/>
          <w:lang w:val="pt-BR"/>
        </w:rPr>
        <w:t>/</w:t>
      </w:r>
      <w:r>
        <w:rPr>
          <w:b/>
          <w:sz w:val="20"/>
          <w:szCs w:val="20"/>
          <w:lang w:val="pt-BR"/>
        </w:rPr>
        <w:t>06</w:t>
      </w:r>
      <w:r>
        <w:rPr>
          <w:b/>
          <w:sz w:val="20"/>
          <w:szCs w:val="20"/>
          <w:lang w:val="pt-BR"/>
        </w:rPr>
        <w:t>/</w:t>
      </w:r>
      <w:r>
        <w:rPr>
          <w:b/>
          <w:sz w:val="20"/>
          <w:szCs w:val="20"/>
          <w:lang w:val="pt-BR"/>
        </w:rPr>
        <w:t>2026</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9"/>
        </w:numPr>
        <w:tabs>
          <w:tab w:val="clear" w:pos="709"/>
          <w:tab w:val="left" w:pos="284" w:leader="none"/>
        </w:tabs>
        <w:overflowPunct w:val="fals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30</w:t>
      </w:r>
      <w:r>
        <w:rPr>
          <w:b/>
          <w:sz w:val="20"/>
          <w:szCs w:val="20"/>
          <w:lang w:val="pt-BR"/>
        </w:rPr>
        <w:t>/</w:t>
      </w:r>
      <w:r>
        <w:rPr>
          <w:b/>
          <w:sz w:val="20"/>
          <w:szCs w:val="20"/>
          <w:lang w:val="pt-BR"/>
        </w:rPr>
        <w:t>06</w:t>
      </w:r>
      <w:r>
        <w:rPr>
          <w:b/>
          <w:sz w:val="20"/>
          <w:szCs w:val="20"/>
          <w:lang w:val="pt-BR"/>
        </w:rPr>
        <w:t>/</w:t>
      </w:r>
      <w:r>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9"/>
        </w:numPr>
        <w:tabs>
          <w:tab w:val="clear" w:pos="709"/>
          <w:tab w:val="left" w:pos="284" w:leader="none"/>
        </w:tabs>
        <w:overflowPunct w:val="fals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false"/>
        <w:spacing w:lineRule="auto" w:line="240"/>
        <w:ind w:firstLine="561"/>
        <w:jc w:val="left"/>
        <w:rPr>
          <w:b/>
          <w:bCs/>
          <w:sz w:val="20"/>
          <w:szCs w:val="20"/>
          <w:highlight w:val="yellow"/>
          <w:lang w:val="pt-BR"/>
        </w:rPr>
      </w:pPr>
      <w:r>
        <w:rPr>
          <w:b/>
          <w:bCs/>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7"/>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Registro de Preços para Fornecimento Parcelado de Vergalhões, Pregos e Telas de Aço</w:t>
      </w:r>
    </w:p>
    <w:p>
      <w:pPr>
        <w:pStyle w:val="Normal"/>
        <w:numPr>
          <w:ilvl w:val="0"/>
          <w:numId w:val="18"/>
        </w:numPr>
        <w:tabs>
          <w:tab w:val="clear" w:pos="709"/>
          <w:tab w:val="left" w:pos="284" w:leader="none"/>
        </w:tabs>
        <w:jc w:val="both"/>
        <w:rPr>
          <w:rFonts w:ascii="Arial" w:hAnsi="Arial" w:cs="Arial"/>
        </w:rPr>
      </w:pPr>
      <w:r>
        <w:rPr>
          <w:rFonts w:cs="Arial" w:ascii="Arial" w:hAnsi="Arial"/>
        </w:rPr>
        <w:t xml:space="preserve">Unidade Requisitante: </w:t>
      </w:r>
      <w:r>
        <w:rPr>
          <w:rFonts w:cs="Arial" w:ascii="Arial" w:hAnsi="Arial"/>
          <w:b/>
        </w:rPr>
        <w:t>SECRETARIA MUNICIPAL DE OBRAS, INFRAESTRUTURA E SERVIÇOS PÚBLICOS</w:t>
      </w:r>
    </w:p>
    <w:p>
      <w:pPr>
        <w:pStyle w:val="Normal"/>
        <w:numPr>
          <w:ilvl w:val="0"/>
          <w:numId w:val="19"/>
        </w:numPr>
        <w:tabs>
          <w:tab w:val="clear" w:pos="709"/>
          <w:tab w:val="left" w:pos="284" w:leader="none"/>
        </w:tabs>
        <w:jc w:val="both"/>
        <w:rPr>
          <w:rFonts w:ascii="Arial" w:hAnsi="Arial" w:cs="Arial"/>
        </w:rPr>
      </w:pPr>
      <w:r>
        <w:rPr>
          <w:rFonts w:cs="Arial" w:ascii="Arial" w:hAnsi="Arial"/>
        </w:rPr>
        <w:t>Fonte de recursos: 0101011000</w:t>
      </w:r>
    </w:p>
    <w:p>
      <w:pPr>
        <w:pStyle w:val="Normal"/>
        <w:numPr>
          <w:ilvl w:val="0"/>
          <w:numId w:val="20"/>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R$ 172.659,97 (Cento e setenta e dois mil, seiscentos e cinquenta e nove reais e noventa e sete centavos)</w:t>
      </w:r>
      <w:r>
        <w:rPr>
          <w:rFonts w:cs="Arial" w:ascii="Arial" w:hAnsi="Arial"/>
        </w:rPr>
        <w:t>.</w:t>
      </w:r>
    </w:p>
    <w:p>
      <w:pPr>
        <w:pStyle w:val="Normal"/>
        <w:numPr>
          <w:ilvl w:val="0"/>
          <w:numId w:val="21"/>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10"/>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10"/>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10"/>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numPr>
          <w:ilvl w:val="0"/>
          <w:numId w:val="10"/>
        </w:numPr>
        <w:tabs>
          <w:tab w:val="clear" w:pos="709"/>
          <w:tab w:val="left" w:pos="284" w:leader="none"/>
        </w:tabs>
        <w:jc w:val="both"/>
        <w:rPr>
          <w:rFonts w:ascii="Arial" w:hAnsi="Arial" w:cs="Arial"/>
          <w:b/>
        </w:rPr>
      </w:pPr>
      <w:r>
        <w:rPr>
          <w:rFonts w:cs="Arial" w:ascii="Arial" w:hAnsi="Arial"/>
          <w:b/>
          <w:bCs/>
        </w:rPr>
        <w:t>São reservados a Microempresas e Empresas de Pequeno Porte os itens 02 a 25.</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22"/>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23"/>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24"/>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a </w:t>
      </w:r>
      <w:r>
        <w:rPr>
          <w:rFonts w:cs="Arial" w:ascii="Arial" w:hAnsi="Arial"/>
          <w:b/>
        </w:rPr>
        <w:t xml:space="preserve">marca e prazo de validade </w:t>
      </w:r>
      <w:r>
        <w:rPr>
          <w:rFonts w:cs="Arial" w:ascii="Arial" w:hAnsi="Arial"/>
        </w:rPr>
        <w:t>dos produtos cotados, sendo admitida apenas uma marca por item.</w:t>
      </w:r>
    </w:p>
    <w:p>
      <w:pPr>
        <w:pStyle w:val="Normal"/>
        <w:numPr>
          <w:ilvl w:val="0"/>
          <w:numId w:val="25"/>
        </w:numPr>
        <w:tabs>
          <w:tab w:val="clear" w:pos="709"/>
          <w:tab w:val="left" w:pos="284" w:leader="none"/>
        </w:tabs>
        <w:jc w:val="both"/>
        <w:rPr>
          <w:rFonts w:ascii="Arial" w:hAnsi="Arial" w:cs="Arial"/>
        </w:rPr>
      </w:pP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Normal"/>
        <w:numPr>
          <w:ilvl w:val="1"/>
          <w:numId w:val="26"/>
        </w:numPr>
        <w:tabs>
          <w:tab w:val="clear" w:pos="709"/>
          <w:tab w:val="left" w:pos="284" w:leader="none"/>
        </w:tabs>
        <w:jc w:val="both"/>
        <w:rPr>
          <w:rFonts w:ascii="Arial" w:hAnsi="Arial" w:cs="Arial"/>
        </w:rPr>
      </w:pPr>
      <w:r>
        <w:rPr>
          <w:rFonts w:cs="Arial" w:ascii="Arial" w:hAnsi="Arial"/>
        </w:rPr>
        <w:t>Catálogos técnicos contendo o descritivo/folder/foto do produto ofertado, comprovando as especificações técnicas exigidas no edital.</w:t>
      </w:r>
    </w:p>
    <w:p>
      <w:pPr>
        <w:pStyle w:val="Normal"/>
        <w:numPr>
          <w:ilvl w:val="0"/>
          <w:numId w:val="27"/>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COTA PRINCIPAL</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75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Tela alambrado Simples fio 12 BWG (2,77mm) rolo 20 metros comprimento x 2,00 de altura, malha 3” polegadas.</w:t>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eastAsia="Arial" w:cs="Arial"/>
          <w:b/>
        </w:rPr>
      </w:pPr>
      <w:r>
        <w:rPr>
          <w:rFonts w:eastAsia="Arial" w:cs="Arial" w:ascii="Arial" w:hAnsi="Arial"/>
          <w:b/>
        </w:rPr>
        <w:t>ITENS EXCLUSIVOS ME/EPP</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02</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5</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Tela Galvanizada Artística Ondulada malha ¾ Fio 14 BWG – 2,10mm, 2,00 metros de altura x 30 metros de comprimento.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03</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50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Tela de aço CA 60 – fio bitola 4.2mm, espaçamento 10 cm x 10 cm, na dimensões 2,00 x 3,00 metros.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04</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Arame galvanizado fio 12 BWG (2,77m), rolo de 1kg, aprox. 20 mts de comprimento.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05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Arame galvanizado, bitola BWG 14 - 2,10mm, divididos em 1 kilo cada.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06</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100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Arame galvanizado, bitola BWG 16 - 1,65mm, divididos em 1 kilo cada.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07</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60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Arame recozido duplo trançado, bitola 18 – 1,24mm, divididos em 1 kilo cada.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08</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60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Arame recozido, bitola 18 – 1,24 mm, divididos em 1 kilo cada.</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09</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Vergalhão aço CA 60, bitola 5 mm, barra com 12 metros.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10</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100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Vergalhão aço CA 50, bitola 8 mm, barra com 12 metros.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11</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350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Vergalhão aço CA 50, bitola 10mm, barra com 12 metros.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12</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70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Vergalhão aço CA 50, bitola 12,5mm, barra com 12 metros.</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13</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12 x 12 sem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14</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15 x 15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15 x 21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16</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17 x 21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17</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20</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18 x 27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18</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18 x 30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19</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10</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19 x 36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20</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10</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20 x 30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21</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22 x 42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22</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22 x 48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23</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25 x 72 com cabeça possui corpo liso, cabeça cônica e axadrezada e ponta tipo diamante.</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24</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Kg</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color w:val="000000"/>
              </w:rPr>
              <w:t>Prego de aço 24 x 60 com cabeça possui corpo liso, cabeça cônica e axadrezada e ponta tipo diamante.</w:t>
            </w:r>
          </w:p>
        </w:tc>
      </w:tr>
    </w:tbl>
    <w:p>
      <w:pPr>
        <w:pStyle w:val="Normal"/>
        <w:tabs>
          <w:tab w:val="clear" w:pos="709"/>
          <w:tab w:val="left" w:pos="3888" w:leader="none"/>
        </w:tabs>
        <w:jc w:val="both"/>
        <w:rPr>
          <w:rFonts w:ascii="Arial" w:hAnsi="Arial" w:eastAsia="Arial" w:cs="Arial"/>
          <w:sz w:val="10"/>
          <w:szCs w:val="10"/>
        </w:rPr>
      </w:pPr>
      <w:r>
        <w:rPr>
          <w:rFonts w:eastAsia="Arial" w:cs="Arial" w:ascii="Arial" w:hAnsi="Arial"/>
        </w:rPr>
        <w:tab/>
      </w:r>
    </w:p>
    <w:p>
      <w:pPr>
        <w:pStyle w:val="Normal"/>
        <w:tabs>
          <w:tab w:val="clear" w:pos="709"/>
          <w:tab w:val="left" w:pos="284" w:leader="none"/>
        </w:tabs>
        <w:jc w:val="center"/>
        <w:rPr>
          <w:rFonts w:ascii="Arial" w:hAnsi="Arial" w:eastAsia="Arial" w:cs="Arial"/>
          <w:b/>
          <w:bCs/>
        </w:rPr>
      </w:pPr>
      <w:r>
        <w:rPr>
          <w:rFonts w:cs="Arial" w:ascii="Arial" w:hAnsi="Arial"/>
          <w:b/>
          <w:bCs/>
        </w:rPr>
        <w:t>COTA RESERVADA ME/EPP</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rPr>
            </w:pPr>
            <w:r>
              <w:rPr>
                <w:rFonts w:cs="Arial" w:ascii="Arial" w:hAnsi="Arial"/>
                <w:b/>
                <w:color w:val="000000"/>
              </w:rPr>
              <w:t>25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rPr>
                <w:rFonts w:ascii="Arial" w:hAnsi="Arial" w:cs="Arial"/>
              </w:rPr>
            </w:pPr>
            <w:r>
              <w:rPr>
                <w:rFonts w:cs="Arial" w:ascii="Arial" w:hAnsi="Arial"/>
                <w:color w:val="000000"/>
              </w:rPr>
              <w:t>Tela alambrado Simples fio 12 BWG (2,77mm) rolo 20 metros comprimento x 2,00 de altura, malha 3” polegadas.</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ind w:left="720"/>
        <w:jc w:val="both"/>
        <w:rPr>
          <w:rFonts w:ascii="Arial" w:hAnsi="Arial" w:cs="Arial"/>
        </w:rPr>
      </w:pPr>
      <w:r>
        <w:rPr>
          <w:rFonts w:cs="Arial" w:ascii="Arial" w:hAnsi="Arial"/>
        </w:rPr>
      </w:r>
    </w:p>
    <w:p>
      <w:pPr>
        <w:pStyle w:val="Normal"/>
        <w:shd w:val="clear" w:color="auto" w:fill="CCCCCC"/>
        <w:ind w:firstLine="567"/>
        <w:rPr>
          <w:rFonts w:ascii="Arial" w:hAnsi="Arial" w:cs="Arial"/>
        </w:rPr>
      </w:pPr>
      <w:r>
        <w:rPr>
          <w:rFonts w:cs="Arial" w:ascii="Arial" w:hAnsi="Arial"/>
          <w:b/>
          <w:bCs/>
        </w:rPr>
        <w:t>5. DA EMBALAGEM:</w:t>
      </w:r>
    </w:p>
    <w:p>
      <w:pPr>
        <w:pStyle w:val="Normal"/>
        <w:numPr>
          <w:ilvl w:val="0"/>
          <w:numId w:val="28"/>
        </w:numPr>
        <w:tabs>
          <w:tab w:val="clear" w:pos="709"/>
          <w:tab w:val="left" w:pos="284" w:leader="none"/>
        </w:tabs>
        <w:jc w:val="both"/>
        <w:rPr>
          <w:rFonts w:ascii="Arial" w:hAnsi="Arial" w:cs="Arial"/>
        </w:rPr>
      </w:pP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rPr>
          <w:rFonts w:ascii="Arial" w:hAnsi="Arial" w:cs="Arial"/>
        </w:rPr>
      </w:pPr>
      <w:r>
        <w:rPr>
          <w:rFonts w:cs="Arial" w:ascii="Arial" w:hAnsi="Arial"/>
          <w:b/>
          <w:bCs/>
        </w:rPr>
        <w:t>6. DA ENTREGA:</w:t>
      </w:r>
    </w:p>
    <w:p>
      <w:pPr>
        <w:pStyle w:val="Normal"/>
        <w:numPr>
          <w:ilvl w:val="0"/>
          <w:numId w:val="29"/>
        </w:numPr>
        <w:tabs>
          <w:tab w:val="clear" w:pos="709"/>
          <w:tab w:val="left" w:pos="284" w:leader="none"/>
        </w:tabs>
        <w:jc w:val="both"/>
        <w:rPr>
          <w:rFonts w:ascii="Arial" w:hAnsi="Arial" w:cs="Arial"/>
          <w:lang w:eastAsia="pt-BR"/>
        </w:rPr>
      </w:pPr>
      <w:r>
        <w:rPr>
          <w:rFonts w:cs="Arial" w:ascii="Arial" w:hAnsi="Arial"/>
          <w:lang w:eastAsia="pt-BR"/>
        </w:rPr>
        <w:t xml:space="preserve">Prazo de entrega: até o </w:t>
      </w:r>
      <w:r>
        <w:rPr>
          <w:rFonts w:cs="Arial" w:ascii="Arial" w:hAnsi="Arial"/>
          <w:b/>
          <w:lang w:eastAsia="pt-BR"/>
        </w:rPr>
        <w:t>máximo de 15 (quinze) dias úteis</w:t>
      </w:r>
      <w:r>
        <w:rPr>
          <w:rFonts w:cs="Arial" w:ascii="Arial" w:hAnsi="Arial"/>
          <w:lang w:eastAsia="pt-BR"/>
        </w:rPr>
        <w:t>, a contar da Ordem de Fornecimento, emitida pela Unidade Requisitante.</w:t>
      </w:r>
    </w:p>
    <w:p>
      <w:pPr>
        <w:pStyle w:val="Normal"/>
        <w:numPr>
          <w:ilvl w:val="0"/>
          <w:numId w:val="30"/>
        </w:numPr>
        <w:tabs>
          <w:tab w:val="clear" w:pos="709"/>
          <w:tab w:val="left" w:pos="284" w:leader="none"/>
        </w:tabs>
        <w:jc w:val="both"/>
        <w:rPr>
          <w:rFonts w:ascii="Arial" w:hAnsi="Arial" w:cs="Arial"/>
        </w:rPr>
      </w:pPr>
      <w:r>
        <w:rPr>
          <w:rFonts w:cs="Arial" w:ascii="Arial" w:hAnsi="Arial"/>
          <w:lang w:eastAsia="pt-BR"/>
        </w:rPr>
        <w:t xml:space="preserve">Local de entrega: </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ListParagraph"/>
        <w:numPr>
          <w:ilvl w:val="0"/>
          <w:numId w:val="15"/>
        </w:numPr>
        <w:tabs>
          <w:tab w:val="clear" w:pos="709"/>
          <w:tab w:val="left" w:pos="284" w:leader="none"/>
        </w:tabs>
        <w:spacing w:before="0" w:after="0"/>
        <w:ind w:hanging="357" w:left="1003"/>
        <w:jc w:val="both"/>
        <w:rPr>
          <w:rFonts w:ascii="Arial" w:hAnsi="Arial" w:cs="Arial"/>
          <w:b/>
          <w:sz w:val="20"/>
          <w:lang w:eastAsia="pt-BR"/>
        </w:rPr>
      </w:pPr>
      <w:r>
        <w:rPr>
          <w:rFonts w:cs="Arial" w:ascii="Arial" w:hAnsi="Arial"/>
          <w:b/>
          <w:sz w:val="20"/>
          <w:lang w:eastAsia="pt-BR"/>
        </w:rPr>
        <w:t>No perímetro do município de Piracicaba, conforme Ordem de Fornecimento;</w:t>
      </w:r>
    </w:p>
    <w:p>
      <w:pPr>
        <w:pStyle w:val="ListParagraph"/>
        <w:numPr>
          <w:ilvl w:val="0"/>
          <w:numId w:val="15"/>
        </w:numPr>
        <w:tabs>
          <w:tab w:val="clear" w:pos="709"/>
          <w:tab w:val="left" w:pos="284" w:leader="none"/>
        </w:tabs>
        <w:spacing w:before="0" w:after="0"/>
        <w:ind w:hanging="357" w:left="1003"/>
        <w:jc w:val="both"/>
        <w:rPr>
          <w:rFonts w:ascii="Arial" w:hAnsi="Arial" w:cs="Arial"/>
          <w:b/>
          <w:sz w:val="20"/>
          <w:lang w:eastAsia="pt-BR"/>
        </w:rPr>
      </w:pPr>
      <w:r>
        <w:rPr>
          <w:rFonts w:cs="Arial" w:ascii="Arial" w:hAnsi="Arial"/>
          <w:b/>
          <w:sz w:val="20"/>
          <w:lang w:eastAsia="pt-BR"/>
        </w:rPr>
        <w:t>Horários de entrega: das segundas às sextas, das 08:00 às 10:00 e das 13:00 às 15:00.</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tabs>
          <w:tab w:val="clear" w:pos="709"/>
          <w:tab w:val="left" w:pos="284" w:leader="none"/>
        </w:tabs>
        <w:jc w:val="both"/>
        <w:rPr>
          <w:rFonts w:ascii="Arial" w:hAnsi="Arial" w:cs="Arial"/>
        </w:rPr>
      </w:pPr>
      <w:r>
        <w:rPr>
          <w:rFonts w:cs="Arial" w:ascii="Arial" w:hAnsi="Arial"/>
        </w:rPr>
      </w:r>
    </w:p>
    <w:p>
      <w:pPr>
        <w:pStyle w:val="Normal"/>
        <w:keepLines/>
        <w:numPr>
          <w:ilvl w:val="0"/>
          <w:numId w:val="31"/>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 em espaço físico específico a ser indicado por servidor designado pela Contratante no ato da entrega.</w:t>
      </w:r>
    </w:p>
    <w:p>
      <w:pPr>
        <w:pStyle w:val="Normal"/>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7. DA GARANTIA</w:t>
      </w:r>
      <w:r>
        <w:rPr>
          <w:rFonts w:eastAsia="Arial" w:cs="Arial" w:ascii="Arial" w:hAnsi="Arial"/>
          <w:b/>
          <w:color w:val="000000"/>
        </w:rPr>
        <w:t>:</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A garantia deverá ser de </w:t>
      </w:r>
      <w:r>
        <w:rPr>
          <w:rFonts w:cs="Arial" w:ascii="Arial" w:hAnsi="Arial"/>
          <w:b/>
        </w:rPr>
        <w:t>no mínimo 90 (noventa) dias</w:t>
      </w:r>
      <w:r>
        <w:rPr>
          <w:rFonts w:cs="Arial" w:ascii="Arial" w:hAnsi="Arial"/>
        </w:rPr>
        <w:t>, contados da data de recebimento.</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Durante a vigência da garantia, a contratada deverá substituir, sem nenhum ônus adicional, produtos defeituosos ou com desgaste anormal, no </w:t>
      </w:r>
      <w:r>
        <w:rPr>
          <w:rFonts w:cs="Arial" w:ascii="Arial" w:hAnsi="Arial"/>
          <w:b/>
        </w:rPr>
        <w:t>prazo máximo de 10 (dez) dias úteis</w:t>
      </w:r>
      <w:r>
        <w:rPr>
          <w:rFonts w:cs="Arial" w:ascii="Arial" w:hAnsi="Arial"/>
        </w:rPr>
        <w:t>, a contar da notificação.</w:t>
      </w:r>
    </w:p>
    <w:p>
      <w:pPr>
        <w:pStyle w:val="Normal"/>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32"/>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33"/>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34"/>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35"/>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36"/>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3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38"/>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39"/>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40"/>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41"/>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42"/>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43"/>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44"/>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45"/>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46"/>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4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4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4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50"/>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51"/>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52"/>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 xml:space="preserve">Piracicaba, </w:t>
      </w:r>
      <w:r>
        <w:rPr>
          <w:rFonts w:cs="Arial" w:ascii="Arial" w:hAnsi="Arial"/>
        </w:rPr>
        <w:t>15 de junho de 2026</w:t>
      </w:r>
    </w:p>
    <w:p>
      <w:pPr>
        <w:pStyle w:val="Normal"/>
        <w:jc w:val="center"/>
        <w:rPr>
          <w:rFonts w:ascii="Arial" w:hAnsi="Arial" w:cs="Arial"/>
        </w:rPr>
      </w:pPr>
      <w:r>
        <w:rPr>
          <w:rFonts w:cs="Arial" w:ascii="Arial" w:hAnsi="Arial"/>
        </w:rPr>
      </w:r>
    </w:p>
    <w:p>
      <w:pPr>
        <w:pStyle w:val="Normal"/>
        <w:ind w:firstLine="561"/>
        <w:jc w:val="center"/>
        <w:rPr>
          <w:rFonts w:ascii="Arial" w:hAnsi="Arial" w:cs="Arial"/>
          <w:b/>
          <w:kern w:val="2"/>
        </w:rPr>
      </w:pPr>
      <w:r>
        <w:rPr>
          <w:rFonts w:cs="Arial" w:ascii="Arial" w:hAnsi="Arial"/>
          <w:b/>
          <w:kern w:val="2"/>
        </w:rPr>
        <w:t xml:space="preserve">Priscila Camargo Rodrigues Grecchi </w:t>
      </w:r>
    </w:p>
    <w:p>
      <w:pPr>
        <w:pStyle w:val="Normal"/>
        <w:ind w:firstLine="561"/>
        <w:jc w:val="center"/>
        <w:rPr>
          <w:rFonts w:ascii="Arial" w:hAnsi="Arial" w:cs="Arial"/>
          <w:b/>
          <w:kern w:val="2"/>
        </w:rPr>
      </w:pPr>
      <w:r>
        <w:rPr>
          <w:rFonts w:cs="Arial" w:ascii="Arial" w:hAnsi="Arial"/>
          <w:b/>
          <w:kern w:val="2"/>
        </w:rPr>
        <w:t>Chefe de Divisão</w:t>
      </w:r>
      <w:r>
        <w:br w:type="page"/>
      </w:r>
    </w:p>
    <w:p>
      <w:pPr>
        <w:pStyle w:val="Heading2"/>
        <w:numPr>
          <w:ilvl w:val="1"/>
          <w:numId w:val="1"/>
        </w:numPr>
        <w:tabs>
          <w:tab w:val="clear" w:pos="709"/>
        </w:tabs>
        <w:spacing w:before="0" w:after="0"/>
        <w:ind w:hanging="0" w:lef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szCs w:val="22"/>
        </w:rPr>
      </w:pPr>
      <w:r>
        <w:rPr>
          <w:rFonts w:cs="Arial" w:ascii="Arial" w:hAnsi="Arial"/>
          <w:sz w:val="22"/>
          <w:szCs w:val="22"/>
        </w:rPr>
        <w:t>Pregão Eletrônico – Registro de Preços – Aquisições</w:t>
      </w:r>
    </w:p>
    <w:p>
      <w:pPr>
        <w:pStyle w:val="Normal"/>
        <w:jc w:val="center"/>
        <w:rPr>
          <w:rFonts w:ascii="Arial" w:hAnsi="Arial" w:cs="Arial"/>
        </w:rPr>
      </w:pPr>
      <w:r>
        <w:rPr>
          <w:rFonts w:cs="Arial" w:ascii="Arial" w:hAnsi="Arial"/>
        </w:rPr>
        <w:tab/>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color w:val="00B050"/>
        </w:rPr>
      </w:pPr>
      <w:r>
        <w:rPr>
          <w:rFonts w:cs="Arial" w:ascii="Arial" w:hAnsi="Arial"/>
          <w:strike/>
          <w:color w:val="00B050"/>
        </w:rPr>
      </w:r>
    </w:p>
    <w:p>
      <w:pPr>
        <w:pStyle w:val="Normal"/>
        <w:ind w:firstLine="284"/>
        <w:jc w:val="both"/>
        <w:rPr>
          <w:rFonts w:ascii="Arial" w:hAnsi="Arial" w:cs="Arial"/>
          <w:b/>
          <w:bCs/>
        </w:rPr>
      </w:pPr>
      <w:r>
        <w:rPr>
          <w:rFonts w:cs="Arial" w:ascii="Arial" w:hAnsi="Arial"/>
          <w:b/>
          <w:bCs/>
        </w:rPr>
        <w:t>5.2. Itens e/ou lotes reservados para ME/EPP, poderão participar exclusivamente empresas que comprovem a classificação de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tabs>
          <w:tab w:val="clear" w:pos="709"/>
          <w:tab w:val="left" w:pos="735"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Heading9"/>
        <w:numPr>
          <w:ilvl w:val="8"/>
          <w:numId w:val="1"/>
        </w:numPr>
        <w:ind w:firstLine="284" w:left="0"/>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false"/>
        <w:spacing w:lineRule="auto" w:line="240"/>
        <w:ind w:firstLine="284"/>
        <w:textAlignment w:val="auto"/>
        <w:rPr>
          <w:sz w:val="20"/>
          <w:szCs w:val="20"/>
          <w:lang w:val="pt-BR"/>
        </w:rPr>
      </w:pPr>
      <w:r>
        <w:rPr>
          <w:sz w:val="20"/>
          <w:szCs w:val="20"/>
          <w:lang w:val="pt-BR"/>
        </w:rPr>
      </w:r>
    </w:p>
    <w:p>
      <w:pPr>
        <w:pStyle w:val="BodyTextIndent"/>
        <w:overflowPunct w:val="false"/>
        <w:spacing w:lineRule="auto" w:line="240"/>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lang w:val="pt-BR"/>
        </w:rPr>
      </w:pPr>
      <w:r>
        <w:rPr>
          <w:b/>
          <w:bCs/>
          <w:sz w:val="20"/>
          <w:szCs w:val="20"/>
        </w:rPr>
        <w:t>7.3.</w:t>
      </w:r>
      <w:r>
        <w:rPr>
          <w:sz w:val="20"/>
          <w:szCs w:val="20"/>
        </w:rPr>
        <w:t xml:space="preserve"> No caso de desconexão do </w:t>
      </w:r>
      <w:r>
        <w:rPr>
          <w:color w:val="auto"/>
          <w:sz w:val="20"/>
          <w:szCs w:val="20"/>
          <w:lang w:val="pt-BR"/>
        </w:rPr>
        <w:t>Agente de Contratação</w:t>
      </w:r>
      <w:r>
        <w:rPr>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sz w:val="20"/>
          <w:szCs w:val="20"/>
        </w:rPr>
        <w:t>, quando possível, sua atuação no certame sem prejuízo dos demais atos já praticados</w:t>
      </w:r>
      <w:r>
        <w:rPr>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overflowPunct w:val="fals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rFonts w:ascii="Arial" w:hAnsi="Arial" w:cs="Arial"/>
          <w:b/>
          <w:bCs/>
        </w:rPr>
      </w:pPr>
      <w:r>
        <w:rPr>
          <w:rFonts w:cs="Arial" w:ascii="Arial" w:hAnsi="Arial"/>
          <w:b/>
          <w:bCs/>
        </w:rPr>
      </w:r>
    </w:p>
    <w:p>
      <w:pPr>
        <w:pStyle w:val="Normal"/>
        <w:ind w:firstLine="284"/>
        <w:rPr>
          <w:rFonts w:ascii="Arial" w:hAnsi="Arial" w:cs="Arial"/>
          <w:b/>
          <w:bCs/>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t>8.8.2.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sz w:val="10"/>
          <w:szCs w:val="10"/>
          <w:highlight w:val="yellow"/>
        </w:rPr>
      </w:pPr>
      <w:r>
        <w:rPr>
          <w:rFonts w:cs="Arial" w:ascii="Arial" w:hAnsi="Arial"/>
          <w:sz w:val="10"/>
          <w:szCs w:val="10"/>
          <w:highlight w:val="yellow"/>
        </w:rPr>
      </w:r>
    </w:p>
    <w:p>
      <w:pPr>
        <w:pStyle w:val="Normal"/>
        <w:ind w:firstLine="284"/>
        <w:rPr>
          <w:rFonts w:ascii="Arial" w:hAnsi="Arial" w:cs="Arial"/>
          <w:sz w:val="10"/>
          <w:szCs w:val="10"/>
          <w:highlight w:val="yellow"/>
        </w:rPr>
      </w:pPr>
      <w:r>
        <w:rPr>
          <w:rFonts w:cs="Arial" w:ascii="Arial" w:hAnsi="Arial"/>
          <w:sz w:val="10"/>
          <w:szCs w:val="10"/>
          <w:highlight w:val="yellow"/>
        </w:rPr>
      </w:r>
    </w:p>
    <w:p>
      <w:pPr>
        <w:pStyle w:val="Heading8"/>
        <w:numPr>
          <w:ilvl w:val="7"/>
          <w:numId w:val="53"/>
        </w:numPr>
        <w:ind w:firstLine="284" w:left="0"/>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spacing w:lineRule="auto" w:line="240"/>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highlight w:val="yellow"/>
        </w:rPr>
      </w:pPr>
      <w:r>
        <w:rPr>
          <w:rFonts w:cs="Arial" w:ascii="Arial" w:hAnsi="Arial"/>
          <w:color w:val="00B050"/>
        </w:rPr>
        <w:t xml:space="preserve"> </w:t>
      </w:r>
    </w:p>
    <w:p>
      <w:pPr>
        <w:pStyle w:val="Heading8"/>
        <w:numPr>
          <w:ilvl w:val="7"/>
          <w:numId w:val="54"/>
        </w:numPr>
        <w:ind w:firstLine="284" w:left="0"/>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55"/>
        </w:numPr>
        <w:ind w:firstLine="284" w:lef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56"/>
        </w:numPr>
        <w:ind w:firstLine="284" w:left="0"/>
        <w:jc w:val="both"/>
        <w:rPr>
          <w:rFonts w:ascii="Arial" w:hAnsi="Arial" w:cs="Arial"/>
        </w:rPr>
      </w:pPr>
      <w:r>
        <w:rPr>
          <w:rFonts w:cs="Arial" w:ascii="Arial" w:hAnsi="Arial"/>
        </w:rPr>
      </w:r>
    </w:p>
    <w:p>
      <w:pPr>
        <w:pStyle w:val="Normal"/>
        <w:numPr>
          <w:ilvl w:val="0"/>
          <w:numId w:val="57"/>
        </w:numPr>
        <w:ind w:firstLine="284" w:left="0"/>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58"/>
        </w:numPr>
        <w:ind w:firstLine="284" w:left="0"/>
        <w:jc w:val="both"/>
        <w:rPr>
          <w:rFonts w:ascii="Arial" w:hAnsi="Arial" w:cs="Arial"/>
        </w:rPr>
      </w:pPr>
      <w:r>
        <w:rPr>
          <w:rFonts w:cs="Arial" w:ascii="Arial" w:hAnsi="Arial"/>
        </w:rPr>
      </w:r>
    </w:p>
    <w:p>
      <w:pPr>
        <w:pStyle w:val="Normal"/>
        <w:numPr>
          <w:ilvl w:val="0"/>
          <w:numId w:val="59"/>
        </w:numPr>
        <w:tabs>
          <w:tab w:val="clear" w:pos="709"/>
        </w:tabs>
        <w:ind w:firstLine="284" w:left="0"/>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60"/>
        </w:numPr>
        <w:ind w:firstLine="284" w:left="0"/>
        <w:jc w:val="both"/>
        <w:rPr>
          <w:rFonts w:ascii="Arial" w:hAnsi="Arial" w:cs="Arial"/>
        </w:rPr>
      </w:pPr>
      <w:r>
        <w:rPr>
          <w:rFonts w:cs="Arial" w:ascii="Arial" w:hAnsi="Arial"/>
        </w:rPr>
      </w:r>
    </w:p>
    <w:p>
      <w:pPr>
        <w:pStyle w:val="Normal"/>
        <w:numPr>
          <w:ilvl w:val="0"/>
          <w:numId w:val="61"/>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62"/>
        </w:numPr>
        <w:ind w:firstLine="284" w:left="0"/>
        <w:jc w:val="both"/>
        <w:rPr>
          <w:rFonts w:ascii="Arial" w:hAnsi="Arial" w:cs="Arial"/>
        </w:rPr>
      </w:pPr>
      <w:r>
        <w:rPr>
          <w:rFonts w:cs="Arial" w:ascii="Arial" w:hAnsi="Arial"/>
        </w:rPr>
      </w:r>
    </w:p>
    <w:p>
      <w:pPr>
        <w:pStyle w:val="Normal"/>
        <w:numPr>
          <w:ilvl w:val="0"/>
          <w:numId w:val="63"/>
        </w:numPr>
        <w:ind w:firstLine="284" w:left="0"/>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64"/>
        </w:numPr>
        <w:ind w:firstLine="284" w:left="0"/>
        <w:jc w:val="both"/>
        <w:rPr>
          <w:rFonts w:ascii="Arial" w:hAnsi="Arial" w:cs="Arial"/>
        </w:rPr>
      </w:pPr>
      <w:r>
        <w:rPr>
          <w:rFonts w:cs="Arial" w:ascii="Arial" w:hAnsi="Arial"/>
        </w:rPr>
      </w:r>
    </w:p>
    <w:p>
      <w:pPr>
        <w:pStyle w:val="Normal"/>
        <w:numPr>
          <w:ilvl w:val="0"/>
          <w:numId w:val="65"/>
        </w:numPr>
        <w:ind w:firstLine="284" w:left="0"/>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66"/>
        </w:numPr>
        <w:ind w:firstLine="284" w:left="0"/>
        <w:jc w:val="both"/>
        <w:rPr>
          <w:rFonts w:ascii="Arial" w:hAnsi="Arial" w:cs="Arial"/>
        </w:rPr>
      </w:pPr>
      <w:r>
        <w:rPr>
          <w:rFonts w:cs="Arial" w:ascii="Arial" w:hAnsi="Arial"/>
        </w:rPr>
      </w:r>
    </w:p>
    <w:p>
      <w:pPr>
        <w:pStyle w:val="BodyText"/>
        <w:numPr>
          <w:ilvl w:val="0"/>
          <w:numId w:val="67"/>
        </w:numPr>
        <w:ind w:firstLine="284" w:lef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ind w:firstLine="284"/>
        <w:rPr>
          <w:sz w:val="20"/>
          <w:szCs w:val="20"/>
          <w:highlight w:val="yellow"/>
        </w:rPr>
      </w:pPr>
      <w:r>
        <w:rPr>
          <w:sz w:val="20"/>
          <w:szCs w:val="20"/>
          <w:highlight w:val="yellow"/>
        </w:rPr>
      </w:r>
    </w:p>
    <w:p>
      <w:pPr>
        <w:pStyle w:val="BodyText"/>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BodyText"/>
        <w:ind w:firstLine="284"/>
        <w:rPr>
          <w:sz w:val="20"/>
          <w:szCs w:val="20"/>
          <w:highlight w:val="yellow"/>
        </w:rPr>
      </w:pPr>
      <w:r>
        <w:rPr>
          <w:sz w:val="20"/>
          <w:szCs w:val="20"/>
          <w:highlight w:val="yellow"/>
        </w:rPr>
      </w:r>
    </w:p>
    <w:p>
      <w:pPr>
        <w:pStyle w:val="BodyText"/>
        <w:numPr>
          <w:ilvl w:val="0"/>
          <w:numId w:val="68"/>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szCs w:val="20"/>
          <w:lang w:val="pt-BR"/>
        </w:rPr>
        <w:t>Agente de Contratação</w:t>
      </w:r>
      <w:r>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pPr>
        <w:pStyle w:val="BodyText"/>
        <w:ind w:firstLine="284"/>
        <w:rPr>
          <w:b/>
          <w:bCs/>
          <w:sz w:val="20"/>
          <w:lang w:val="pt-BR"/>
        </w:rPr>
      </w:pPr>
      <w:r>
        <w:rPr>
          <w:b/>
          <w:bCs/>
          <w:sz w:val="20"/>
          <w:lang w:val="pt-BR"/>
        </w:rPr>
      </w:r>
    </w:p>
    <w:p>
      <w:pPr>
        <w:pStyle w:val="BodyText"/>
        <w:ind w:firstLine="284"/>
        <w:rPr>
          <w:sz w:val="18"/>
          <w:szCs w:val="20"/>
          <w:lang w:val="pt-BR"/>
        </w:rPr>
      </w:pPr>
      <w:r>
        <w:rPr>
          <w:b/>
          <w:bCs/>
          <w:sz w:val="20"/>
          <w:lang w:val="pt-BR"/>
        </w:rPr>
        <w:t>1</w:t>
      </w:r>
      <w:r>
        <w:rPr>
          <w:b/>
          <w:bCs/>
          <w:sz w:val="20"/>
        </w:rPr>
        <w:t>0.</w:t>
      </w:r>
      <w:r>
        <w:rPr>
          <w:b/>
          <w:bCs/>
          <w:sz w:val="20"/>
          <w:lang w:val="pt-BR"/>
        </w:rPr>
        <w:t>11</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pPr>
        <w:pStyle w:val="BodyText"/>
        <w:numPr>
          <w:ilvl w:val="0"/>
          <w:numId w:val="69"/>
        </w:numPr>
        <w:ind w:firstLine="284" w:left="0"/>
        <w:rPr>
          <w:sz w:val="20"/>
          <w:szCs w:val="20"/>
        </w:rPr>
      </w:pPr>
      <w:r>
        <w:rPr>
          <w:sz w:val="20"/>
          <w:szCs w:val="20"/>
        </w:rPr>
      </w:r>
    </w:p>
    <w:p>
      <w:pPr>
        <w:pStyle w:val="BodyText"/>
        <w:numPr>
          <w:ilvl w:val="0"/>
          <w:numId w:val="70"/>
        </w:numPr>
        <w:tabs>
          <w:tab w:val="clear" w:pos="709"/>
          <w:tab w:val="left" w:pos="284" w:leader="none"/>
        </w:tabs>
        <w:ind w:firstLine="284" w:left="0"/>
        <w:rPr>
          <w:sz w:val="20"/>
          <w:szCs w:val="20"/>
          <w:highlight w:val="yellow"/>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szCs w:val="20"/>
          <w:lang w:val="pt-BR"/>
        </w:rPr>
        <w:t>Agente de Contratação</w:t>
      </w:r>
      <w:r>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Pr>
          <w:sz w:val="20"/>
          <w:szCs w:val="20"/>
          <w:lang w:val="pt-BR"/>
        </w:rPr>
        <w:t>Agente de Contratação</w:t>
      </w:r>
      <w:r>
        <w:rPr>
          <w:sz w:val="20"/>
          <w:szCs w:val="20"/>
        </w:rPr>
        <w:t xml:space="preserve"> poderá negociar com a licitante para que seja obtido menor preço</w:t>
      </w:r>
      <w:r>
        <w:rPr>
          <w:sz w:val="20"/>
          <w:szCs w:val="20"/>
          <w:highlight w:val="yellow"/>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b/>
          <w:bCs/>
          <w:sz w:val="20"/>
          <w:szCs w:val="20"/>
          <w:lang w:val="pt-BR"/>
        </w:rPr>
        <w:t>10.13.</w:t>
      </w:r>
      <w:r>
        <w:rPr>
          <w:sz w:val="20"/>
          <w:szCs w:val="20"/>
          <w:lang w:val="pt-BR"/>
        </w:rPr>
        <w:t xml:space="preserve"> Nos pregões por cota, caso a mesma licitante vença a cota reservada e a cota principal de um mesmo item, a contratação deverá ocorrer pelo menor preço ofertado.</w:t>
      </w:r>
    </w:p>
    <w:p>
      <w:pPr>
        <w:pStyle w:val="BodyText"/>
        <w:ind w:firstLine="284"/>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u w:val="single"/>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themeColor="text1" w:val="000000"/>
        </w:rPr>
        <w:t xml:space="preserve">XVI do art. 92 da Lei n° 14.133 </w:t>
      </w:r>
      <w:r>
        <w:rPr>
          <w:rFonts w:cs="Arial" w:ascii="Arial" w:hAnsi="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kern w:val="2"/>
        </w:rPr>
      </w:pPr>
      <w:r>
        <w:rPr>
          <w:rFonts w:cs="Arial" w:ascii="Arial" w:hAnsi="Arial"/>
          <w:kern w:val="2"/>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r>
        <w:br w:type="page"/>
      </w:r>
    </w:p>
    <w:p>
      <w:pPr>
        <w:pStyle w:val="BodyTextIndent"/>
        <w:widowControl w:val="false"/>
        <w:tabs>
          <w:tab w:val="clear" w:pos="709"/>
          <w:tab w:val="left" w:pos="284" w:leader="none"/>
        </w:tabs>
        <w:overflowPunct w:val="false"/>
        <w:spacing w:lineRule="auto" w:line="24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4"/>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9"/>
        <w:gridCol w:w="850"/>
        <w:gridCol w:w="4536"/>
        <w:gridCol w:w="1416"/>
        <w:gridCol w:w="1701"/>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Unid.</w:t>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kern w:val="2"/>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false"/>
        <w:spacing w:lineRule="auto" w:line="240"/>
        <w:jc w:val="center"/>
        <w:rPr>
          <w:color w:val="auto"/>
          <w:sz w:val="20"/>
          <w:szCs w:val="20"/>
        </w:rPr>
      </w:pPr>
      <w:r>
        <w:rPr>
          <w:color w:val="auto"/>
          <w:sz w:val="20"/>
          <w:szCs w:val="20"/>
        </w:rPr>
      </w:r>
      <w:r>
        <w:br w:type="page"/>
      </w:r>
    </w:p>
    <w:p>
      <w:pPr>
        <w:pStyle w:val="BodyTextIndent"/>
        <w:widowControl w:val="false"/>
        <w:overflowPunct w:val="false"/>
        <w:spacing w:lineRule="auto" w:line="240"/>
        <w:jc w:val="center"/>
        <w:rPr>
          <w:b/>
          <w:bCs/>
          <w:sz w:val="20"/>
          <w:szCs w:val="20"/>
          <w:shd w:fill="FFFFFF" w:val="clear"/>
          <w:lang w:val="pt-BR"/>
        </w:rPr>
      </w:pPr>
      <w:r>
        <w:rPr>
          <w:b/>
          <w:sz w:val="20"/>
          <w:szCs w:val="20"/>
        </w:rPr>
        <w:t>ANEXO V</w:t>
      </w:r>
    </w:p>
    <w:p>
      <w:pPr>
        <w:pStyle w:val="Normal"/>
        <w:jc w:val="center"/>
        <w:rPr>
          <w:rFonts w:ascii="Arial" w:hAnsi="Arial" w:cs="Arial"/>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Cs/>
        </w:rPr>
      </w:pPr>
      <w:r>
        <w:rPr>
          <w:rFonts w:cs="Arial" w:ascii="Arial" w:hAnsi="Arial"/>
          <w:color w:val="000000"/>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Normal"/>
        <w:ind w:firstLine="284"/>
        <w:jc w:val="center"/>
        <w:rPr>
          <w:rFonts w:ascii="Arial" w:hAnsi="Arial" w:cs="Arial"/>
          <w:b/>
        </w:rPr>
      </w:pPr>
      <w:r>
        <w:rPr>
          <w:rFonts w:cs="Arial" w:ascii="Arial" w:hAnsi="Arial"/>
          <w:b/>
        </w:rPr>
        <w:t>ATA DE REGISTRO DE PREÇOS Nº 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PREGÃO ELETRÔNICO Nº ____/____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PROCESSO Nº ____/____</w:t>
      </w:r>
    </w:p>
    <w:p>
      <w:pPr>
        <w:pStyle w:val="Normal"/>
        <w:spacing w:before="240" w:after="0"/>
        <w:ind w:firstLine="284"/>
        <w:jc w:val="center"/>
        <w:rPr>
          <w:rFonts w:ascii="Arial" w:hAnsi="Arial" w:cs="Arial"/>
          <w:b/>
        </w:rPr>
      </w:pPr>
      <w:r>
        <w:rPr>
          <w:rFonts w:cs="Arial" w:ascii="Arial" w:hAnsi="Arial"/>
          <w:b/>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false"/>
        <w:spacing w:lineRule="auto" w:line="240"/>
        <w:rPr>
          <w:b/>
          <w:bCs/>
          <w:sz w:val="20"/>
          <w:szCs w:val="20"/>
        </w:rPr>
      </w:pPr>
      <w:r>
        <w:rPr>
          <w:b/>
          <w:bCs/>
          <w:sz w:val="20"/>
          <w:szCs w:val="20"/>
        </w:rPr>
      </w:r>
      <w:r>
        <w:br w:type="page"/>
      </w:r>
    </w:p>
    <w:p>
      <w:pPr>
        <w:pStyle w:val="Normal"/>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9833" w:type="dxa"/>
        <w:jc w:val="left"/>
        <w:tblInd w:w="1" w:type="dxa"/>
        <w:tblLayout w:type="fixed"/>
        <w:tblCellMar>
          <w:top w:w="0" w:type="dxa"/>
          <w:left w:w="2" w:type="dxa"/>
          <w:bottom w:w="0" w:type="dxa"/>
          <w:right w:w="0" w:type="dxa"/>
        </w:tblCellMar>
        <w:tblLook w:firstRow="1" w:noVBand="1" w:lastRow="0" w:firstColumn="1" w:lastColumn="0" w:noHBand="0" w:val="04a0"/>
      </w:tblPr>
      <w:tblGrid>
        <w:gridCol w:w="765"/>
        <w:gridCol w:w="890"/>
        <w:gridCol w:w="1078"/>
        <w:gridCol w:w="4938"/>
        <w:gridCol w:w="2162"/>
      </w:tblGrid>
      <w:tr>
        <w:trPr/>
        <w:tc>
          <w:tcPr>
            <w:tcW w:w="765" w:type="dxa"/>
            <w:tcBorders>
              <w:top w:val="single" w:sz="2" w:space="0" w:color="000000"/>
              <w:lef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Item</w:t>
            </w:r>
          </w:p>
        </w:tc>
        <w:tc>
          <w:tcPr>
            <w:tcW w:w="890" w:type="dxa"/>
            <w:tcBorders>
              <w:top w:val="single" w:sz="2" w:space="0" w:color="000000"/>
              <w:lef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Quant</w:t>
            </w:r>
          </w:p>
        </w:tc>
        <w:tc>
          <w:tcPr>
            <w:tcW w:w="1078" w:type="dxa"/>
            <w:tcBorders>
              <w:top w:val="single" w:sz="2" w:space="0" w:color="000000"/>
              <w:lef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Unids</w:t>
            </w:r>
          </w:p>
        </w:tc>
        <w:tc>
          <w:tcPr>
            <w:tcW w:w="4938" w:type="dxa"/>
            <w:tcBorders>
              <w:top w:val="single" w:sz="2" w:space="0" w:color="000000"/>
              <w:left w:val="single" w:sz="2" w:space="0" w:color="000000"/>
              <w:bottom w:val="single" w:sz="2" w:space="0" w:color="000000"/>
              <w:right w:val="single" w:sz="4" w:space="0" w:color="000000"/>
            </w:tcBorders>
            <w:shd w:color="auto" w:fill="DDDDDD" w:val="clear"/>
          </w:tcPr>
          <w:p>
            <w:pPr>
              <w:pStyle w:val="Contedodatabelauser"/>
              <w:jc w:val="center"/>
              <w:rPr>
                <w:rFonts w:ascii="Arial" w:hAnsi="Arial" w:cs="Arial"/>
                <w:b/>
              </w:rPr>
            </w:pPr>
            <w:r>
              <w:rPr>
                <w:rFonts w:cs="Arial" w:ascii="Arial" w:hAnsi="Arial"/>
                <w:b/>
              </w:rPr>
              <w:t>Descritivo</w:t>
            </w:r>
          </w:p>
        </w:tc>
        <w:tc>
          <w:tcPr>
            <w:tcW w:w="2162" w:type="dxa"/>
            <w:tcBorders>
              <w:top w:val="single" w:sz="4" w:space="0" w:color="000000"/>
              <w:left w:val="single" w:sz="4" w:space="0" w:color="000000"/>
              <w:bottom w:val="single" w:sz="4" w:space="0" w:color="000000"/>
              <w:right w:val="single" w:sz="4" w:space="0" w:color="000000"/>
            </w:tcBorders>
            <w:shd w:color="auto" w:fill="DDDDDD" w:val="clear"/>
          </w:tcPr>
          <w:p>
            <w:pPr>
              <w:pStyle w:val="Contedodatabelauser"/>
              <w:jc w:val="center"/>
              <w:rPr>
                <w:rFonts w:ascii="Arial" w:hAnsi="Arial" w:cs="Arial"/>
              </w:rPr>
            </w:pPr>
            <w:r>
              <w:rPr>
                <w:rFonts w:cs="Arial" w:ascii="Arial" w:hAnsi="Arial"/>
                <w:b/>
              </w:rPr>
              <w:t>Preço unitário</w:t>
            </w:r>
          </w:p>
        </w:tc>
      </w:tr>
      <w:tr>
        <w:trPr/>
        <w:tc>
          <w:tcPr>
            <w:tcW w:w="765" w:type="dxa"/>
            <w:tcBorders>
              <w:left w:val="single" w:sz="2" w:space="0" w:color="000000"/>
              <w:bottom w:val="single" w:sz="2" w:space="0" w:color="000000"/>
            </w:tcBorders>
          </w:tcPr>
          <w:p>
            <w:pPr>
              <w:pStyle w:val="Normal"/>
              <w:snapToGrid w:val="false"/>
              <w:jc w:val="center"/>
              <w:rPr>
                <w:rFonts w:ascii="Arial" w:hAnsi="Arial" w:cs="Arial"/>
                <w:kern w:val="2"/>
              </w:rPr>
            </w:pPr>
            <w:r>
              <w:rPr>
                <w:rFonts w:cs="Arial" w:ascii="Arial" w:hAnsi="Arial"/>
                <w:kern w:val="2"/>
              </w:rPr>
            </w:r>
          </w:p>
        </w:tc>
        <w:tc>
          <w:tcPr>
            <w:tcW w:w="890" w:type="dxa"/>
            <w:tcBorders>
              <w:left w:val="single" w:sz="2" w:space="0" w:color="000000"/>
              <w:bottom w:val="single" w:sz="2" w:space="0" w:color="000000"/>
            </w:tcBorders>
            <w:vAlign w:val="center"/>
          </w:tcPr>
          <w:p>
            <w:pPr>
              <w:pStyle w:val="Normal"/>
              <w:snapToGrid w:val="false"/>
              <w:jc w:val="center"/>
              <w:rPr>
                <w:rFonts w:ascii="Arial" w:hAnsi="Arial" w:cs="Arial"/>
                <w:kern w:val="2"/>
              </w:rPr>
            </w:pPr>
            <w:r>
              <w:rPr>
                <w:rFonts w:cs="Arial" w:ascii="Arial" w:hAnsi="Arial"/>
                <w:kern w:val="2"/>
              </w:rPr>
            </w:r>
          </w:p>
        </w:tc>
        <w:tc>
          <w:tcPr>
            <w:tcW w:w="1078" w:type="dxa"/>
            <w:tcBorders>
              <w:left w:val="single" w:sz="2" w:space="0" w:color="000000"/>
              <w:bottom w:val="single" w:sz="2" w:space="0" w:color="000000"/>
            </w:tcBorders>
            <w:vAlign w:val="center"/>
          </w:tcPr>
          <w:p>
            <w:pPr>
              <w:pStyle w:val="Normal"/>
              <w:snapToGrid w:val="false"/>
              <w:jc w:val="center"/>
              <w:rPr>
                <w:rFonts w:ascii="Arial" w:hAnsi="Arial" w:cs="Arial"/>
                <w:kern w:val="2"/>
              </w:rPr>
            </w:pPr>
            <w:r>
              <w:rPr>
                <w:rFonts w:cs="Arial" w:ascii="Arial" w:hAnsi="Arial"/>
                <w:kern w:val="2"/>
              </w:rPr>
            </w:r>
          </w:p>
        </w:tc>
        <w:tc>
          <w:tcPr>
            <w:tcW w:w="4938" w:type="dxa"/>
            <w:tcBorders>
              <w:left w:val="single" w:sz="2" w:space="0" w:color="000000"/>
              <w:bottom w:val="single" w:sz="2" w:space="0" w:color="000000"/>
              <w:right w:val="single" w:sz="4" w:space="0" w:color="000000"/>
            </w:tcBorders>
            <w:vAlign w:val="center"/>
          </w:tcPr>
          <w:p>
            <w:pPr>
              <w:pStyle w:val="Normal"/>
              <w:snapToGrid w:val="false"/>
              <w:jc w:val="both"/>
              <w:rPr>
                <w:rFonts w:ascii="Arial" w:hAnsi="Arial" w:cs="Arial"/>
                <w:color w:val="000000"/>
                <w:kern w:val="2"/>
              </w:rPr>
            </w:pPr>
            <w:r>
              <w:rPr>
                <w:rFonts w:cs="Arial" w:ascii="Arial" w:hAnsi="Arial"/>
                <w:color w:val="000000"/>
                <w:kern w:val="2"/>
              </w:rPr>
            </w:r>
          </w:p>
        </w:tc>
        <w:tc>
          <w:tcPr>
            <w:tcW w:w="2162" w:type="dxa"/>
            <w:tcBorders>
              <w:top w:val="single" w:sz="4" w:space="0" w:color="000000"/>
              <w:left w:val="single" w:sz="4" w:space="0" w:color="000000"/>
              <w:bottom w:val="single" w:sz="4" w:space="0" w:color="000000"/>
              <w:right w:val="single" w:sz="4" w:space="0" w:color="000000"/>
            </w:tcBorders>
          </w:tcPr>
          <w:p>
            <w:pPr>
              <w:pStyle w:val="Normal"/>
              <w:snapToGrid w:val="false"/>
              <w:ind w:firstLine="284"/>
              <w:jc w:val="both"/>
              <w:rPr>
                <w:rFonts w:ascii="Arial" w:hAnsi="Arial" w:cs="Arial"/>
                <w:color w:val="000000"/>
                <w:kern w:val="2"/>
              </w:rPr>
            </w:pPr>
            <w:r>
              <w:rPr>
                <w:rFonts w:cs="Arial" w:ascii="Arial" w:hAnsi="Arial"/>
                <w:color w:val="000000"/>
                <w:kern w:val="2"/>
              </w:rPr>
            </w:r>
          </w:p>
        </w:tc>
      </w:tr>
    </w:tbl>
    <w:p>
      <w:pPr>
        <w:pStyle w:val="Normal"/>
        <w:widowControl w:val="false"/>
        <w:ind w:firstLine="284"/>
        <w:jc w:val="center"/>
        <w:rPr>
          <w:rFonts w:ascii="Arial" w:hAnsi="Arial" w:cs="Arial"/>
          <w:b/>
          <w:kern w:val="2"/>
          <w:u w:val="single"/>
        </w:rPr>
      </w:pPr>
      <w:r>
        <w:rPr>
          <w:rFonts w:cs="Arial" w:ascii="Arial" w:hAnsi="Arial"/>
          <w:b/>
          <w:kern w:val="2"/>
          <w:u w:val="single"/>
        </w:rPr>
      </w:r>
      <w:r>
        <w:br w:type="page"/>
      </w:r>
    </w:p>
    <w:p>
      <w:pPr>
        <w:pStyle w:val="BodyTextIndent"/>
        <w:widowControl w:val="false"/>
        <w:overflowPunct w:val="false"/>
        <w:spacing w:lineRule="auto" w:line="240"/>
        <w:jc w:val="center"/>
        <w:rPr>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Cs/>
        </w:rPr>
      </w:pPr>
      <w:r>
        <w:rPr>
          <w:rFonts w:cs="Arial" w:ascii="Arial" w:hAnsi="Arial"/>
          <w:color w:val="000000"/>
        </w:rPr>
        <w:t>====================================================================================</w:t>
      </w:r>
    </w:p>
    <w:p>
      <w:pPr>
        <w:pStyle w:val="Normal"/>
        <w:jc w:val="center"/>
        <w:rPr>
          <w:rFonts w:ascii="Arial" w:hAnsi="Arial" w:cs="Arial"/>
          <w:color w:val="000000"/>
        </w:rPr>
      </w:pPr>
      <w:r>
        <w:rPr>
          <w:rFonts w:cs="Arial" w:ascii="Arial" w:hAnsi="Arial"/>
          <w:b/>
          <w:bCs/>
        </w:rPr>
        <w:t>MINUTA DE CONTRATO</w:t>
      </w:r>
    </w:p>
    <w:p>
      <w:pPr>
        <w:pStyle w:val="Normal"/>
        <w:jc w:val="center"/>
        <w:rPr>
          <w:rFonts w:ascii="Arial" w:hAnsi="Arial" w:cs="Arial"/>
          <w:b/>
          <w:bCs/>
        </w:rPr>
      </w:pPr>
      <w:r>
        <w:rPr>
          <w:rFonts w:cs="Arial" w:ascii="Arial" w:hAnsi="Arial"/>
          <w:color w:val="000000"/>
        </w:rPr>
        <w:t>====================================================================================</w:t>
      </w:r>
    </w:p>
    <w:p>
      <w:pPr>
        <w:pStyle w:val="Normal"/>
        <w:jc w:val="both"/>
        <w:rPr>
          <w:rFonts w:ascii="Arial" w:hAnsi="Arial" w:cs="Arial"/>
          <w:b/>
          <w:u w:val="single"/>
        </w:rPr>
      </w:pPr>
      <w:r>
        <w:rPr>
          <w:rFonts w:cs="Arial" w:ascii="Arial" w:hAnsi="Arial"/>
          <w:b/>
          <w:u w:val="single"/>
        </w:rPr>
        <w:t>CONTRATO QUE ENTRE SI FAZEM A PREFEITURA DO MUNICÍPIO DE PIRACICABA E ................................................, PARA O FORNECIMENTO PARCELADO DE VERGALHÕES, PREGOS E TELAS DE AÇO.</w:t>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rPr>
      </w:pPr>
      <w:r>
        <w:rPr>
          <w:rFonts w:cs="Arial" w:ascii="Arial" w:hAnsi="Arial"/>
          <w:b/>
        </w:rPr>
        <w:t>Data: ... de ................. de 202..</w:t>
      </w:r>
    </w:p>
    <w:p>
      <w:pPr>
        <w:pStyle w:val="Normal"/>
        <w:jc w:val="both"/>
        <w:rPr>
          <w:rFonts w:ascii="Arial" w:hAnsi="Arial" w:cs="Arial"/>
          <w:b/>
        </w:rPr>
      </w:pPr>
      <w:r>
        <w:rPr>
          <w:rFonts w:cs="Arial" w:ascii="Arial" w:hAnsi="Arial"/>
          <w:b/>
        </w:rPr>
        <w:t>Prazo: até ... de ................. de 202..</w:t>
      </w:r>
    </w:p>
    <w:p>
      <w:pPr>
        <w:pStyle w:val="Normal"/>
        <w:jc w:val="both"/>
        <w:rPr>
          <w:rFonts w:ascii="Arial" w:hAnsi="Arial" w:cs="Arial"/>
          <w:b/>
        </w:rPr>
      </w:pPr>
      <w:r>
        <w:rPr>
          <w:rFonts w:cs="Arial" w:ascii="Arial" w:hAnsi="Arial"/>
          <w:b/>
        </w:rPr>
        <w:t>Valor: R$ ........ (............).</w:t>
      </w:r>
    </w:p>
    <w:p>
      <w:pPr>
        <w:pStyle w:val="Normal"/>
        <w:jc w:val="both"/>
        <w:rPr>
          <w:rFonts w:ascii="Arial" w:hAnsi="Arial" w:cs="Arial"/>
          <w:b/>
        </w:rPr>
      </w:pPr>
      <w:r>
        <w:rPr>
          <w:rFonts w:cs="Arial" w:ascii="Arial" w:hAnsi="Arial"/>
          <w:b/>
        </w:rPr>
        <w:t>Processo Administrativo nº 2026/92.053</w:t>
      </w:r>
    </w:p>
    <w:p>
      <w:pPr>
        <w:pStyle w:val="Normal"/>
        <w:jc w:val="both"/>
        <w:rPr>
          <w:rFonts w:ascii="Arial" w:hAnsi="Arial" w:cs="Arial"/>
          <w:b/>
        </w:rPr>
      </w:pPr>
      <w:r>
        <w:rPr>
          <w:rFonts w:cs="Arial" w:ascii="Arial" w:hAnsi="Arial"/>
          <w:b/>
        </w:rPr>
        <w:t>Pregão Eletrônico n.º ..../2026.</w:t>
      </w:r>
    </w:p>
    <w:p>
      <w:pPr>
        <w:pStyle w:val="Normal"/>
        <w:jc w:val="both"/>
        <w:rPr>
          <w:rFonts w:ascii="Arial" w:hAnsi="Arial" w:cs="Arial"/>
          <w:b/>
        </w:rPr>
      </w:pPr>
      <w:r>
        <w:rPr>
          <w:rFonts w:cs="Arial" w:ascii="Arial" w:hAnsi="Arial"/>
          <w:b/>
        </w:rPr>
        <w:t>Ata de Registro de Preços nº .../2026 (válida até ... de ..................... de 2027, prorrogável).</w:t>
      </w:r>
    </w:p>
    <w:p>
      <w:pPr>
        <w:pStyle w:val="Normal"/>
        <w:jc w:val="both"/>
        <w:rPr>
          <w:rFonts w:ascii="Arial" w:hAnsi="Arial" w:cs="Arial"/>
          <w:b/>
        </w:rPr>
      </w:pPr>
      <w:r>
        <w:rPr>
          <w:rFonts w:cs="Arial" w:ascii="Arial" w:hAnsi="Arial"/>
          <w:b/>
        </w:rPr>
        <w:t>Contrato n.º …./2026.</w:t>
      </w:r>
    </w:p>
    <w:p>
      <w:pPr>
        <w:pStyle w:val="Normal"/>
        <w:jc w:val="both"/>
        <w:rPr>
          <w:rFonts w:ascii="Arial" w:hAnsi="Arial" w:cs="Arial"/>
        </w:rPr>
      </w:pPr>
      <w:r>
        <w:rPr>
          <w:rFonts w:cs="Arial" w:ascii="Arial" w:hAnsi="Arial"/>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bookmarkStart w:id="16" w:name="_GoBack"/>
      <w:bookmarkStart w:id="17" w:name="_GoBack"/>
      <w:bookmarkEnd w:id="17"/>
    </w:p>
    <w:p>
      <w:pPr>
        <w:pStyle w:val="Normal"/>
        <w:ind w:firstLine="851"/>
        <w:jc w:val="both"/>
        <w:rPr>
          <w:rFonts w:ascii="Arial" w:hAnsi="Arial" w:cs="Arial"/>
          <w:b/>
          <w:strike/>
        </w:rPr>
      </w:pPr>
      <w:r>
        <w:rPr>
          <w:rFonts w:cs="Arial" w:ascii="Arial" w:hAnsi="Arial"/>
          <w:b/>
          <w:strike/>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1ª - DAS PARTES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w:t>
      </w:r>
      <w:r>
        <w:rPr>
          <w:rFonts w:cs="Arial" w:ascii="Arial" w:hAnsi="Arial"/>
        </w:rPr>
        <w:t xml:space="preserve"> A </w:t>
      </w:r>
      <w:r>
        <w:rPr>
          <w:rFonts w:cs="Arial" w:ascii="Arial" w:hAnsi="Arial"/>
          <w:b/>
        </w:rPr>
        <w:t>PREFEITURA DO MUNICÍPIO DE PIRACICABA</w:t>
      </w:r>
      <w:r>
        <w:rPr>
          <w:rFonts w:cs="Arial" w:ascii="Arial" w:hAnsi="Arial"/>
        </w:rPr>
        <w:t>, com sede à Rua Antônio Corrêa Barbosa, n.º 2.233, bairro Chácara Nazareth, nesta cidade e Estado, com CNPJ n.º 46.341.038/0001-29, representada pelo Secretário Municipal de Obras, Infraestrutura e Serviços Públicos</w:t>
      </w:r>
      <w:r>
        <w:rPr>
          <w:rFonts w:cs="Arial" w:ascii="Arial" w:hAnsi="Arial"/>
          <w:bCs/>
          <w:shd w:fill="FFFFFF" w:val="clear"/>
        </w:rPr>
        <w:t xml:space="preserve">, Sr. </w:t>
      </w:r>
      <w:r>
        <w:rPr>
          <w:rFonts w:cs="Arial" w:ascii="Arial" w:hAnsi="Arial"/>
          <w:b/>
          <w:bCs/>
          <w:color w:val="000000"/>
          <w:shd w:fill="FFFFFF" w:val="clear"/>
        </w:rPr>
        <w:t>LUCIANO RODOVALDO CELÊNCIO</w:t>
      </w:r>
      <w:r>
        <w:rPr>
          <w:rFonts w:cs="Arial" w:ascii="Arial" w:hAnsi="Arial"/>
          <w:shd w:fill="FFFFFF" w:val="clear"/>
        </w:rPr>
        <w:t>, inscrito no CPF nº .............</w:t>
      </w:r>
      <w:r>
        <w:rPr>
          <w:rFonts w:cs="Arial" w:ascii="Arial" w:hAnsi="Arial"/>
        </w:rPr>
        <w:t xml:space="preserve">, adiante, designada, simplesmente, </w:t>
      </w:r>
      <w:r>
        <w:rPr>
          <w:rFonts w:cs="Arial" w:ascii="Arial" w:hAnsi="Arial"/>
          <w:b/>
        </w:rPr>
        <w:t>CONTRATANTE</w:t>
      </w:r>
      <w:r>
        <w:rPr>
          <w:rFonts w:cs="Arial" w:ascii="Arial" w:hAnsi="Arial"/>
        </w:rPr>
        <w:t xml:space="preserve"> e </w:t>
      </w:r>
      <w:r>
        <w:rPr>
          <w:rFonts w:cs="Arial" w:ascii="Arial" w:hAnsi="Arial"/>
          <w:b/>
        </w:rPr>
        <w:t>..........</w:t>
      </w:r>
      <w:r>
        <w:rPr>
          <w:rFonts w:cs="Arial" w:ascii="Arial" w:hAnsi="Arial"/>
        </w:rPr>
        <w:t xml:space="preserve">, com sede à ........, n.º ......., na cidade de ......., inscrita no CNPJ  n.º ........, por intermédio de seu(sua) ......, Sr(a). .........., (qualificação completa), inscrito(a) no CPF n.º ......., adiante designada simplesmente </w:t>
      </w:r>
      <w:r>
        <w:rPr>
          <w:rFonts w:cs="Arial" w:ascii="Arial" w:hAnsi="Arial"/>
          <w:b/>
        </w:rPr>
        <w:t>CONTRATADA</w:t>
      </w:r>
      <w:r>
        <w:rPr>
          <w:rFonts w:cs="Arial" w:ascii="Arial" w:hAnsi="Arial"/>
        </w:rPr>
        <w:t>, ajustam o que se segue:</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2ª - DO OBJETO</w:t>
            </w:r>
          </w:p>
        </w:tc>
      </w:tr>
    </w:tbl>
    <w:p>
      <w:pPr>
        <w:pStyle w:val="Normal"/>
        <w:ind w:firstLine="851"/>
        <w:jc w:val="both"/>
        <w:rPr>
          <w:rFonts w:ascii="Arial" w:hAnsi="Arial" w:cs="Arial"/>
          <w:b/>
        </w:rPr>
      </w:pPr>
      <w:r>
        <w:rPr>
          <w:rFonts w:cs="Arial" w:ascii="Arial" w:hAnsi="Arial"/>
          <w:b/>
        </w:rPr>
      </w:r>
    </w:p>
    <w:p>
      <w:pPr>
        <w:pStyle w:val="BodyTextIndent"/>
        <w:ind w:firstLine="851"/>
        <w:rPr>
          <w:b/>
          <w:sz w:val="20"/>
          <w:szCs w:val="20"/>
        </w:rPr>
      </w:pPr>
      <w:r>
        <w:rPr>
          <w:sz w:val="20"/>
          <w:szCs w:val="20"/>
        </w:rPr>
        <w:t xml:space="preserve">2.1. </w:t>
      </w:r>
      <w:r>
        <w:rPr>
          <w:sz w:val="20"/>
          <w:szCs w:val="20"/>
          <w:lang w:val="pt-BR"/>
        </w:rPr>
        <w:t>A CONTRATADA se obriga a fornecer o(s) item(ns) ... de vergalhões, pregos e telas de aço conforme descrição detalhada constante do Edital da Ata de Registro de Preços nº .../2026, bem como seu Termo de Referência, o qual fica fazendo parte integrante do presente instrumento</w:t>
      </w:r>
      <w:r>
        <w:rPr>
          <w:sz w:val="20"/>
          <w:szCs w:val="20"/>
        </w:rPr>
        <w:t>.</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3ª - DOS RECURSOS FINANCEIROS</w:t>
            </w:r>
          </w:p>
        </w:tc>
      </w:tr>
    </w:tbl>
    <w:p>
      <w:pPr>
        <w:pStyle w:val="BodyTextIndent"/>
        <w:ind w:firstLine="851" w:left="283"/>
        <w:rPr>
          <w:b/>
          <w:sz w:val="20"/>
          <w:szCs w:val="20"/>
        </w:rPr>
      </w:pPr>
      <w:r>
        <w:rPr>
          <w:b/>
          <w:sz w:val="20"/>
          <w:szCs w:val="20"/>
        </w:rPr>
      </w:r>
    </w:p>
    <w:p>
      <w:pPr>
        <w:pStyle w:val="Normal"/>
        <w:ind w:firstLine="851"/>
        <w:jc w:val="both"/>
        <w:rPr>
          <w:rFonts w:ascii="Arial" w:hAnsi="Arial" w:cs="Arial"/>
        </w:rPr>
      </w:pPr>
      <w:r>
        <w:rPr>
          <w:rFonts w:cs="Arial" w:ascii="Arial" w:hAnsi="Arial"/>
          <w:b/>
        </w:rPr>
        <w:t>3.1.</w:t>
      </w:r>
      <w:r>
        <w:rPr>
          <w:rFonts w:cs="Arial" w:ascii="Arial" w:hAnsi="Arial"/>
        </w:rPr>
        <w:t xml:space="preserve"> A despesa supra será atendida pelas dotações orçamentárias nº </w:t>
      </w:r>
      <w:r>
        <w:rPr>
          <w:rFonts w:cs="Arial" w:ascii="Arial" w:hAnsi="Arial"/>
          <w:shd w:fill="FFFFFF" w:val="clear"/>
        </w:rPr>
        <w:t>.......................</w:t>
      </w:r>
      <w:r>
        <w:rPr>
          <w:rFonts w:cs="Arial" w:ascii="Arial" w:hAnsi="Arial"/>
        </w:rPr>
        <w:t>, constantes do exercício de 202..</w:t>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4ª – DO SUPORTE LEGAL</w:t>
            </w:r>
          </w:p>
        </w:tc>
      </w:tr>
    </w:tbl>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4.1.</w:t>
      </w:r>
      <w:r>
        <w:rPr>
          <w:rFonts w:cs="Arial" w:ascii="Arial" w:hAnsi="Arial"/>
        </w:rPr>
        <w:t xml:space="preserve"> Este contrato é regulado pelos seguintes dispositivos legais:</w:t>
      </w:r>
    </w:p>
    <w:p>
      <w:pPr>
        <w:pStyle w:val="Normal"/>
        <w:keepLines/>
        <w:ind w:firstLine="851"/>
        <w:jc w:val="both"/>
        <w:rPr>
          <w:rFonts w:ascii="Arial" w:hAnsi="Arial" w:cs="Arial"/>
        </w:rPr>
      </w:pPr>
      <w:r>
        <w:rPr>
          <w:rFonts w:cs="Arial" w:ascii="Arial" w:hAnsi="Arial"/>
          <w:b/>
        </w:rPr>
        <w:t>4.1.1.</w:t>
      </w:r>
      <w:r>
        <w:rPr>
          <w:rFonts w:cs="Arial" w:ascii="Arial" w:hAnsi="Arial"/>
        </w:rPr>
        <w:t xml:space="preserve"> Constituição da República Federativa do Brasil;</w:t>
      </w:r>
    </w:p>
    <w:p>
      <w:pPr>
        <w:pStyle w:val="Normal"/>
        <w:keepLines/>
        <w:ind w:firstLine="851"/>
        <w:jc w:val="both"/>
        <w:rPr>
          <w:rFonts w:ascii="Arial" w:hAnsi="Arial" w:cs="Arial"/>
        </w:rPr>
      </w:pPr>
      <w:r>
        <w:rPr>
          <w:rFonts w:cs="Arial" w:ascii="Arial" w:hAnsi="Arial"/>
          <w:b/>
        </w:rPr>
        <w:t>4.1.2.</w:t>
      </w:r>
      <w:r>
        <w:rPr>
          <w:rFonts w:cs="Arial" w:ascii="Arial" w:hAnsi="Arial"/>
        </w:rPr>
        <w:t xml:space="preserve"> Lei Orgânica do Município de Piracicaba;</w:t>
      </w:r>
    </w:p>
    <w:p>
      <w:pPr>
        <w:pStyle w:val="Normal"/>
        <w:keepLines/>
        <w:ind w:firstLine="851"/>
        <w:jc w:val="both"/>
        <w:rPr>
          <w:rFonts w:ascii="Arial" w:hAnsi="Arial" w:cs="Arial"/>
        </w:rPr>
      </w:pPr>
      <w:r>
        <w:rPr>
          <w:rFonts w:cs="Arial" w:ascii="Arial" w:hAnsi="Arial"/>
          <w:b/>
        </w:rPr>
        <w:t>4.1.3.</w:t>
      </w:r>
      <w:r>
        <w:rPr>
          <w:rFonts w:cs="Arial" w:ascii="Arial" w:hAnsi="Arial"/>
        </w:rPr>
        <w:t xml:space="preserve"> Lei Federal nº 14.133, de 01/04/2021;</w:t>
      </w:r>
    </w:p>
    <w:p>
      <w:pPr>
        <w:pStyle w:val="Normal"/>
        <w:keepLines/>
        <w:ind w:firstLine="851"/>
        <w:jc w:val="both"/>
        <w:rPr>
          <w:rFonts w:ascii="Arial" w:hAnsi="Arial" w:cs="Arial"/>
        </w:rPr>
      </w:pPr>
      <w:r>
        <w:rPr>
          <w:rFonts w:cs="Arial" w:ascii="Arial" w:hAnsi="Arial"/>
          <w:b/>
        </w:rPr>
        <w:t>4.1.4.</w:t>
      </w:r>
      <w:r>
        <w:rPr>
          <w:rFonts w:cs="Arial" w:ascii="Arial" w:hAnsi="Arial"/>
        </w:rPr>
        <w:t xml:space="preserve"> Decreto Municipal nº 17.640, de 30/10/2018;</w:t>
      </w:r>
    </w:p>
    <w:p>
      <w:pPr>
        <w:pStyle w:val="Normal"/>
        <w:keepLines/>
        <w:ind w:firstLine="851"/>
        <w:jc w:val="both"/>
        <w:rPr>
          <w:rFonts w:ascii="Arial" w:hAnsi="Arial" w:cs="Arial"/>
        </w:rPr>
      </w:pPr>
      <w:r>
        <w:rPr>
          <w:rFonts w:cs="Arial" w:ascii="Arial" w:hAnsi="Arial"/>
          <w:b/>
        </w:rPr>
        <w:t>4.1.5.</w:t>
      </w:r>
      <w:r>
        <w:rPr>
          <w:rFonts w:cs="Arial" w:ascii="Arial" w:hAnsi="Arial"/>
        </w:rPr>
        <w:t xml:space="preserve"> Demais disposições legais aplicáveis, inclusive subsidiariamente, os princípios gerais de Direito.</w:t>
      </w:r>
    </w:p>
    <w:p>
      <w:pPr>
        <w:pStyle w:val="Normal"/>
        <w:keepLines/>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5ª - DO PREÇO</w:t>
            </w:r>
          </w:p>
        </w:tc>
      </w:tr>
    </w:tbl>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5.1.</w:t>
      </w:r>
      <w:r>
        <w:rPr>
          <w:rFonts w:cs="Arial" w:ascii="Arial" w:hAnsi="Arial"/>
        </w:rPr>
        <w:t xml:space="preserve"> Pela execução do objeto deste contrato, a </w:t>
      </w:r>
      <w:r>
        <w:rPr>
          <w:rFonts w:cs="Arial" w:ascii="Arial" w:hAnsi="Arial"/>
          <w:b/>
        </w:rPr>
        <w:t xml:space="preserve">CONTRATANTE </w:t>
      </w:r>
      <w:r>
        <w:rPr>
          <w:rFonts w:cs="Arial" w:ascii="Arial" w:hAnsi="Arial"/>
        </w:rPr>
        <w:t xml:space="preserve">pagará à </w:t>
      </w:r>
      <w:r>
        <w:rPr>
          <w:rFonts w:cs="Arial" w:ascii="Arial" w:hAnsi="Arial"/>
          <w:b/>
        </w:rPr>
        <w:t xml:space="preserve">CONTRATADA </w:t>
      </w:r>
      <w:r>
        <w:rPr>
          <w:rFonts w:cs="Arial" w:ascii="Arial" w:hAnsi="Arial"/>
        </w:rPr>
        <w:t xml:space="preserve">a importância de </w:t>
      </w:r>
      <w:r>
        <w:rPr>
          <w:rFonts w:cs="Arial" w:ascii="Arial" w:hAnsi="Arial"/>
          <w:b/>
        </w:rPr>
        <w:t>R$      (...)</w:t>
      </w:r>
      <w:r>
        <w:rPr>
          <w:rFonts w:cs="Arial" w:ascii="Arial" w:hAnsi="Arial"/>
        </w:rPr>
        <w:t>, conforme valores apresentados por esta em sua proposta.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5.2.</w:t>
      </w:r>
      <w:r>
        <w:rPr>
          <w:rFonts w:cs="Arial" w:ascii="Arial" w:hAnsi="Arial"/>
        </w:rPr>
        <w:t xml:space="preserve"> Nos preços propostos já estão inclusos, além dos lucros, todas e quaisquer despesas diretas e indiretas, tais como, transportes e combustível, mão-de-obra para a entrega e o descarregamento no local determinado pela </w:t>
      </w:r>
      <w:r>
        <w:rPr>
          <w:rFonts w:cs="Arial" w:ascii="Arial" w:hAnsi="Arial"/>
          <w:b/>
        </w:rPr>
        <w:t>CONTRATANTE</w:t>
      </w:r>
      <w:r>
        <w:rPr>
          <w:rFonts w:cs="Arial" w:ascii="Arial" w:hAnsi="Arial"/>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6ª - DOS PAGAMENTOS</w:t>
            </w:r>
          </w:p>
        </w:tc>
      </w:tr>
    </w:tbl>
    <w:p>
      <w:pPr>
        <w:pStyle w:val="Normal"/>
        <w:ind w:firstLine="851"/>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6.1. </w:t>
      </w:r>
      <w:r>
        <w:rPr>
          <w:rFonts w:cs="Arial" w:ascii="Arial" w:hAnsi="Arial"/>
        </w:rPr>
        <w:t>Anteriormente a realização de pagamentos, a Unidade Requisitante realizará consulta, junto a Secretaria Municipal de Finanças sobre a existência de débitos exigíveis da</w:t>
      </w:r>
      <w:r>
        <w:rPr>
          <w:rFonts w:cs="Arial" w:ascii="Arial" w:hAnsi="Arial"/>
          <w:b/>
        </w:rPr>
        <w:t xml:space="preserve"> CONTRATADA</w:t>
      </w:r>
      <w:r>
        <w:rPr>
          <w:rFonts w:cs="Arial" w:ascii="Arial" w:hAnsi="Arial"/>
        </w:rPr>
        <w:t xml:space="preserve"> com o Município de Piracicaba e caso existam, poderá ser realizada a compensação de valores.</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6.2. </w:t>
      </w:r>
      <w:r>
        <w:rPr>
          <w:rFonts w:cs="Arial" w:ascii="Arial" w:hAnsi="Arial"/>
        </w:rPr>
        <w:t xml:space="preserve">Os pagamentos serão efetuados mediante a apresentação da nota fiscal, acompanhada do atestado de recebimento emitido pela Secretaria Municipal de Obras, Infraestrutura e Serviços Públicos, no prazo de até 15 (quinze) dias úteis, contados da data de recebimento da nota fiscal e depositados no banco e conta corrente indicados pela </w:t>
      </w:r>
      <w:r>
        <w:rPr>
          <w:rFonts w:cs="Arial" w:ascii="Arial" w:hAnsi="Arial"/>
          <w:b/>
        </w:rPr>
        <w:t>CONTRATADA</w:t>
      </w:r>
      <w:r>
        <w:rPr>
          <w:rFonts w:cs="Arial" w:ascii="Arial" w:hAnsi="Arial"/>
        </w:rPr>
        <w:t xml:space="preserve">. </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6.2.1.</w:t>
      </w:r>
      <w:r>
        <w:rPr>
          <w:rFonts w:cs="Arial" w:ascii="Arial" w:hAnsi="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rFonts w:ascii="Arial" w:hAnsi="Arial" w:cs="Arial"/>
          <w:b/>
        </w:rPr>
      </w:pPr>
      <w:r>
        <w:rPr>
          <w:rFonts w:cs="Arial" w:ascii="Arial" w:hAnsi="Arial"/>
        </w:rPr>
        <w:t xml:space="preserve">E-mail para emissão da NF-e: </w:t>
      </w:r>
      <w:hyperlink r:id="rId11">
        <w:r>
          <w:rPr>
            <w:rStyle w:val="Style"/>
            <w:rFonts w:cs="Arial" w:ascii="Arial" w:hAnsi="Arial"/>
            <w:color w:val="0000FF"/>
            <w:u w:val="single"/>
          </w:rPr>
          <w:t>notafiscal@piracicaba.sp.gov.br</w:t>
        </w:r>
      </w:hyperlink>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 </w:t>
      </w:r>
      <w:r>
        <w:rPr>
          <w:rFonts w:cs="Arial" w:ascii="Arial" w:hAnsi="Arial"/>
        </w:rPr>
        <w:t xml:space="preserve">Com a nota fiscal a </w:t>
      </w:r>
      <w:r>
        <w:rPr>
          <w:rFonts w:cs="Arial" w:ascii="Arial" w:hAnsi="Arial"/>
          <w:b/>
        </w:rPr>
        <w:t>CONTRATADA</w:t>
      </w:r>
      <w:r>
        <w:rPr>
          <w:rFonts w:cs="Arial" w:ascii="Arial" w:hAnsi="Arial"/>
        </w:rPr>
        <w:t xml:space="preserve"> deverá apresentar, ainda: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6.3.1. </w:t>
      </w:r>
      <w:r>
        <w:rPr>
          <w:rFonts w:cs="Arial" w:ascii="Arial" w:hAnsi="Arial"/>
        </w:rPr>
        <w:t>Certidão de Regularidade perante a Fazenda Federal (INSS), com validade em vigor;</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6.3.2. </w:t>
      </w:r>
      <w:r>
        <w:rPr>
          <w:rFonts w:cs="Arial" w:ascii="Arial" w:hAnsi="Arial"/>
        </w:rPr>
        <w:t>Certidão de regularidade do FGTS fornecido pela Caixa Econômica Federal, com validade em vigor;</w:t>
      </w:r>
      <w:r>
        <w:rPr>
          <w:rFonts w:cs="Arial" w:ascii="Arial" w:hAnsi="Arial"/>
          <w:b/>
        </w:rPr>
        <w:t xml:space="preserve"> </w:t>
      </w:r>
    </w:p>
    <w:p>
      <w:pPr>
        <w:pStyle w:val="Normal"/>
        <w:ind w:firstLine="850"/>
        <w:jc w:val="both"/>
        <w:rPr>
          <w:rFonts w:ascii="Arial" w:hAnsi="Arial" w:cs="Arial"/>
          <w:b/>
        </w:rPr>
      </w:pPr>
      <w:r>
        <w:rPr>
          <w:rFonts w:cs="Arial" w:ascii="Arial" w:hAnsi="Arial"/>
          <w:b/>
        </w:rPr>
      </w:r>
    </w:p>
    <w:p>
      <w:pPr>
        <w:pStyle w:val="Normal"/>
        <w:keepLines/>
        <w:ind w:firstLine="850"/>
        <w:jc w:val="both"/>
        <w:rPr>
          <w:rFonts w:ascii="Arial" w:hAnsi="Arial" w:cs="Arial"/>
        </w:rPr>
      </w:pPr>
      <w:r>
        <w:rPr>
          <w:rFonts w:cs="Arial" w:ascii="Arial" w:hAnsi="Arial"/>
          <w:b/>
        </w:rPr>
        <w:t>6.3.3.</w:t>
      </w:r>
      <w:r>
        <w:rPr>
          <w:rFonts w:cs="Arial" w:ascii="Arial" w:hAnsi="Arial"/>
        </w:rPr>
        <w:t xml:space="preserve"> Certidão de Regularidade perante a </w:t>
      </w:r>
      <w:r>
        <w:rPr>
          <w:rFonts w:cs="Arial" w:ascii="Arial" w:hAnsi="Arial"/>
          <w:shd w:fill="FFFFFF" w:val="clear"/>
        </w:rPr>
        <w:t>Fazenda Estadual</w:t>
      </w:r>
      <w:r>
        <w:rPr>
          <w:rFonts w:cs="Arial" w:ascii="Arial" w:hAnsi="Arial"/>
        </w:rPr>
        <w:t>, com validade em vigor;</w:t>
      </w:r>
    </w:p>
    <w:p>
      <w:pPr>
        <w:pStyle w:val="Normal"/>
        <w:keepLines/>
        <w:ind w:firstLine="850"/>
        <w:jc w:val="both"/>
        <w:rPr>
          <w:rFonts w:ascii="Arial" w:hAnsi="Arial" w:cs="Arial"/>
        </w:rPr>
      </w:pPr>
      <w:r>
        <w:rPr>
          <w:rFonts w:cs="Arial" w:ascii="Arial" w:hAnsi="Arial"/>
        </w:rPr>
      </w:r>
    </w:p>
    <w:p>
      <w:pPr>
        <w:pStyle w:val="Normal"/>
        <w:keepLines/>
        <w:ind w:firstLine="850"/>
        <w:jc w:val="both"/>
        <w:rPr>
          <w:rFonts w:ascii="Arial" w:hAnsi="Arial" w:cs="Arial"/>
        </w:rPr>
      </w:pPr>
      <w:r>
        <w:rPr>
          <w:rFonts w:cs="Arial" w:ascii="Arial" w:hAnsi="Arial"/>
          <w:b/>
        </w:rPr>
        <w:t>6.3.4.</w:t>
      </w:r>
      <w:r>
        <w:rPr>
          <w:rFonts w:cs="Arial" w:ascii="Arial" w:hAnsi="Arial"/>
        </w:rPr>
        <w:t xml:space="preserve"> Certidão Negativa de Débitos Trabalhistas (CNDT).</w:t>
      </w:r>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6.4. </w:t>
      </w:r>
      <w:r>
        <w:rPr>
          <w:rFonts w:cs="Arial" w:ascii="Arial" w:hAnsi="Arial"/>
        </w:rPr>
        <w:t>Caso o dia do pagamento coincida aos sábados, domingos, feriados ou pontos facultativos, o mesmo será efetuado no primeiro dia útil subsequente, sem qualquer incidência de correção monetária.</w:t>
      </w:r>
    </w:p>
    <w:p>
      <w:pPr>
        <w:pStyle w:val="Normal"/>
        <w:ind w:firstLine="850"/>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6.5.</w:t>
      </w:r>
      <w:r>
        <w:rPr>
          <w:rFonts w:cs="Arial" w:ascii="Arial" w:hAnsi="Arial"/>
        </w:rPr>
        <w:t xml:space="preserve"> Caso a </w:t>
      </w:r>
      <w:r>
        <w:rPr>
          <w:rFonts w:cs="Arial" w:ascii="Arial" w:hAnsi="Arial"/>
          <w:b/>
        </w:rPr>
        <w:t>CONTRATANTE</w:t>
      </w:r>
      <w:r>
        <w:rPr>
          <w:rFonts w:cs="Arial" w:ascii="Arial" w:hAnsi="Arial"/>
        </w:rPr>
        <w:t>, eventualmente, atrase os pagamentos, estes deverão ser corrigidos com base no INPC/IBGE, conforme legislação pertinente.</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7ª - DA FISCALIZAÇÃO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7.1.</w:t>
      </w:r>
      <w:r>
        <w:rPr>
          <w:rFonts w:cs="Arial" w:ascii="Arial" w:hAnsi="Arial"/>
        </w:rPr>
        <w:t xml:space="preserve"> A Secretaria Municipal de Obras, Infraestrutura e Serviços Públicos é o órgão credenciado pela </w:t>
      </w:r>
      <w:r>
        <w:rPr>
          <w:rFonts w:cs="Arial" w:ascii="Arial" w:hAnsi="Arial"/>
          <w:b/>
        </w:rPr>
        <w:t>CONTRATANTE</w:t>
      </w:r>
      <w:r>
        <w:rPr>
          <w:rFonts w:cs="Arial" w:ascii="Arial" w:hAnsi="Arial"/>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rFonts w:ascii="Arial" w:hAnsi="Arial" w:cs="Arial"/>
          <w:b/>
        </w:rPr>
      </w:pPr>
      <w:r>
        <w:rPr>
          <w:rFonts w:cs="Arial" w:ascii="Arial" w:hAnsi="Arial"/>
          <w:b/>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8ª - DO PRAZO DE VIGÊNCIA</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8.1.</w:t>
      </w:r>
      <w:r>
        <w:rPr>
          <w:rFonts w:cs="Arial" w:ascii="Arial" w:hAnsi="Arial"/>
        </w:rPr>
        <w:t xml:space="preserve"> O presente contrato terá vigência até ... de .................... de 202., a contar da data da Ordem de Fornecimento.</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9ª - DA EXTINÇÃO DO CONTRATO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9.1.</w:t>
      </w:r>
      <w:r>
        <w:rPr>
          <w:rFonts w:cs="Arial" w:ascii="Arial" w:hAnsi="Arial"/>
        </w:rPr>
        <w:t xml:space="preserve"> Independentemente de interpelação judicial, o contrato será extinto nas hipóteses previstas no art. 137 da Lei Federal nº 14.133/21 e suas alterações.</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10. - DO RECEBIMENTO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10.1.</w:t>
      </w:r>
      <w:r>
        <w:rPr>
          <w:rFonts w:cs="Arial" w:ascii="Arial" w:hAnsi="Arial"/>
        </w:rPr>
        <w:t xml:space="preserve"> O objeto deste contrato será recebido por servidor a ser designado para o ato do recebimento, da seguinte forma: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10.1.1. </w:t>
      </w:r>
      <w:r>
        <w:rPr>
          <w:rFonts w:cs="Arial" w:ascii="Arial" w:hAnsi="Arial"/>
        </w:rPr>
        <w:t>Provisoriamente, para efeito de posterior verificação da conformidade do objeto com as especificações, no prazo de até 03 (três) dias, a contar da entrega;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 xml:space="preserve">10.1.2. </w:t>
      </w:r>
      <w:r>
        <w:rPr>
          <w:rFonts w:cs="Arial" w:ascii="Arial" w:hAnsi="Arial"/>
        </w:rPr>
        <w:t>Definitivamente, após a verificação da qualidade do objeto e consequente aceitação, no prazo de até 30 (trinta) dias, a contar do recebimento provisório.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10.2. </w:t>
      </w:r>
      <w:r>
        <w:rPr>
          <w:rFonts w:cs="Arial" w:ascii="Arial" w:hAnsi="Arial"/>
        </w:rPr>
        <w:t>O recebimento de que trata este item far-se-á mediante recibo.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10.3.</w:t>
      </w:r>
      <w:r>
        <w:rPr>
          <w:rFonts w:cs="Arial" w:ascii="Arial" w:hAnsi="Arial"/>
        </w:rPr>
        <w:t xml:space="preserve"> Fica facultada à </w:t>
      </w:r>
      <w:r>
        <w:rPr>
          <w:rFonts w:cs="Arial" w:ascii="Arial" w:hAnsi="Arial"/>
          <w:b/>
        </w:rPr>
        <w:t xml:space="preserve">CONTRATADA </w:t>
      </w:r>
      <w:r>
        <w:rPr>
          <w:rFonts w:cs="Arial" w:ascii="Arial" w:hAnsi="Arial"/>
        </w:rPr>
        <w:t xml:space="preserve">a indicação de um representante para, conjuntamente, com o da </w:t>
      </w:r>
      <w:r>
        <w:rPr>
          <w:rFonts w:cs="Arial" w:ascii="Arial" w:hAnsi="Arial"/>
          <w:b/>
        </w:rPr>
        <w:t>CONTRATANTE</w:t>
      </w:r>
      <w:r>
        <w:rPr>
          <w:rFonts w:cs="Arial" w:ascii="Arial" w:hAnsi="Arial"/>
        </w:rPr>
        <w:t>, proceder ao recebimento do objeto do presente contrato.</w:t>
      </w:r>
    </w:p>
    <w:p>
      <w:pPr>
        <w:pStyle w:val="Normal"/>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11. - DAS SANÇÕES ADMINISTRATIVAS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w:t>
      </w:r>
      <w:r>
        <w:rPr>
          <w:rFonts w:cs="Arial" w:ascii="Arial" w:hAnsi="Arial"/>
        </w:rPr>
        <w:t xml:space="preserve"> Comete infração administrativa, nos termos da lei, o licitante que, com dolo ou culpa: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11.1.1.</w:t>
      </w:r>
      <w:r>
        <w:rPr>
          <w:rFonts w:cs="Arial" w:ascii="Arial" w:hAnsi="Arial"/>
        </w:rPr>
        <w:t xml:space="preserve"> Deixar de entregar a documentação exigida para o certame ou não entregar qualquer documento que tenha sido solicitado pelo/a pregoeiro/a durante o certame;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w:t>
      </w:r>
      <w:r>
        <w:rPr>
          <w:rFonts w:cs="Arial" w:ascii="Arial" w:hAnsi="Arial"/>
        </w:rPr>
        <w:t xml:space="preserve"> Salvo em decorrência de fato superveniente devidamente justificado, não mantiver a proposta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11.1.2.1.</w:t>
      </w:r>
      <w:r>
        <w:rPr>
          <w:rFonts w:cs="Arial" w:ascii="Arial" w:hAnsi="Arial"/>
        </w:rPr>
        <w:t xml:space="preserve"> Não enviar a proposta adequada ao último lance ofertado ou após a negociação;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11.1.2.2.</w:t>
      </w:r>
      <w:r>
        <w:rPr>
          <w:rFonts w:cs="Arial" w:ascii="Arial" w:hAnsi="Arial"/>
        </w:rPr>
        <w:t xml:space="preserve"> Recusar-se a enviar o detalhamento da proposta quando exigível;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11.1.2.3.</w:t>
      </w:r>
      <w:r>
        <w:rPr>
          <w:rFonts w:cs="Arial" w:ascii="Arial" w:hAnsi="Arial"/>
        </w:rPr>
        <w:t xml:space="preserve"> Pedir para ser desclassificado quando encerrada a etapa competitiva; </w:t>
      </w:r>
    </w:p>
    <w:p>
      <w:pPr>
        <w:pStyle w:val="Normal"/>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11.1.2.4.</w:t>
      </w:r>
      <w:r>
        <w:rPr>
          <w:rFonts w:cs="Arial" w:ascii="Arial" w:hAnsi="Arial"/>
        </w:rPr>
        <w:t xml:space="preserve"> Deixar de apresentar amostra;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11.1.2.5</w:t>
      </w:r>
      <w:r>
        <w:rPr>
          <w:rFonts w:cs="Arial" w:ascii="Arial" w:hAnsi="Arial"/>
        </w:rPr>
        <w:t xml:space="preserve">. Apresentar proposta ou amostra em desacordo com as especificações do edital;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w:t>
      </w:r>
      <w:r>
        <w:rPr>
          <w:rFonts w:cs="Arial" w:ascii="Arial" w:hAnsi="Arial"/>
        </w:rPr>
        <w:t xml:space="preserve"> Não celebrar o contrato ou não entregar a documentação exigida para a contratação, quando convocado dentro do prazo de validade de sua proposta;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11.1.3.1.</w:t>
      </w:r>
      <w:r>
        <w:rPr>
          <w:rFonts w:cs="Arial" w:ascii="Arial" w:hAnsi="Arial"/>
        </w:rPr>
        <w:t xml:space="preserve"> Recusar-se, sem justificativa, a assinar o contrato ou a ata de registro de preço, ou a aceitar ou retirar o instrumento equivalente no prazo estabelecido pela Administração;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11.1.4.</w:t>
      </w:r>
      <w:r>
        <w:rPr>
          <w:rFonts w:cs="Arial" w:ascii="Arial" w:hAnsi="Arial"/>
        </w:rPr>
        <w:t xml:space="preserve"> Apresentar declaração ou documentação falsa exigida para o certame ou prestar declaração falsa durante a licitação;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11.1.5.</w:t>
      </w:r>
      <w:r>
        <w:rPr>
          <w:rFonts w:cs="Arial" w:ascii="Arial" w:hAnsi="Arial"/>
        </w:rPr>
        <w:t xml:space="preserve"> Fraudar a licitação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11.1.6.</w:t>
      </w:r>
      <w:r>
        <w:rPr>
          <w:rFonts w:cs="Arial" w:ascii="Arial" w:hAnsi="Arial"/>
        </w:rPr>
        <w:t xml:space="preserve"> Comportar-se de modo inidôneo ou cometer fraude de qualquer natureza,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11.1.6.1.</w:t>
      </w:r>
      <w:r>
        <w:rPr>
          <w:rFonts w:cs="Arial" w:ascii="Arial" w:hAnsi="Arial"/>
        </w:rPr>
        <w:t xml:space="preserve"> Agir em conluio ou em desconformidade com a lei;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11.1.6.2.</w:t>
      </w:r>
      <w:r>
        <w:rPr>
          <w:rFonts w:cs="Arial" w:ascii="Arial" w:hAnsi="Arial"/>
        </w:rPr>
        <w:t xml:space="preserve"> Induzir deliberadamente a erro no julgamento;</w:t>
      </w:r>
    </w:p>
    <w:p>
      <w:pPr>
        <w:pStyle w:val="Normal"/>
        <w:ind w:firstLine="851"/>
        <w:jc w:val="both"/>
        <w:rPr>
          <w:rFonts w:ascii="Arial" w:hAnsi="Arial" w:cs="Arial"/>
        </w:rPr>
      </w:pPr>
      <w:r>
        <w:rPr>
          <w:rFonts w:cs="Arial" w:ascii="Arial" w:hAnsi="Arial"/>
          <w:b/>
        </w:rPr>
        <w:t>11.1.6.3.</w:t>
      </w:r>
      <w:r>
        <w:rPr>
          <w:rFonts w:cs="Arial" w:ascii="Arial" w:hAnsi="Arial"/>
        </w:rPr>
        <w:t xml:space="preserve"> Apresentar amostra falsificada ou deteriorada;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11.1.7.</w:t>
      </w:r>
      <w:r>
        <w:rPr>
          <w:rFonts w:cs="Arial" w:ascii="Arial" w:hAnsi="Arial"/>
        </w:rPr>
        <w:t xml:space="preserve"> Praticar atos ilícitos com vistas a frustrar os objetivos da licitação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11.1.8.</w:t>
      </w:r>
      <w:r>
        <w:rPr>
          <w:rFonts w:cs="Arial" w:ascii="Arial" w:hAnsi="Arial"/>
        </w:rPr>
        <w:t xml:space="preserve"> Praticar ato lesivo previsto no art. 5º da Lei n.º 12.846, de 2013.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w:t>
      </w:r>
      <w:r>
        <w:rPr>
          <w:rFonts w:cs="Arial" w:ascii="Arial" w:hAnsi="Arial"/>
        </w:rPr>
        <w:t xml:space="preserve"> A sanção de que trata o subitem poderá ser aplicada juntamente com as multas previstas, garantindo o exercício de prévia e ampla defesa.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11.2.1.</w:t>
      </w:r>
      <w:r>
        <w:rPr>
          <w:rFonts w:cs="Arial" w:ascii="Arial" w:hAnsi="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w:t>
      </w:r>
      <w:r>
        <w:rPr>
          <w:rFonts w:cs="Arial" w:ascii="Arial" w:hAnsi="Arial"/>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11.3.1.</w:t>
      </w:r>
      <w:r>
        <w:rPr>
          <w:rFonts w:cs="Arial" w:ascii="Arial" w:hAnsi="Arial"/>
        </w:rPr>
        <w:t xml:space="preserve"> Advertência;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w:t>
      </w:r>
      <w:r>
        <w:rPr>
          <w:rFonts w:cs="Arial" w:ascii="Arial" w:hAnsi="Arial"/>
        </w:rPr>
        <w:t xml:space="preserve"> Multa de mora;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11.3.2.1.</w:t>
      </w:r>
      <w:r>
        <w:rPr>
          <w:rFonts w:cs="Arial" w:ascii="Arial" w:hAnsi="Arial"/>
        </w:rPr>
        <w:t xml:space="preserve"> Multa de 10% (dez por cento) sobre a parcela remanescente, no caso de inexecução parcial de contrato;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11.3.2.2.</w:t>
      </w:r>
      <w:r>
        <w:rPr>
          <w:rFonts w:cs="Arial" w:ascii="Arial" w:hAnsi="Arial"/>
        </w:rPr>
        <w:t xml:space="preserve"> Multa de 1% (um por cento), por dia de atraso, sobre o valor correspondente à entrega que estiver em desacordo com os prazos estipulados, até o limite de 10 (dez) dias;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11.3.2.3.</w:t>
      </w:r>
      <w:r>
        <w:rPr>
          <w:rFonts w:cs="Arial" w:ascii="Arial" w:hAnsi="Arial"/>
        </w:rPr>
        <w:t xml:space="preserve"> Multa de 20% (vinte por cento) sobre o valor total do contrato, no caso de sua inexecução total;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11.3.2.5.</w:t>
      </w:r>
      <w:r>
        <w:rPr>
          <w:rFonts w:cs="Arial" w:ascii="Arial" w:hAnsi="Arial"/>
        </w:rPr>
        <w:t xml:space="preserve"> Multa de 20% (vinte por cento) sobre o valor total do contrato, no caso recusa injustificada de assinar/receber o contrato.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11.4.</w:t>
      </w:r>
      <w:r>
        <w:rPr>
          <w:rFonts w:cs="Arial" w:ascii="Arial" w:hAnsi="Arial"/>
        </w:rPr>
        <w:t xml:space="preserve"> As multas são independentes entre si; a aplicação de uma, não exclui a aplicação de outras, bem como das demais penalidades previstas em lei.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11.5.</w:t>
      </w:r>
      <w:r>
        <w:rPr>
          <w:rFonts w:cs="Arial" w:ascii="Arial" w:hAnsi="Arial"/>
        </w:rPr>
        <w:t xml:space="preserve"> Os prazos para defesa prévia serão de 15 (quinze) dias úteis.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11.7.</w:t>
      </w:r>
      <w:r>
        <w:rPr>
          <w:rFonts w:cs="Arial" w:ascii="Arial" w:hAnsi="Arial"/>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11.8.</w:t>
      </w:r>
      <w:r>
        <w:rPr>
          <w:rFonts w:cs="Arial" w:ascii="Arial" w:hAnsi="Arial"/>
        </w:rPr>
        <w:t xml:space="preserve"> Pelo descumprimento de quaisquer cláusulas ou condições do contrato, as multas e penalidade serão elevadas em dobro, em caso de reincidência.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11.9.</w:t>
      </w:r>
      <w:r>
        <w:rPr>
          <w:rFonts w:cs="Arial" w:ascii="Arial" w:hAnsi="Arial"/>
        </w:rPr>
        <w:t xml:space="preserve"> A aplicação das sanções previstas neste edital não exclui, em hipótese alguma, a obrigação de reparação integral dos danos causados.</w:t>
      </w:r>
    </w:p>
    <w:p>
      <w:pPr>
        <w:pStyle w:val="Normal"/>
        <w:ind w:firstLine="851"/>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12. - DAS MEDIDAS ANTICORRUPÇÃO</w:t>
            </w:r>
          </w:p>
        </w:tc>
      </w:tr>
    </w:tbl>
    <w:p>
      <w:pPr>
        <w:pStyle w:val="Normal"/>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shd w:fill="FFFFFF" w:val="clear"/>
        </w:rPr>
        <w:t>12.1.</w:t>
      </w:r>
      <w:r>
        <w:rPr>
          <w:rFonts w:cs="Arial" w:ascii="Arial" w:hAnsi="Arial"/>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rFonts w:ascii="Arial" w:hAnsi="Arial" w:cs="Arial"/>
        </w:rPr>
      </w:pPr>
      <w:r>
        <w:rPr>
          <w:rFonts w:cs="Arial" w:ascii="Arial" w:hAnsi="Arial"/>
        </w:rPr>
      </w:r>
    </w:p>
    <w:tbl>
      <w:tblPr>
        <w:tblW w:w="5000" w:type="pct"/>
        <w:jc w:val="left"/>
        <w:tblInd w:w="-113"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13. - DAS DISPOSIÇÕES FINAIS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13.1.</w:t>
      </w:r>
      <w:r>
        <w:rPr>
          <w:rFonts w:cs="Arial" w:ascii="Arial" w:hAnsi="Arial"/>
        </w:rPr>
        <w:t xml:space="preserve"> A </w:t>
      </w:r>
      <w:r>
        <w:rPr>
          <w:rFonts w:cs="Arial" w:ascii="Arial" w:hAnsi="Arial"/>
          <w:b/>
        </w:rPr>
        <w:t>CONTRATADA</w:t>
      </w:r>
      <w:r>
        <w:rPr>
          <w:rFonts w:cs="Arial" w:ascii="Arial" w:hAnsi="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13.2.</w:t>
      </w:r>
      <w:r>
        <w:rPr>
          <w:rFonts w:cs="Arial" w:ascii="Arial" w:hAnsi="Arial"/>
        </w:rPr>
        <w:t xml:space="preserve"> O pessoal da </w:t>
      </w:r>
      <w:r>
        <w:rPr>
          <w:rFonts w:cs="Arial" w:ascii="Arial" w:hAnsi="Arial"/>
          <w:b/>
        </w:rPr>
        <w:t>CONTRATADA</w:t>
      </w:r>
      <w:r>
        <w:rPr>
          <w:rFonts w:cs="Arial" w:ascii="Arial" w:hAnsi="Arial"/>
        </w:rPr>
        <w:t xml:space="preserve"> por ela designado para trabalhar na execução do contrato, não terão qualquer vínculo empregatício com a </w:t>
      </w:r>
      <w:r>
        <w:rPr>
          <w:rFonts w:cs="Arial" w:ascii="Arial" w:hAnsi="Arial"/>
          <w:b/>
        </w:rPr>
        <w:t>CONTRATANTE</w:t>
      </w:r>
      <w:r>
        <w:rPr>
          <w:rFonts w:cs="Arial" w:ascii="Arial" w:hAnsi="Arial"/>
        </w:rPr>
        <w:t>.</w:t>
      </w:r>
    </w:p>
    <w:p>
      <w:pPr>
        <w:pStyle w:val="Normal"/>
        <w:keepLines/>
        <w:ind w:firstLine="851"/>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13.3.</w:t>
      </w:r>
      <w:r>
        <w:rPr>
          <w:rFonts w:cs="Arial" w:ascii="Arial" w:hAnsi="Arial"/>
        </w:rPr>
        <w:t xml:space="preserve"> A </w:t>
      </w:r>
      <w:r>
        <w:rPr>
          <w:rFonts w:cs="Arial" w:ascii="Arial" w:hAnsi="Arial"/>
          <w:b/>
        </w:rPr>
        <w:t>CONTRATADA</w:t>
      </w:r>
      <w:r>
        <w:rPr>
          <w:rFonts w:cs="Arial" w:ascii="Arial" w:hAnsi="Arial"/>
        </w:rPr>
        <w:t xml:space="preserve"> é responsável pelos encargos trabalhistas, previdenciários, fiscais e comerciais resultantes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13.4.</w:t>
      </w:r>
      <w:r>
        <w:rPr>
          <w:rFonts w:cs="Arial" w:ascii="Arial" w:hAnsi="Arial"/>
        </w:rPr>
        <w:t xml:space="preserve"> Correrão por conta da </w:t>
      </w:r>
      <w:r>
        <w:rPr>
          <w:rFonts w:cs="Arial" w:ascii="Arial" w:hAnsi="Arial"/>
          <w:b/>
        </w:rPr>
        <w:t>CONTRATADA</w:t>
      </w:r>
      <w:r>
        <w:rPr>
          <w:rFonts w:cs="Arial" w:ascii="Arial" w:hAnsi="Arial"/>
        </w:rPr>
        <w:t xml:space="preserve"> todos os tributos e/ou preços públicos que sejam porventura devidos, em decorrência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13.5.</w:t>
      </w:r>
      <w:r>
        <w:rPr>
          <w:rFonts w:cs="Arial" w:ascii="Arial" w:hAnsi="Arial"/>
        </w:rPr>
        <w:t xml:space="preserve"> A </w:t>
      </w:r>
      <w:r>
        <w:rPr>
          <w:rFonts w:cs="Arial" w:ascii="Arial" w:hAnsi="Arial"/>
          <w:b/>
        </w:rPr>
        <w:t xml:space="preserve">CONTRATADA </w:t>
      </w:r>
      <w:r>
        <w:rPr>
          <w:rFonts w:cs="Arial" w:ascii="Arial" w:hAnsi="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rFonts w:cs="Arial" w:ascii="Arial" w:hAnsi="Arial"/>
          <w:b/>
        </w:rPr>
        <w:t>CONTRATANTE</w:t>
      </w:r>
      <w:r>
        <w:rPr>
          <w:rFonts w:cs="Arial" w:ascii="Arial" w:hAnsi="Arial"/>
        </w:rPr>
        <w:t>.</w:t>
      </w:r>
    </w:p>
    <w:p>
      <w:pPr>
        <w:pStyle w:val="Normal"/>
        <w:keepLines/>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13.6. </w:t>
      </w:r>
      <w:r>
        <w:rPr>
          <w:rFonts w:cs="Arial" w:ascii="Arial" w:hAnsi="Arial"/>
        </w:rPr>
        <w:t>É vedada a subcontratação.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13.7. </w:t>
      </w:r>
      <w:r>
        <w:rPr>
          <w:rFonts w:cs="Arial" w:ascii="Arial" w:hAnsi="Arial"/>
        </w:rPr>
        <w:t xml:space="preserve">A </w:t>
      </w:r>
      <w:r>
        <w:rPr>
          <w:rFonts w:cs="Arial" w:ascii="Arial" w:hAnsi="Arial"/>
          <w:b/>
        </w:rPr>
        <w:t xml:space="preserve">CONTRATADA </w:t>
      </w:r>
      <w:r>
        <w:rPr>
          <w:rFonts w:cs="Arial" w:ascii="Arial" w:hAnsi="Arial"/>
        </w:rPr>
        <w:t xml:space="preserve">assume inteira responsabilidade pela perfeita </w:t>
      </w:r>
      <w:r>
        <w:rPr>
          <w:rFonts w:cs="Arial" w:ascii="Arial" w:hAnsi="Arial"/>
          <w:shd w:fill="FFFFFF" w:val="clear"/>
        </w:rPr>
        <w:t>entrega do objeto contratado.</w:t>
      </w:r>
    </w:p>
    <w:p>
      <w:pPr>
        <w:pStyle w:val="Normal"/>
        <w:keepLines/>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13.8.</w:t>
      </w:r>
      <w:r>
        <w:rPr>
          <w:rFonts w:cs="Arial" w:ascii="Arial" w:hAnsi="Arial"/>
        </w:rPr>
        <w:t xml:space="preserve"> A </w:t>
      </w:r>
      <w:r>
        <w:rPr>
          <w:rFonts w:cs="Arial" w:ascii="Arial" w:hAnsi="Arial"/>
          <w:b/>
        </w:rPr>
        <w:t>CONTRATADA</w:t>
      </w:r>
      <w:r>
        <w:rPr>
          <w:rFonts w:cs="Arial" w:ascii="Arial" w:hAnsi="Arial"/>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13.9.</w:t>
      </w:r>
      <w:r>
        <w:rPr>
          <w:rFonts w:cs="Arial" w:ascii="Arial" w:hAnsi="Arial"/>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Lido e achado conforme, assinam este instrumento em 02 (duas) vias, de igual teor e forma, as partes e testemunha, sendo 01 (uma) via destinada ao processo e a outra para arquivo.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Piracicaba, ..... de ........................... de 2026.</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798"/>
        <w:gridCol w:w="321"/>
        <w:gridCol w:w="4803"/>
      </w:tblGrid>
      <w:tr>
        <w:trPr/>
        <w:tc>
          <w:tcPr>
            <w:tcW w:w="4798" w:type="dxa"/>
            <w:tcBorders>
              <w:top w:val="single" w:sz="4" w:space="0" w:color="000000"/>
              <w:left w:val="single" w:sz="4" w:space="0" w:color="000000"/>
              <w:bottom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rPr>
            </w:pPr>
            <w:r>
              <w:rPr>
                <w:rFonts w:cs="Arial" w:ascii="Arial" w:hAnsi="Arial"/>
                <w:b/>
                <w:bCs/>
                <w:color w:val="000000"/>
                <w:shd w:fill="FFFFFF" w:val="clear"/>
              </w:rPr>
              <w:t>LUCIANO RODOVALDO CELÊNCIO</w:t>
            </w:r>
            <w:r>
              <w:rPr>
                <w:rFonts w:cs="Arial" w:ascii="Arial" w:hAnsi="Arial"/>
                <w:b/>
              </w:rPr>
              <w:t xml:space="preserve"> Secretário Municipal de Obras, Infraestrutura e Serviços Públicos</w:t>
            </w:r>
          </w:p>
        </w:tc>
        <w:tc>
          <w:tcPr>
            <w:tcW w:w="321" w:type="dxa"/>
            <w:tcBorders>
              <w:left w:val="single" w:sz="4" w:space="0" w:color="000000"/>
            </w:tcBorders>
          </w:tcPr>
          <w:p>
            <w:pPr>
              <w:pStyle w:val="Normal"/>
              <w:snapToGrid w:val="false"/>
              <w:jc w:val="both"/>
              <w:rPr>
                <w:rFonts w:ascii="Arial" w:hAnsi="Arial" w:cs="Arial"/>
              </w:rPr>
            </w:pPr>
            <w:r>
              <w:rPr>
                <w:rFonts w:cs="Arial" w:ascii="Arial" w:hAnsi="Arial"/>
              </w:rPr>
            </w:r>
          </w:p>
        </w:tc>
        <w:tc>
          <w:tcPr>
            <w:tcW w:w="480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t>::: EMPRESA CONTRATADA :::</w:t>
            </w:r>
          </w:p>
          <w:p>
            <w:pPr>
              <w:pStyle w:val="Normal"/>
              <w:jc w:val="center"/>
              <w:rPr>
                <w:rFonts w:ascii="Arial" w:hAnsi="Arial" w:cs="Arial"/>
                <w:b/>
              </w:rPr>
            </w:pPr>
            <w:r>
              <w:rPr>
                <w:rFonts w:cs="Arial" w:ascii="Arial" w:hAnsi="Arial"/>
                <w:b/>
              </w:rPr>
              <w:t>Representante Legal</w:t>
            </w:r>
          </w:p>
        </w:tc>
      </w:tr>
    </w:tbl>
    <w:p>
      <w:pPr>
        <w:pStyle w:val="Normal"/>
        <w:rPr>
          <w:rFonts w:ascii="Arial" w:hAnsi="Arial" w:cs="Arial"/>
          <w:b/>
        </w:rPr>
      </w:pPr>
      <w:r>
        <w:rPr>
          <w:rFonts w:cs="Arial" w:ascii="Arial" w:hAnsi="Arial"/>
          <w:b/>
        </w:rPr>
      </w:r>
    </w:p>
    <w:p>
      <w:pPr>
        <w:pStyle w:val="Normal"/>
        <w:jc w:val="both"/>
        <w:rPr>
          <w:rFonts w:ascii="Arial" w:hAnsi="Arial" w:cs="Arial"/>
          <w:b/>
          <w:u w:val="single"/>
        </w:rPr>
      </w:pPr>
      <w:r>
        <w:rPr>
          <w:rFonts w:cs="Arial" w:ascii="Arial" w:hAnsi="Arial"/>
          <w:b/>
          <w:u w:val="single"/>
        </w:rPr>
        <w:t>TESTEMUNHAS:</w:t>
      </w:r>
    </w:p>
    <w:p>
      <w:pPr>
        <w:pStyle w:val="Normal"/>
        <w:jc w:val="both"/>
        <w:rPr>
          <w:rFonts w:ascii="Arial" w:hAnsi="Arial" w:cs="Arial"/>
          <w:b/>
          <w:u w:val="single"/>
        </w:rPr>
      </w:pPr>
      <w:r>
        <w:rPr>
          <w:rFonts w:cs="Arial" w:ascii="Arial" w:hAnsi="Arial"/>
          <w:b/>
          <w:u w:val="single"/>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800"/>
        <w:gridCol w:w="319"/>
        <w:gridCol w:w="4803"/>
      </w:tblGrid>
      <w:tr>
        <w:trPr>
          <w:trHeight w:val="1089" w:hRule="atLeast"/>
        </w:trPr>
        <w:tc>
          <w:tcPr>
            <w:tcW w:w="4800" w:type="dxa"/>
            <w:tcBorders>
              <w:top w:val="single" w:sz="4" w:space="0" w:color="000000"/>
              <w:left w:val="single" w:sz="4" w:space="0" w:color="000000"/>
              <w:bottom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w:t>
            </w:r>
          </w:p>
          <w:p>
            <w:pPr>
              <w:pStyle w:val="Normal"/>
              <w:rPr>
                <w:rFonts w:ascii="Arial" w:hAnsi="Arial" w:cs="Arial"/>
                <w:b/>
              </w:rPr>
            </w:pPr>
            <w:r>
              <w:rPr>
                <w:rFonts w:cs="Arial" w:ascii="Arial" w:hAnsi="Arial"/>
                <w:b/>
              </w:rPr>
              <w:t>Nome:</w:t>
            </w:r>
          </w:p>
          <w:p>
            <w:pPr>
              <w:pStyle w:val="Normal"/>
              <w:rPr>
                <w:rFonts w:ascii="Arial" w:hAnsi="Arial" w:cs="Arial"/>
                <w:b/>
              </w:rPr>
            </w:pPr>
            <w:r>
              <w:rPr>
                <w:rFonts w:cs="Arial" w:ascii="Arial" w:hAnsi="Arial"/>
                <w:b/>
              </w:rPr>
              <w:t>CPF:</w:t>
            </w:r>
          </w:p>
        </w:tc>
        <w:tc>
          <w:tcPr>
            <w:tcW w:w="319" w:type="dxa"/>
            <w:tcBorders>
              <w:left w:val="single" w:sz="4" w:space="0" w:color="000000"/>
            </w:tcBorders>
          </w:tcPr>
          <w:p>
            <w:pPr>
              <w:pStyle w:val="Normal"/>
              <w:snapToGrid w:val="false"/>
              <w:jc w:val="both"/>
              <w:rPr>
                <w:rFonts w:ascii="Arial" w:hAnsi="Arial" w:cs="Arial"/>
                <w:b/>
              </w:rPr>
            </w:pPr>
            <w:r>
              <w:rPr>
                <w:rFonts w:cs="Arial" w:ascii="Arial" w:hAnsi="Arial"/>
                <w:b/>
              </w:rPr>
            </w:r>
          </w:p>
        </w:tc>
        <w:tc>
          <w:tcPr>
            <w:tcW w:w="4803" w:type="dxa"/>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__________________________</w:t>
            </w:r>
          </w:p>
          <w:p>
            <w:pPr>
              <w:pStyle w:val="Normal"/>
              <w:rPr>
                <w:rFonts w:ascii="Arial" w:hAnsi="Arial" w:cs="Arial"/>
                <w:b/>
              </w:rPr>
            </w:pPr>
            <w:r>
              <w:rPr>
                <w:rFonts w:cs="Arial" w:ascii="Arial" w:hAnsi="Arial"/>
                <w:b/>
              </w:rPr>
              <w:t>Nome:</w:t>
            </w:r>
          </w:p>
          <w:p>
            <w:pPr>
              <w:pStyle w:val="Normal"/>
              <w:jc w:val="both"/>
              <w:rPr>
                <w:rFonts w:ascii="Arial" w:hAnsi="Arial" w:cs="Arial"/>
                <w:b/>
              </w:rPr>
            </w:pPr>
            <w:r>
              <w:rPr>
                <w:rFonts w:cs="Arial" w:ascii="Arial" w:hAnsi="Arial"/>
                <w:b/>
              </w:rPr>
              <w:t>CPF:</w:t>
            </w:r>
          </w:p>
        </w:tc>
      </w:tr>
    </w:tbl>
    <w:p>
      <w:pPr>
        <w:pStyle w:val="Normal"/>
        <w:rPr/>
      </w:pPr>
      <w:r>
        <w:rPr/>
      </w:r>
      <w:bookmarkStart w:id="18" w:name="art1p"/>
      <w:bookmarkStart w:id="19" w:name="art2§1"/>
      <w:bookmarkStart w:id="20" w:name="art1p"/>
      <w:bookmarkStart w:id="21" w:name="art2§1"/>
      <w:bookmarkEnd w:id="20"/>
      <w:bookmarkEnd w:id="21"/>
    </w:p>
    <w:p>
      <w:pPr>
        <w:pStyle w:val="Normal"/>
        <w:rPr/>
      </w:pPr>
      <w:r>
        <w:rPr/>
      </w:r>
    </w:p>
    <w:p>
      <w:pPr>
        <w:pStyle w:val="Normal"/>
        <w:rPr/>
      </w:pPr>
      <w:r>
        <w:rPr/>
      </w:r>
    </w:p>
    <w:p>
      <w:pPr>
        <w:pStyle w:val="Normal"/>
        <w:rPr/>
      </w:pPr>
      <w:r>
        <w:rPr/>
      </w:r>
    </w:p>
    <w:p>
      <w:pPr>
        <w:pStyle w:val="Normal"/>
        <w:jc w:val="both"/>
        <w:rPr>
          <w:rFonts w:ascii="Arial" w:hAnsi="Arial" w:cs="Arial"/>
        </w:rPr>
      </w:pPr>
      <w:r>
        <w:rPr>
          <w:rFonts w:cs="Arial" w:ascii="Arial" w:hAnsi="Arial"/>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283" w:top="1418"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Book Antiqua">
    <w:charset w:val="00"/>
    <w:family w:val="roman"/>
    <w:pitch w:val="variable"/>
  </w:font>
  <w:font w:name="Times New Roman">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173</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27</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27</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173</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27</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27</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55">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3665" simplePos="0" locked="0" layoutInCell="0" allowOverlap="1" relativeHeight="108" wp14:anchorId="545E676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19.25pt;margin-top:6.75pt;width:367.7pt;height:70.45pt;mso-wrap-style:square;v-text-anchor:top;mso-position-horizontal:right;mso-position-horizontal-relative:margin;mso-position-vertical-relative:page" wp14:anchorId="545E676D">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55">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3665" simplePos="0" locked="0" layoutInCell="0" allowOverlap="1" relativeHeight="108" wp14:anchorId="545E676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19.25pt;margin-top:6.75pt;width:367.7pt;height:70.45pt;mso-wrap-style:square;v-text-anchor:top;mso-position-horizontal:right;mso-position-horizontal-relative:margin;mso-position-vertical-relative:page" wp14:anchorId="545E676D">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bullet"/>
      <w:lvlText w:val=""/>
      <w:lvlJc w:val="left"/>
      <w:pPr>
        <w:tabs>
          <w:tab w:val="num" w:pos="0"/>
        </w:tabs>
        <w:ind w:left="1004" w:hanging="360"/>
      </w:pPr>
      <w:rPr>
        <w:rFonts w:ascii="Symbol" w:hAnsi="Symbol" w:cs="Symbol"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9"/>
  </w:num>
  <w:num w:numId="50">
    <w:abstractNumId w:val="9"/>
  </w:num>
  <w:num w:numId="51">
    <w:abstractNumId w:val="9"/>
  </w:num>
  <w:num w:numId="52">
    <w:abstractNumId w:val="9"/>
  </w:num>
  <w:num w:numId="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4">
    <w:abstractNumId w:val="1"/>
  </w:num>
  <w:num w:numId="55">
    <w:abstractNumId w:val="1"/>
  </w:num>
  <w:num w:numId="56">
    <w:abstractNumId w:val="1"/>
  </w:num>
  <w:num w:numId="57">
    <w:abstractNumId w:val="1"/>
  </w:num>
  <w:num w:numId="58">
    <w:abstractNumId w:val="1"/>
  </w:num>
  <w:num w:numId="59">
    <w:abstractNumId w:val="1"/>
  </w:num>
  <w:num w:numId="60">
    <w:abstractNumId w:val="1"/>
  </w:num>
  <w:num w:numId="61">
    <w:abstractNumId w:val="1"/>
  </w:num>
  <w:num w:numId="62">
    <w:abstractNumId w:val="1"/>
  </w:num>
  <w:num w:numId="63">
    <w:abstractNumId w:val="1"/>
  </w:num>
  <w:num w:numId="64">
    <w:abstractNumId w:val="1"/>
  </w:num>
  <w:num w:numId="65">
    <w:abstractNumId w:val="1"/>
  </w:num>
  <w:num w:numId="66">
    <w:abstractNumId w:val="1"/>
  </w:num>
  <w:num w:numId="67">
    <w:abstractNumId w:val="1"/>
  </w:num>
  <w:num w:numId="68">
    <w:abstractNumId w:val="1"/>
  </w:num>
  <w:num w:numId="69">
    <w:abstractNumId w:val="1"/>
  </w:num>
  <w:num w:numId="70">
    <w:abstractNumId w:val="1"/>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LinkdaInternetuser" w:customStyle="1">
    <w:name w:val="Link da Internet (user)"/>
    <w:qFormat/>
    <w:rsid w:val="006b7651"/>
    <w:rPr>
      <w:color w:val="0000FF"/>
      <w:u w:val="single"/>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Arial Unicode MS"/>
    </w:rPr>
  </w:style>
  <w:style w:type="paragraph" w:styleId="Ttulo21" w:customStyle="1">
    <w:name w:val="Título21"/>
    <w:basedOn w:val="Ttulo20"/>
    <w:next w:val="BodyText"/>
    <w:qFormat/>
    <w:pPr/>
    <w:rPr>
      <w:sz w:val="56"/>
      <w:szCs w:val="56"/>
    </w:rPr>
  </w:style>
  <w:style w:type="paragraph" w:styleId="ndiceuser" w:customStyle="1">
    <w:name w:val="Índice (user)"/>
    <w:basedOn w:val="Normal"/>
    <w:qFormat/>
    <w:pPr>
      <w:suppressLineNumbers/>
    </w:pPr>
    <w:rPr>
      <w:rFonts w:cs="Mangal"/>
    </w:rPr>
  </w:style>
  <w:style w:type="paragraph" w:styleId="Ttulo20" w:customStyle="1">
    <w:name w:val="Título20"/>
    <w:basedOn w:val="Normal"/>
    <w:next w:val="Subtitle"/>
    <w:qFormat/>
    <w:pPr>
      <w:overflowPunct w:val="tru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13"/>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13"/>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13"/>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60198707-c4ff-4d5d-8bc5-5efdd47f407d"/>
    <ds:schemaRef ds:uri="http://schemas.microsoft.com/office/2006/metadata/properties"/>
    <ds:schemaRef ds:uri="http://schemas.openxmlformats.org/package/2006/metadata/core-properties"/>
    <ds:schemaRef ds:uri="71763c0a-43a9-4215-9c1e-ac13867d38db"/>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B4B09B0-6EB7-4858-AEC6-F4D2941AC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Application>LibreOffice/25.2.7.2$Windows_X86_64 LibreOffice_project/5cbfd1ab6520636bb5f7b99185aa69bd7456825d</Application>
  <AppVersion>15.0000</AppVersion>
  <Pages>27</Pages>
  <Words>10966</Words>
  <Characters>62895</Characters>
  <CharactersWithSpaces>73296</CharactersWithSpaces>
  <Paragraphs>661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2026-06-03T13:22:00Z</dcterms:created>
  <dc:creator>Thiago Luiz Araujo Santos</dc:creator>
  <dc:description/>
  <dc:language>pt-BR</dc:language>
  <cp:lastModifiedBy/>
  <cp:lastPrinted>2022-08-03T17:48:00Z</cp:lastPrinted>
  <dcterms:modified xsi:type="dcterms:W3CDTF">2026-06-15T10:18:21Z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