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true"/>
        <w:spacing w:lineRule="auto" w:line="240"/>
        <w:jc w:val="center"/>
        <w:rPr>
          <w:b/>
          <w:color w:val="auto"/>
          <w:sz w:val="20"/>
          <w:szCs w:val="20"/>
          <w:lang w:val="pt-BR"/>
        </w:rPr>
      </w:pPr>
      <w:r>
        <w:rPr>
          <w:b/>
          <w:color w:val="auto"/>
          <w:sz w:val="20"/>
          <w:szCs w:val="20"/>
        </w:rPr>
        <w:t xml:space="preserve">EDITAL DE </w:t>
      </w:r>
      <w:r>
        <w:rPr>
          <w:b/>
          <w:color w:val="auto"/>
          <w:sz w:val="20"/>
          <w:szCs w:val="20"/>
          <w:lang w:val="pt-BR"/>
        </w:rPr>
        <w:t>DISPENSA ELETRÔ</w:t>
      </w:r>
      <w:r>
        <w:rPr>
          <w:b/>
          <w:color w:val="auto"/>
          <w:sz w:val="20"/>
          <w:szCs w:val="20"/>
          <w:shd w:fill="auto" w:val="clear"/>
          <w:lang w:val="pt-BR"/>
        </w:rPr>
        <w:t xml:space="preserve">NICA nº </w:t>
      </w:r>
      <w:r>
        <w:rPr>
          <w:b/>
          <w:color w:val="000000"/>
          <w:sz w:val="20"/>
          <w:szCs w:val="20"/>
          <w:shd w:fill="auto" w:val="clear"/>
          <w:lang w:val="pt-BR"/>
        </w:rPr>
        <w:t>061</w:t>
      </w:r>
      <w:r>
        <w:rPr>
          <w:b/>
          <w:color w:val="auto"/>
          <w:sz w:val="20"/>
          <w:szCs w:val="20"/>
          <w:shd w:fill="auto" w:val="clear"/>
          <w:lang w:val="pt-BR"/>
        </w:rPr>
        <w:t>/2026</w:t>
      </w:r>
      <w:r>
        <w:rPr>
          <w:b/>
          <w:color w:val="auto"/>
          <w:sz w:val="20"/>
          <w:szCs w:val="20"/>
          <w:shd w:fill="auto" w:val="clear"/>
        </w:rPr>
        <w:t xml:space="preserve"> </w:t>
      </w:r>
    </w:p>
    <w:p>
      <w:pPr>
        <w:pStyle w:val="BodyTextIndent"/>
        <w:widowControl w:val="false"/>
        <w:overflowPunct w:val="true"/>
        <w:spacing w:lineRule="auto" w:line="240"/>
        <w:jc w:val="center"/>
        <w:rPr>
          <w:color w:val="auto"/>
          <w:sz w:val="20"/>
          <w:szCs w:val="20"/>
          <w:highlight w:val="none"/>
          <w:shd w:fill="auto" w:val="clear"/>
        </w:rPr>
      </w:pPr>
      <w:r>
        <w:rPr>
          <w:color w:val="auto"/>
          <w:sz w:val="20"/>
          <w:szCs w:val="20"/>
          <w:shd w:fill="auto" w:val="clear"/>
        </w:rPr>
      </w:r>
    </w:p>
    <w:p>
      <w:pPr>
        <w:pStyle w:val="BodyTextIndent"/>
        <w:widowControl w:val="false"/>
        <w:overflowPunct w:val="true"/>
        <w:spacing w:lineRule="auto" w:line="240"/>
        <w:jc w:val="center"/>
        <w:rPr>
          <w:b/>
          <w:bCs/>
          <w:color w:val="auto"/>
          <w:sz w:val="20"/>
          <w:szCs w:val="20"/>
          <w:lang w:val="pt-BR"/>
        </w:rPr>
      </w:pPr>
      <w:r>
        <w:rPr>
          <w:b/>
          <w:bCs/>
          <w:color w:val="auto"/>
          <w:sz w:val="20"/>
          <w:szCs w:val="20"/>
          <w:lang w:val="pt-BR"/>
        </w:rPr>
        <w:t>TERMO DE REFERÊNCIA</w:t>
      </w:r>
    </w:p>
    <w:p>
      <w:pPr>
        <w:pStyle w:val="BodyTextIndent"/>
        <w:widowControl w:val="false"/>
        <w:overflowPunct w:val="true"/>
        <w:spacing w:lineRule="auto" w:line="240"/>
        <w:jc w:val="center"/>
        <w:rPr>
          <w:color w:val="auto"/>
          <w:sz w:val="20"/>
          <w:szCs w:val="20"/>
        </w:rPr>
      </w:pPr>
      <w:r>
        <w:rPr>
          <w:color w:val="auto"/>
          <w:sz w:val="20"/>
          <w:szCs w:val="20"/>
        </w:rPr>
      </w:r>
    </w:p>
    <w:p>
      <w:pPr>
        <w:pStyle w:val="BodyTextIndent"/>
        <w:widowControl w:val="false"/>
        <w:shd w:val="clear" w:color="auto" w:fill="DDDDDD"/>
        <w:overflowPunct w:val="true"/>
        <w:spacing w:lineRule="auto" w:line="240"/>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BodyTextIndent"/>
        <w:widowControl w:val="false"/>
        <w:numPr>
          <w:ilvl w:val="0"/>
          <w:numId w:val="3"/>
        </w:numPr>
        <w:tabs>
          <w:tab w:val="clear" w:pos="709"/>
          <w:tab w:val="left" w:pos="284" w:leader="none"/>
        </w:tabs>
        <w:spacing w:lineRule="auto" w:line="240"/>
        <w:rPr>
          <w:color w:val="auto"/>
          <w:sz w:val="20"/>
          <w:szCs w:val="20"/>
          <w:lang w:val="pt-BR"/>
        </w:rPr>
      </w:pPr>
      <w:r>
        <w:rPr>
          <w:color w:val="auto"/>
          <w:sz w:val="20"/>
          <w:szCs w:val="20"/>
        </w:rPr>
        <w:t>Número do proces</w:t>
      </w:r>
      <w:r>
        <w:rPr>
          <w:color w:val="auto"/>
          <w:sz w:val="20"/>
          <w:szCs w:val="20"/>
          <w:lang w:val="pt-BR"/>
        </w:rPr>
        <w:t xml:space="preserve">so: </w:t>
      </w:r>
      <w:r>
        <w:rPr>
          <w:b/>
          <w:bCs/>
          <w:color w:val="000000"/>
          <w:sz w:val="20"/>
          <w:szCs w:val="20"/>
          <w:shd w:fill="auto" w:val="clear"/>
          <w:lang w:val="pt-BR"/>
        </w:rPr>
        <w:t>81.099</w:t>
      </w:r>
      <w:r>
        <w:rPr>
          <w:b/>
          <w:bCs/>
          <w:color w:val="000000"/>
          <w:sz w:val="20"/>
          <w:szCs w:val="20"/>
          <w:shd w:fill="auto" w:val="clear"/>
          <w:lang w:val="pt-BR"/>
        </w:rPr>
        <w:t>/2026</w:t>
      </w:r>
      <w:r>
        <w:rPr>
          <w:b/>
          <w:color w:val="000000"/>
          <w:sz w:val="20"/>
          <w:szCs w:val="20"/>
          <w:shd w:fill="auto" w:val="clear"/>
          <w:lang w:val="pt-BR"/>
        </w:rPr>
        <w:t xml:space="preserve"> </w:t>
      </w:r>
    </w:p>
    <w:p>
      <w:pPr>
        <w:pStyle w:val="BodyTextIndent"/>
        <w:widowControl w:val="false"/>
        <w:numPr>
          <w:ilvl w:val="0"/>
          <w:numId w:val="3"/>
        </w:numPr>
        <w:tabs>
          <w:tab w:val="clear" w:pos="709"/>
          <w:tab w:val="left" w:pos="284" w:leader="none"/>
        </w:tabs>
        <w:spacing w:lineRule="auto" w:line="240"/>
        <w:rPr>
          <w:highlight w:val="none"/>
          <w:shd w:fill="auto" w:val="clear"/>
        </w:rPr>
      </w:pPr>
      <w:r>
        <w:rPr>
          <w:color w:val="auto"/>
          <w:sz w:val="20"/>
          <w:szCs w:val="20"/>
          <w:shd w:fill="auto" w:val="clear"/>
        </w:rPr>
        <w:t xml:space="preserve">Data </w:t>
      </w:r>
      <w:r>
        <w:rPr>
          <w:color w:val="auto"/>
          <w:sz w:val="20"/>
          <w:szCs w:val="20"/>
          <w:shd w:fill="auto" w:val="clear"/>
          <w:lang w:val="pt-BR"/>
        </w:rPr>
        <w:t xml:space="preserve">limite </w:t>
      </w:r>
      <w:r>
        <w:rPr>
          <w:color w:val="auto"/>
          <w:sz w:val="20"/>
          <w:szCs w:val="20"/>
          <w:shd w:fill="auto" w:val="clear"/>
        </w:rPr>
        <w:t xml:space="preserve">de </w:t>
      </w:r>
      <w:r>
        <w:rPr>
          <w:color w:val="auto"/>
          <w:sz w:val="20"/>
          <w:szCs w:val="20"/>
          <w:shd w:fill="auto" w:val="clear"/>
          <w:lang w:val="pt-BR"/>
        </w:rPr>
        <w:t>recebimento de propostas</w:t>
      </w:r>
      <w:r>
        <w:rPr>
          <w:color w:val="auto"/>
          <w:sz w:val="20"/>
          <w:szCs w:val="20"/>
          <w:shd w:fill="auto" w:val="clear"/>
        </w:rPr>
        <w:t>:</w:t>
      </w:r>
      <w:r>
        <w:rPr>
          <w:color w:val="auto"/>
          <w:sz w:val="20"/>
          <w:szCs w:val="20"/>
          <w:shd w:fill="auto" w:val="clear"/>
          <w:lang w:val="pt-BR"/>
        </w:rPr>
        <w:t xml:space="preserve"> </w:t>
      </w:r>
      <w:r>
        <w:rPr>
          <w:color w:val="auto"/>
          <w:sz w:val="20"/>
          <w:szCs w:val="20"/>
          <w:shd w:fill="auto" w:val="clear"/>
          <w:lang w:val="pt-BR"/>
        </w:rPr>
        <w:t>23/06</w:t>
      </w:r>
      <w:r>
        <w:rPr>
          <w:color w:val="000000"/>
          <w:sz w:val="20"/>
          <w:szCs w:val="20"/>
          <w:shd w:fill="auto" w:val="clear"/>
          <w:lang w:val="pt-BR"/>
        </w:rPr>
        <w:t>/2026 - 08h</w:t>
      </w:r>
    </w:p>
    <w:p>
      <w:pPr>
        <w:pStyle w:val="BodyTextIndent"/>
        <w:widowControl w:val="false"/>
        <w:numPr>
          <w:ilvl w:val="0"/>
          <w:numId w:val="3"/>
        </w:numPr>
        <w:tabs>
          <w:tab w:val="clear" w:pos="709"/>
          <w:tab w:val="left" w:pos="284" w:leader="none"/>
        </w:tabs>
        <w:spacing w:lineRule="auto" w:line="240"/>
        <w:rPr>
          <w:highlight w:val="none"/>
          <w:shd w:fill="auto" w:val="clear"/>
        </w:rPr>
      </w:pPr>
      <w:r>
        <w:rPr>
          <w:color w:val="auto"/>
          <w:sz w:val="20"/>
          <w:szCs w:val="20"/>
          <w:shd w:fill="auto" w:val="clear"/>
        </w:rPr>
        <w:t>Data de início de lances:</w:t>
      </w:r>
      <w:r>
        <w:rPr>
          <w:color w:val="auto"/>
          <w:sz w:val="20"/>
          <w:szCs w:val="20"/>
          <w:shd w:fill="auto" w:val="clear"/>
          <w:lang w:val="pt-BR"/>
        </w:rPr>
        <w:t xml:space="preserve"> </w:t>
      </w:r>
      <w:r>
        <w:rPr>
          <w:color w:val="auto"/>
          <w:sz w:val="20"/>
          <w:szCs w:val="20"/>
          <w:shd w:fill="auto" w:val="clear"/>
          <w:lang w:val="pt-BR"/>
        </w:rPr>
        <w:t>23/06</w:t>
      </w:r>
      <w:r>
        <w:rPr>
          <w:color w:val="000000"/>
          <w:sz w:val="20"/>
          <w:szCs w:val="20"/>
          <w:shd w:fill="auto" w:val="clear"/>
          <w:lang w:val="pt-BR"/>
        </w:rPr>
        <w:t>/2026 - 09h</w:t>
      </w:r>
    </w:p>
    <w:p>
      <w:pPr>
        <w:pStyle w:val="BodyTextIndent"/>
        <w:widowControl w:val="false"/>
        <w:numPr>
          <w:ilvl w:val="0"/>
          <w:numId w:val="3"/>
        </w:numPr>
        <w:tabs>
          <w:tab w:val="clear" w:pos="709"/>
          <w:tab w:val="left" w:pos="284" w:leader="none"/>
        </w:tabs>
        <w:spacing w:lineRule="auto" w:line="240"/>
        <w:textAlignment w:val="auto"/>
        <w:rPr>
          <w:highlight w:val="none"/>
          <w:shd w:fill="auto" w:val="clear"/>
        </w:rPr>
      </w:pPr>
      <w:r>
        <w:rPr>
          <w:color w:val="auto"/>
          <w:sz w:val="20"/>
          <w:szCs w:val="20"/>
          <w:shd w:fill="auto" w:val="clear"/>
          <w:lang w:val="pt-BR"/>
        </w:rPr>
        <w:t xml:space="preserve">Duração da etapa de lances: </w:t>
      </w:r>
      <w:r>
        <w:rPr>
          <w:b/>
          <w:color w:val="auto"/>
          <w:sz w:val="20"/>
          <w:szCs w:val="20"/>
          <w:shd w:fill="auto" w:val="clear"/>
          <w:lang w:val="pt-BR"/>
        </w:rPr>
        <w:t>06 (seis) horas</w:t>
      </w:r>
      <w:r>
        <w:rPr>
          <w:color w:val="auto"/>
          <w:sz w:val="20"/>
          <w:szCs w:val="20"/>
          <w:shd w:fill="auto" w:val="clear"/>
          <w:lang w:val="pt-BR"/>
        </w:rPr>
        <w:t>.</w:t>
      </w:r>
    </w:p>
    <w:p>
      <w:pPr>
        <w:pStyle w:val="BodyTextIndent"/>
        <w:widowControl w:val="false"/>
        <w:numPr>
          <w:ilvl w:val="0"/>
          <w:numId w:val="3"/>
        </w:numPr>
        <w:tabs>
          <w:tab w:val="clear" w:pos="709"/>
          <w:tab w:val="left" w:pos="284" w:leader="none"/>
        </w:tabs>
        <w:spacing w:lineRule="auto" w:line="240"/>
        <w:rPr/>
      </w:pPr>
      <w:r>
        <w:rPr>
          <w:b/>
          <w:color w:val="auto"/>
          <w:sz w:val="20"/>
          <w:szCs w:val="20"/>
          <w:shd w:fill="auto" w:val="clear"/>
          <w:lang w:val="pt-BR"/>
        </w:rPr>
        <w:t xml:space="preserve">Endereço eletrônico: </w:t>
      </w:r>
      <w:hyperlink r:id="rId2">
        <w:r>
          <w:rPr>
            <w:rStyle w:val="Style"/>
            <w:b/>
            <w:color w:val="0000FF"/>
            <w:sz w:val="20"/>
            <w:szCs w:val="20"/>
            <w:u w:val="single"/>
            <w:shd w:fill="auto" w:val="clear"/>
            <w:lang w:val="pt-BR"/>
          </w:rPr>
          <w:t>https://bnccompras.com</w:t>
        </w:r>
      </w:hyperlink>
      <w:r>
        <w:rPr>
          <w:b/>
          <w:color w:val="auto"/>
          <w:sz w:val="20"/>
          <w:szCs w:val="20"/>
          <w:shd w:fill="auto" w:val="clear"/>
          <w:lang w:val="pt-BR"/>
        </w:rPr>
        <w:t>.</w:t>
      </w:r>
    </w:p>
    <w:p>
      <w:pPr>
        <w:pStyle w:val="BodyTextIndent"/>
        <w:widowControl w:val="false"/>
        <w:tabs>
          <w:tab w:val="clear" w:pos="709"/>
          <w:tab w:val="left" w:pos="284" w:leader="none"/>
        </w:tabs>
        <w:overflowPunct w:val="true"/>
        <w:spacing w:lineRule="auto" w:line="240"/>
        <w:rPr>
          <w:b/>
          <w:bCs/>
          <w:color w:val="auto"/>
          <w:sz w:val="20"/>
          <w:szCs w:val="20"/>
          <w:highlight w:val="none"/>
          <w:shd w:fill="auto" w:val="clear"/>
        </w:rPr>
      </w:pPr>
      <w:r>
        <w:rPr>
          <w:b/>
          <w:bCs/>
          <w:color w:val="auto"/>
          <w:sz w:val="20"/>
          <w:szCs w:val="20"/>
          <w:shd w:fill="auto" w:val="clear"/>
        </w:rPr>
      </w:r>
    </w:p>
    <w:p>
      <w:pPr>
        <w:pStyle w:val="Normal"/>
        <w:shd w:val="clear" w:color="auto" w:fill="DDDDDD"/>
        <w:ind w:firstLine="567"/>
        <w:jc w:val="both"/>
        <w:rPr>
          <w:highlight w:val="none"/>
          <w:shd w:fill="auto" w:val="clear"/>
        </w:rPr>
      </w:pPr>
      <w:r>
        <w:rPr>
          <w:rFonts w:cs="Arial" w:ascii="Arial" w:hAnsi="Arial"/>
          <w:b/>
          <w:bCs/>
          <w:shd w:fill="auto" w:val="clear"/>
        </w:rPr>
        <w:t>2. DO OBJETO:</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Objeto: </w:t>
      </w:r>
      <w:r>
        <w:rPr>
          <w:rFonts w:cs="Arial" w:ascii="Arial" w:hAnsi="Arial"/>
          <w:b/>
          <w:shd w:fill="auto" w:val="clear"/>
        </w:rPr>
        <w:t>Aquisição de filtro de água para bebedouro industrial</w:t>
      </w:r>
      <w:r>
        <w:rPr>
          <w:rFonts w:cs="Arial" w:ascii="Arial" w:hAnsi="Arial"/>
          <w:b/>
          <w:bCs/>
          <w:shd w:fill="auto" w:val="clear"/>
        </w:rPr>
        <w:t>.</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Unidade Requisitante: Secretaria Municipal de Administração e Governo</w:t>
      </w:r>
      <w:r>
        <w:rPr>
          <w:rFonts w:cs="Arial" w:ascii="Arial" w:hAnsi="Arial"/>
          <w:shd w:fill="auto" w:val="clear"/>
        </w:rPr>
        <w:t>.</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Fonte de recursos: </w:t>
      </w:r>
      <w:r>
        <w:rPr>
          <w:rFonts w:cs="Arial" w:ascii="Arial" w:hAnsi="Arial"/>
          <w:shd w:fill="auto" w:val="clear"/>
        </w:rPr>
        <w:t>0101011000</w:t>
      </w:r>
      <w:r>
        <w:rPr>
          <w:rFonts w:cs="Arial" w:ascii="Arial" w:hAnsi="Arial"/>
          <w:shd w:fill="auto" w:val="clear"/>
        </w:rPr>
        <w:t>.</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Valor estimado da contratação: </w:t>
      </w:r>
      <w:r>
        <w:rPr>
          <w:rFonts w:cs="Arial" w:ascii="Arial" w:hAnsi="Arial"/>
          <w:b/>
          <w:bCs/>
          <w:shd w:fill="auto" w:val="clear"/>
        </w:rPr>
        <w:t>R$ 812,98 (Oitocentos e doze reais e noventa e oito centavos).</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Prazo de contratação: até a entrega definitiva.</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Amparo Legal: Art. 75,</w:t>
      </w:r>
      <w:r>
        <w:rPr>
          <w:rFonts w:cs="Arial" w:ascii="Arial" w:hAnsi="Arial"/>
          <w:shd w:fill="auto" w:val="clear"/>
        </w:rPr>
        <w:t xml:space="preserve"> Inciso II</w:t>
      </w:r>
      <w:r>
        <w:rPr>
          <w:rFonts w:cs="Arial" w:ascii="Arial" w:hAnsi="Arial"/>
          <w:shd w:fill="auto" w:val="clear"/>
        </w:rPr>
        <w:t xml:space="preserve">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15"/>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3"/>
        </w:numPr>
        <w:tabs>
          <w:tab w:val="clear" w:pos="709"/>
          <w:tab w:val="left" w:pos="284" w:leader="none"/>
        </w:tabs>
        <w:jc w:val="both"/>
        <w:rPr>
          <w:rFonts w:ascii="Arial" w:hAnsi="Arial" w:cs="Arial"/>
          <w:b/>
          <w:u w:val="single"/>
        </w:rPr>
      </w:pPr>
      <w:r>
        <w:rPr>
          <w:rFonts w:cs="Arial" w:ascii="Arial" w:hAnsi="Arial"/>
        </w:rPr>
        <w:t xml:space="preserve">Prazo de Pagamento: 15 </w:t>
      </w:r>
      <w:r>
        <w:rPr>
          <w:rFonts w:cs="Arial" w:ascii="Arial" w:hAnsi="Arial"/>
          <w:shd w:fill="auto" w:val="clear"/>
        </w:rPr>
        <w:t>(quinze) dias úteis, contados da data do recebimento da nota fiscal, em atendimento ao Decreto Municipal Nº 17.640/18.</w:t>
      </w:r>
    </w:p>
    <w:p>
      <w:pPr>
        <w:pStyle w:val="ListParagraph"/>
        <w:numPr>
          <w:ilvl w:val="0"/>
          <w:numId w:val="3"/>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 xml:space="preserve">Deverá ser especificado na proposta o </w:t>
      </w:r>
      <w:r>
        <w:rPr>
          <w:rFonts w:cs="Arial" w:ascii="Arial" w:hAnsi="Arial"/>
          <w:b/>
          <w:sz w:val="20"/>
          <w:szCs w:val="20"/>
          <w:shd w:fill="auto" w:val="clear"/>
        </w:rPr>
        <w:t xml:space="preserve">preço unitário e total </w:t>
      </w:r>
      <w:r>
        <w:rPr>
          <w:rFonts w:cs="Arial" w:ascii="Arial" w:hAnsi="Arial"/>
          <w:sz w:val="20"/>
          <w:szCs w:val="20"/>
          <w:shd w:fill="auto" w:val="clear"/>
        </w:rPr>
        <w:t xml:space="preserve">e </w:t>
      </w:r>
      <w:r>
        <w:rPr>
          <w:rFonts w:cs="Arial" w:ascii="Arial" w:hAnsi="Arial"/>
          <w:b/>
          <w:sz w:val="20"/>
          <w:szCs w:val="20"/>
          <w:shd w:fill="auto" w:val="clear"/>
        </w:rPr>
        <w:t xml:space="preserve">a marca </w:t>
      </w:r>
      <w:r>
        <w:rPr>
          <w:rFonts w:cs="Arial" w:ascii="Arial" w:hAnsi="Arial"/>
          <w:sz w:val="20"/>
          <w:szCs w:val="20"/>
          <w:shd w:fill="auto" w:val="clear"/>
        </w:rPr>
        <w:t>dos produtos ofertados.</w:t>
      </w:r>
    </w:p>
    <w:p>
      <w:pPr>
        <w:pStyle w:val="ListParagraph"/>
        <w:numPr>
          <w:ilvl w:val="0"/>
          <w:numId w:val="3"/>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Critério de Julgamento: Menor valor por item.</w:t>
      </w:r>
    </w:p>
    <w:p>
      <w:pPr>
        <w:pStyle w:val="Normal"/>
        <w:numPr>
          <w:ilvl w:val="0"/>
          <w:numId w:val="3"/>
        </w:numPr>
        <w:tabs>
          <w:tab w:val="clear" w:pos="709"/>
          <w:tab w:val="left" w:pos="284" w:leader="none"/>
        </w:tabs>
        <w:jc w:val="both"/>
        <w:rPr>
          <w:highlight w:val="none"/>
          <w:shd w:fill="auto" w:val="clear"/>
        </w:rPr>
      </w:pPr>
      <w:r>
        <w:rPr>
          <w:rFonts w:cs="Arial" w:ascii="Arial" w:hAnsi="Arial"/>
          <w:shd w:fill="auto" w:val="clear"/>
        </w:rPr>
        <w:t>Especificações e quantidades:</w:t>
      </w:r>
    </w:p>
    <w:p>
      <w:pPr>
        <w:pStyle w:val="Normal"/>
        <w:numPr>
          <w:ilvl w:val="0"/>
          <w:numId w:val="0"/>
        </w:numPr>
        <w:tabs>
          <w:tab w:val="clear" w:pos="709"/>
          <w:tab w:val="left" w:pos="284" w:leader="none"/>
        </w:tabs>
        <w:ind w:hanging="0" w:left="0"/>
        <w:jc w:val="both"/>
        <w:rPr>
          <w:rFonts w:ascii="Arial" w:hAnsi="Arial" w:eastAsia="Arial" w:cs="Arial"/>
          <w:highlight w:val="none"/>
          <w:shd w:fill="auto" w:val="clear"/>
        </w:rPr>
      </w:pPr>
      <w:r>
        <w:rPr>
          <w:rFonts w:eastAsia="Arial" w:cs="Arial" w:ascii="Arial" w:hAnsi="Arial"/>
          <w:shd w:fill="auto" w:val="clear"/>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789"/>
        <w:gridCol w:w="911"/>
        <w:gridCol w:w="7370"/>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user"/>
              <w:widowControl w:val="false"/>
              <w:jc w:val="center"/>
              <w:rPr>
                <w:highlight w:val="none"/>
                <w:shd w:fill="auto" w:val="clear"/>
              </w:rPr>
            </w:pPr>
            <w:r>
              <w:rPr>
                <w:rFonts w:cs="Arial" w:ascii="Arial" w:hAnsi="Arial"/>
                <w:b/>
                <w:shd w:fill="auto" w:val="clear"/>
              </w:rPr>
              <w:t>Item</w:t>
            </w:r>
          </w:p>
        </w:tc>
        <w:tc>
          <w:tcPr>
            <w:tcW w:w="789" w:type="dxa"/>
            <w:tcBorders>
              <w:top w:val="single" w:sz="4" w:space="0" w:color="000000"/>
              <w:left w:val="single" w:sz="4" w:space="0" w:color="000000"/>
              <w:bottom w:val="single" w:sz="4" w:space="0" w:color="000000"/>
            </w:tcBorders>
            <w:vAlign w:val="center"/>
          </w:tcPr>
          <w:p>
            <w:pPr>
              <w:pStyle w:val="Contedodatabelauser"/>
              <w:widowControl w:val="false"/>
              <w:jc w:val="center"/>
              <w:rPr>
                <w:highlight w:val="none"/>
                <w:shd w:fill="auto" w:val="clear"/>
              </w:rPr>
            </w:pPr>
            <w:r>
              <w:rPr>
                <w:rFonts w:cs="Arial" w:ascii="Arial" w:hAnsi="Arial"/>
                <w:b/>
                <w:shd w:fill="auto" w:val="clear"/>
              </w:rPr>
              <w:t>Quant.</w:t>
            </w:r>
          </w:p>
        </w:tc>
        <w:tc>
          <w:tcPr>
            <w:tcW w:w="911" w:type="dxa"/>
            <w:tcBorders>
              <w:top w:val="single" w:sz="4" w:space="0" w:color="000000"/>
              <w:left w:val="single" w:sz="4" w:space="0" w:color="000000"/>
              <w:bottom w:val="single" w:sz="4" w:space="0" w:color="000000"/>
            </w:tcBorders>
            <w:vAlign w:val="center"/>
          </w:tcPr>
          <w:p>
            <w:pPr>
              <w:pStyle w:val="Contedodatabelauser"/>
              <w:widowControl w:val="false"/>
              <w:jc w:val="center"/>
              <w:rPr>
                <w:highlight w:val="none"/>
                <w:shd w:fill="auto" w:val="clear"/>
              </w:rPr>
            </w:pPr>
            <w:r>
              <w:rPr>
                <w:rFonts w:cs="Arial" w:ascii="Arial" w:hAnsi="Arial"/>
                <w:b/>
                <w:shd w:fill="auto" w:val="clea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jc w:val="center"/>
              <w:rPr>
                <w:highlight w:val="none"/>
                <w:shd w:fill="auto" w:val="clear"/>
              </w:rPr>
            </w:pPr>
            <w:r>
              <w:rPr>
                <w:rFonts w:cs="Arial" w:ascii="Arial" w:hAnsi="Arial"/>
                <w:b/>
                <w:shd w:fill="auto" w:val="clear"/>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highlight w:val="none"/>
                <w:shd w:fill="auto" w:val="clear"/>
              </w:rPr>
            </w:pPr>
            <w:r>
              <w:rPr>
                <w:rFonts w:cs="Arial" w:ascii="Arial" w:hAnsi="Arial"/>
                <w:b/>
                <w:bCs/>
                <w:shd w:fill="auto" w:val="clear"/>
              </w:rPr>
              <w:t>01</w:t>
            </w:r>
          </w:p>
        </w:tc>
        <w:tc>
          <w:tcPr>
            <w:tcW w:w="789" w:type="dxa"/>
            <w:tcBorders>
              <w:top w:val="single" w:sz="4" w:space="0" w:color="000000"/>
              <w:left w:val="single" w:sz="4" w:space="0" w:color="000000"/>
              <w:bottom w:val="single" w:sz="4" w:space="0" w:color="000000"/>
            </w:tcBorders>
            <w:vAlign w:val="center"/>
          </w:tcPr>
          <w:p>
            <w:pPr>
              <w:pStyle w:val="Normal"/>
              <w:jc w:val="center"/>
              <w:rPr>
                <w:highlight w:val="none"/>
                <w:shd w:fill="auto" w:val="clear"/>
              </w:rPr>
            </w:pPr>
            <w:r>
              <w:rPr>
                <w:rFonts w:cs="Arial" w:ascii="Arial" w:hAnsi="Arial"/>
                <w:shd w:fill="auto" w:val="clear"/>
              </w:rPr>
              <w:t>06</w:t>
            </w:r>
          </w:p>
        </w:tc>
        <w:tc>
          <w:tcPr>
            <w:tcW w:w="911" w:type="dxa"/>
            <w:tcBorders>
              <w:top w:val="single" w:sz="4" w:space="0" w:color="000000"/>
              <w:left w:val="single" w:sz="4" w:space="0" w:color="000000"/>
              <w:bottom w:val="single" w:sz="4" w:space="0" w:color="000000"/>
            </w:tcBorders>
            <w:vAlign w:val="center"/>
          </w:tcPr>
          <w:p>
            <w:pPr>
              <w:pStyle w:val="Normal"/>
              <w:jc w:val="center"/>
              <w:rPr>
                <w:highlight w:val="none"/>
                <w:shd w:fill="auto" w:val="clear"/>
              </w:rPr>
            </w:pPr>
            <w:r>
              <w:rPr>
                <w:rFonts w:cs="Arial" w:ascii="Arial" w:hAnsi="Arial"/>
                <w:shd w:fill="auto" w:val="clear"/>
              </w:rPr>
              <w:t>Unidade</w:t>
            </w:r>
          </w:p>
        </w:tc>
        <w:tc>
          <w:tcPr>
            <w:tcW w:w="7370" w:type="dxa"/>
            <w:tcBorders>
              <w:top w:val="single" w:sz="4" w:space="0" w:color="000000"/>
              <w:left w:val="single" w:sz="4" w:space="0" w:color="000000"/>
              <w:bottom w:val="single" w:sz="4" w:space="0" w:color="000000"/>
              <w:right w:val="single" w:sz="4" w:space="0" w:color="000000"/>
            </w:tcBorders>
          </w:tcPr>
          <w:p>
            <w:pPr>
              <w:pStyle w:val="Normal"/>
              <w:jc w:val="both"/>
              <w:rPr>
                <w:highlight w:val="none"/>
                <w:shd w:fill="auto" w:val="clear"/>
              </w:rPr>
            </w:pPr>
            <w:r>
              <w:rPr>
                <w:rFonts w:cs="Arial" w:ascii="Arial" w:hAnsi="Arial"/>
                <w:shd w:fill="auto" w:val="clear"/>
              </w:rPr>
              <w:t>Filtro de água para bebedouro industrial da marca/modelo Ecoblu E50B.</w:t>
            </w:r>
          </w:p>
        </w:tc>
      </w:tr>
    </w:tbl>
    <w:p>
      <w:pPr>
        <w:pStyle w:val="Normal"/>
        <w:numPr>
          <w:ilvl w:val="0"/>
          <w:numId w:val="0"/>
        </w:numPr>
        <w:tabs>
          <w:tab w:val="clear" w:pos="709"/>
          <w:tab w:val="left" w:pos="284" w:leader="none"/>
        </w:tabs>
        <w:ind w:hanging="0" w:left="0"/>
        <w:jc w:val="both"/>
        <w:rPr>
          <w:rFonts w:ascii="Arial" w:hAnsi="Arial" w:eastAsia="Arial" w:cs="Arial"/>
          <w:highlight w:val="none"/>
          <w:shd w:fill="auto" w:val="clear"/>
        </w:rPr>
      </w:pPr>
      <w:r>
        <w:rPr>
          <w:rFonts w:eastAsia="Arial" w:cs="Arial" w:ascii="Arial" w:hAnsi="Arial"/>
          <w:shd w:fill="auto" w:val="clear"/>
        </w:rPr>
      </w:r>
    </w:p>
    <w:p>
      <w:pPr>
        <w:pStyle w:val="Normal"/>
        <w:numPr>
          <w:ilvl w:val="0"/>
          <w:numId w:val="3"/>
        </w:numPr>
        <w:tabs>
          <w:tab w:val="clear" w:pos="709"/>
          <w:tab w:val="left" w:pos="284" w:leader="none"/>
        </w:tabs>
        <w:ind w:hanging="0" w:left="0"/>
        <w:jc w:val="both"/>
        <w:rPr>
          <w:rFonts w:ascii="Arial" w:hAnsi="Arial" w:cs="Arial"/>
          <w:color w:val="000000"/>
          <w:highlight w:val="none"/>
          <w:shd w:fill="auto" w:val="clear"/>
        </w:rPr>
      </w:pPr>
      <w:r>
        <w:rPr>
          <w:rFonts w:cs="Arial" w:ascii="Arial" w:hAnsi="Arial"/>
          <w:color w:val="000000"/>
          <w:shd w:fill="auto" w:val="clear"/>
        </w:rPr>
        <w:t>Descritivo técnico</w:t>
      </w:r>
    </w:p>
    <w:p>
      <w:pPr>
        <w:pStyle w:val="Normal"/>
        <w:numPr>
          <w:ilvl w:val="0"/>
          <w:numId w:val="0"/>
        </w:numPr>
        <w:tabs>
          <w:tab w:val="clear" w:pos="709"/>
          <w:tab w:val="left" w:pos="284" w:leader="none"/>
        </w:tabs>
        <w:ind w:hanging="0" w:left="0"/>
        <w:jc w:val="both"/>
        <w:rPr>
          <w:rFonts w:ascii="Arial" w:hAnsi="Arial" w:eastAsia="Arial" w:cs="Arial"/>
          <w:b/>
          <w:color w:val="000000"/>
          <w:highlight w:val="none"/>
          <w:shd w:fill="auto" w:val="clear"/>
        </w:rPr>
      </w:pPr>
      <w:r>
        <w:rPr>
          <w:rFonts w:eastAsia="Arial" w:cs="Arial" w:ascii="Arial" w:hAnsi="Arial"/>
          <w:b/>
          <w:color w:val="000000"/>
          <w:shd w:fill="auto" w:val="clear"/>
        </w:rPr>
        <w:t xml:space="preserve">1. </w:t>
      </w:r>
      <w:r>
        <w:rPr>
          <w:rFonts w:eastAsia="Arial" w:cs="Arial" w:ascii="Arial" w:hAnsi="Arial"/>
          <w:b/>
          <w:color w:val="000000"/>
          <w:shd w:fill="auto" w:val="clear"/>
        </w:rPr>
        <w:t>Item 1 – Filtro de água para bebedouro industrial da marca/modelo Ecoblu E50B.</w:t>
      </w:r>
    </w:p>
    <w:p>
      <w:pPr>
        <w:pStyle w:val="ListParagraph"/>
        <w:numPr>
          <w:ilvl w:val="0"/>
          <w:numId w:val="0"/>
        </w:numPr>
        <w:tabs>
          <w:tab w:val="clear" w:pos="709"/>
          <w:tab w:val="left" w:pos="284" w:leader="none"/>
          <w:tab w:val="left" w:pos="360" w:leader="none"/>
        </w:tabs>
        <w:spacing w:lineRule="auto" w:line="240" w:before="0" w:after="0"/>
        <w:ind w:hanging="0" w:left="0"/>
        <w:jc w:val="both"/>
        <w:rPr>
          <w:highlight w:val="none"/>
          <w:shd w:fill="auto" w:val="clear"/>
        </w:rPr>
      </w:pPr>
      <w:r>
        <w:rPr>
          <w:rFonts w:cs="Arial" w:ascii="Arial" w:hAnsi="Arial"/>
          <w:sz w:val="20"/>
          <w:szCs w:val="20"/>
          <w:shd w:fill="auto" w:val="clear"/>
        </w:rPr>
        <w:t xml:space="preserve">1.1. </w:t>
      </w:r>
      <w:r>
        <w:rPr>
          <w:rFonts w:cs="Arial" w:ascii="Arial" w:hAnsi="Arial"/>
          <w:sz w:val="20"/>
          <w:szCs w:val="20"/>
          <w:shd w:fill="auto" w:val="clear"/>
        </w:rPr>
        <w:t>Novo e sem uso anterior;</w:t>
      </w:r>
    </w:p>
    <w:p>
      <w:pPr>
        <w:pStyle w:val="ListParagraph"/>
        <w:numPr>
          <w:ilvl w:val="0"/>
          <w:numId w:val="0"/>
        </w:numPr>
        <w:tabs>
          <w:tab w:val="clear" w:pos="709"/>
          <w:tab w:val="left" w:pos="284" w:leader="none"/>
          <w:tab w:val="left" w:pos="360" w:leader="none"/>
        </w:tabs>
        <w:spacing w:lineRule="auto" w:line="240" w:before="0" w:after="0"/>
        <w:ind w:hanging="0" w:left="0"/>
        <w:jc w:val="both"/>
        <w:rPr>
          <w:highlight w:val="none"/>
          <w:shd w:fill="auto" w:val="clear"/>
        </w:rPr>
      </w:pPr>
      <w:r>
        <w:rPr>
          <w:rFonts w:cs="Arial" w:ascii="Arial" w:hAnsi="Arial"/>
          <w:sz w:val="20"/>
          <w:szCs w:val="20"/>
          <w:shd w:fill="auto" w:val="clear"/>
        </w:rPr>
        <w:t xml:space="preserve">1.2. </w:t>
      </w:r>
      <w:r>
        <w:rPr>
          <w:rFonts w:cs="Arial" w:ascii="Arial" w:hAnsi="Arial"/>
          <w:sz w:val="20"/>
          <w:szCs w:val="20"/>
          <w:shd w:fill="auto" w:val="clear"/>
        </w:rPr>
        <w:t>Para uso externo;</w:t>
      </w:r>
    </w:p>
    <w:p>
      <w:pPr>
        <w:pStyle w:val="ListParagraph"/>
        <w:numPr>
          <w:ilvl w:val="0"/>
          <w:numId w:val="0"/>
        </w:numPr>
        <w:tabs>
          <w:tab w:val="clear" w:pos="709"/>
          <w:tab w:val="left" w:pos="284" w:leader="none"/>
          <w:tab w:val="left" w:pos="360" w:leader="none"/>
        </w:tabs>
        <w:spacing w:lineRule="auto" w:line="240" w:before="0" w:after="0"/>
        <w:ind w:hanging="0" w:left="0"/>
        <w:jc w:val="both"/>
        <w:rPr>
          <w:highlight w:val="none"/>
          <w:shd w:fill="auto" w:val="clear"/>
        </w:rPr>
      </w:pPr>
      <w:r>
        <w:rPr>
          <w:rFonts w:cs="Arial" w:ascii="Arial" w:hAnsi="Arial"/>
          <w:sz w:val="20"/>
          <w:szCs w:val="20"/>
          <w:shd w:fill="auto" w:val="clear"/>
        </w:rPr>
        <w:t xml:space="preserve">1.3. </w:t>
      </w:r>
      <w:r>
        <w:rPr>
          <w:rFonts w:cs="Arial" w:ascii="Arial" w:hAnsi="Arial"/>
          <w:sz w:val="20"/>
          <w:szCs w:val="20"/>
          <w:shd w:fill="auto" w:val="clear"/>
        </w:rPr>
        <w:t>Composição: Copo e tampa – Polipropileno – Refil: Polipropileno e carvão ativado atóxico;</w:t>
      </w:r>
    </w:p>
    <w:p>
      <w:pPr>
        <w:pStyle w:val="ListParagraph"/>
        <w:numPr>
          <w:ilvl w:val="0"/>
          <w:numId w:val="0"/>
        </w:numPr>
        <w:tabs>
          <w:tab w:val="clear" w:pos="709"/>
          <w:tab w:val="left" w:pos="284" w:leader="none"/>
          <w:tab w:val="left" w:pos="360" w:leader="none"/>
        </w:tabs>
        <w:spacing w:lineRule="auto" w:line="240" w:before="0" w:after="0"/>
        <w:ind w:hanging="0" w:left="0"/>
        <w:jc w:val="both"/>
        <w:rPr>
          <w:highlight w:val="none"/>
          <w:shd w:fill="auto" w:val="clear"/>
        </w:rPr>
      </w:pPr>
      <w:r>
        <w:rPr>
          <w:rFonts w:cs="Arial" w:ascii="Arial" w:hAnsi="Arial"/>
          <w:sz w:val="20"/>
          <w:szCs w:val="20"/>
          <w:shd w:fill="auto" w:val="clear"/>
        </w:rPr>
        <w:t xml:space="preserve">1.4. </w:t>
      </w:r>
      <w:r>
        <w:rPr>
          <w:rFonts w:cs="Arial" w:ascii="Arial" w:hAnsi="Arial"/>
          <w:sz w:val="20"/>
          <w:szCs w:val="20"/>
          <w:shd w:fill="auto" w:val="clear"/>
        </w:rPr>
        <w:t>Rosca interna (conexão) de entrada e saída de 1/2 (meia) polegada;</w:t>
      </w:r>
    </w:p>
    <w:p>
      <w:pPr>
        <w:pStyle w:val="ListParagraph"/>
        <w:numPr>
          <w:ilvl w:val="0"/>
          <w:numId w:val="0"/>
        </w:numPr>
        <w:tabs>
          <w:tab w:val="clear" w:pos="709"/>
          <w:tab w:val="left" w:pos="284" w:leader="none"/>
          <w:tab w:val="left" w:pos="360" w:leader="none"/>
        </w:tabs>
        <w:spacing w:lineRule="auto" w:line="240" w:before="0" w:after="0"/>
        <w:ind w:hanging="0" w:left="0"/>
        <w:jc w:val="both"/>
        <w:rPr>
          <w:highlight w:val="none"/>
          <w:shd w:fill="auto" w:val="clear"/>
        </w:rPr>
      </w:pPr>
      <w:r>
        <w:rPr>
          <w:rFonts w:cs="Arial" w:ascii="Arial" w:hAnsi="Arial"/>
          <w:sz w:val="20"/>
          <w:szCs w:val="20"/>
          <w:shd w:fill="auto" w:val="clear"/>
        </w:rPr>
        <w:t xml:space="preserve">1.5. </w:t>
      </w:r>
      <w:r>
        <w:rPr>
          <w:rFonts w:cs="Arial" w:ascii="Arial" w:hAnsi="Arial"/>
          <w:sz w:val="20"/>
          <w:szCs w:val="20"/>
          <w:shd w:fill="auto" w:val="clear"/>
        </w:rPr>
        <w:t>Vazão: 80 l/h;</w:t>
      </w:r>
    </w:p>
    <w:p>
      <w:pPr>
        <w:pStyle w:val="ListParagraph"/>
        <w:numPr>
          <w:ilvl w:val="0"/>
          <w:numId w:val="0"/>
        </w:numPr>
        <w:tabs>
          <w:tab w:val="clear" w:pos="709"/>
          <w:tab w:val="left" w:pos="284" w:leader="none"/>
          <w:tab w:val="left" w:pos="360" w:leader="none"/>
        </w:tabs>
        <w:spacing w:lineRule="auto" w:line="240" w:before="0" w:after="0"/>
        <w:ind w:hanging="0" w:left="0"/>
        <w:jc w:val="both"/>
        <w:rPr>
          <w:rFonts w:ascii="Arial" w:hAnsi="Arial"/>
          <w:highlight w:val="none"/>
          <w:shd w:fill="auto" w:val="clear"/>
        </w:rPr>
      </w:pPr>
      <w:r>
        <w:rPr>
          <w:rFonts w:cs="Arial" w:ascii="Arial" w:hAnsi="Arial"/>
          <w:sz w:val="20"/>
          <w:szCs w:val="20"/>
          <w:shd w:fill="auto" w:val="clear"/>
        </w:rPr>
        <w:t xml:space="preserve">1.6. </w:t>
      </w:r>
      <w:r>
        <w:rPr>
          <w:rFonts w:cs="Arial" w:ascii="Arial" w:hAnsi="Arial"/>
          <w:sz w:val="20"/>
          <w:szCs w:val="20"/>
          <w:shd w:fill="auto" w:val="clear"/>
        </w:rPr>
        <w:t>Pressão de Operação: 19,6 kPa mín. / 392 kPa máx.;</w:t>
      </w:r>
    </w:p>
    <w:p>
      <w:pPr>
        <w:pStyle w:val="ListParagraph"/>
        <w:numPr>
          <w:ilvl w:val="0"/>
          <w:numId w:val="0"/>
        </w:numPr>
        <w:tabs>
          <w:tab w:val="clear" w:pos="709"/>
          <w:tab w:val="left" w:pos="284" w:leader="none"/>
          <w:tab w:val="left" w:pos="360" w:leader="none"/>
        </w:tabs>
        <w:spacing w:lineRule="auto" w:line="240" w:before="0" w:after="0"/>
        <w:ind w:hanging="0" w:left="0"/>
        <w:jc w:val="both"/>
        <w:rPr>
          <w:rFonts w:ascii="Arial" w:hAnsi="Arial"/>
        </w:rPr>
      </w:pPr>
      <w:r>
        <w:rPr>
          <w:rFonts w:cs="Arial" w:ascii="Arial" w:hAnsi="Arial"/>
          <w:sz w:val="20"/>
          <w:szCs w:val="20"/>
          <w:shd w:fill="auto" w:val="clear"/>
        </w:rPr>
        <w:t xml:space="preserve">1.7. </w:t>
      </w:r>
      <w:r>
        <w:rPr>
          <w:rFonts w:ascii="Arial" w:hAnsi="Arial"/>
          <w:sz w:val="20"/>
          <w:szCs w:val="20"/>
          <w:shd w:fill="auto" w:val="clear"/>
        </w:rPr>
        <w:t>Vida útil aproximada: 06 (seis) mese</w:t>
      </w:r>
      <w:r>
        <w:rPr>
          <w:rFonts w:ascii="Arial" w:hAnsi="Arial"/>
          <w:sz w:val="20"/>
          <w:szCs w:val="20"/>
        </w:rPr>
        <w:t>s.</w:t>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shd w:val="clear" w:color="auto" w:fill="CCCCCC"/>
        <w:tabs>
          <w:tab w:val="clear" w:pos="709"/>
          <w:tab w:val="left" w:pos="3450" w:leader="none"/>
        </w:tabs>
        <w:ind w:firstLine="567"/>
        <w:jc w:val="both"/>
        <w:rPr>
          <w:rFonts w:ascii="Arial" w:hAnsi="Arial" w:cs="Arial"/>
          <w:b/>
          <w:bCs/>
        </w:rPr>
      </w:pPr>
      <w:r>
        <w:rPr>
          <w:rFonts w:cs="Arial" w:ascii="Arial" w:hAnsi="Arial"/>
          <w:b/>
          <w:bCs/>
        </w:rPr>
        <w:t>4. DA EMBALAGEM:</w:t>
      </w:r>
    </w:p>
    <w:p>
      <w:pPr>
        <w:pStyle w:val="ListParagraph"/>
        <w:numPr>
          <w:ilvl w:val="0"/>
          <w:numId w:val="5"/>
        </w:numPr>
        <w:tabs>
          <w:tab w:val="clear" w:pos="709"/>
          <w:tab w:val="left" w:pos="284" w:leader="none"/>
        </w:tabs>
        <w:spacing w:lineRule="auto" w:line="240" w:before="0" w:after="0"/>
        <w:ind w:hanging="0" w:left="0"/>
        <w:jc w:val="both"/>
        <w:rPr>
          <w:rFonts w:ascii="Arial" w:hAnsi="Arial" w:cs="Arial"/>
          <w:sz w:val="20"/>
          <w:szCs w:val="20"/>
        </w:rPr>
      </w:pPr>
      <w:r>
        <w:rPr>
          <w:rFonts w:cs="Arial" w:ascii="Arial" w:hAnsi="Arial"/>
          <w:sz w:val="20"/>
          <w:szCs w:val="20"/>
        </w:rPr>
        <w:t>Os produtos deverão ser acondicionados de acordo com a praxe do fabricante, garantindo sua integridade durante o transporte, armazenamento e uso, rotulados conforme a legislação em vigor.</w:t>
      </w:r>
    </w:p>
    <w:p>
      <w:pPr>
        <w:pStyle w:val="Normal"/>
        <w:jc w:val="both"/>
        <w:rPr>
          <w:rFonts w:ascii="Arial" w:hAnsi="Arial" w:eastAsia="Arial" w:cs="Arial"/>
        </w:rPr>
      </w:pPr>
      <w:r>
        <w:rPr>
          <w:rFonts w:eastAsia="Arial" w:cs="Arial" w:ascii="Arial" w:hAnsi="Arial"/>
        </w:rPr>
      </w:r>
    </w:p>
    <w:p>
      <w:pPr>
        <w:pStyle w:val="Normal"/>
        <w:shd w:val="clear" w:color="auto" w:fill="CCCCCC"/>
        <w:ind w:firstLine="567"/>
        <w:jc w:val="both"/>
        <w:rPr>
          <w:rFonts w:ascii="Arial" w:hAnsi="Arial" w:cs="Arial"/>
        </w:rPr>
      </w:pPr>
      <w:r>
        <w:rPr>
          <w:rFonts w:cs="Arial" w:ascii="Arial" w:hAnsi="Arial"/>
          <w:b/>
          <w:bCs/>
        </w:rPr>
        <w:t>5</w:t>
      </w:r>
      <w:r>
        <w:rPr>
          <w:rFonts w:cs="Arial" w:ascii="Arial" w:hAnsi="Arial"/>
          <w:b/>
          <w:bCs/>
        </w:rPr>
        <w:t>. DA ENTREGA:</w:t>
      </w:r>
    </w:p>
    <w:p>
      <w:pPr>
        <w:pStyle w:val="Normal"/>
        <w:numPr>
          <w:ilvl w:val="0"/>
          <w:numId w:val="16"/>
        </w:numPr>
        <w:tabs>
          <w:tab w:val="clear" w:pos="709"/>
          <w:tab w:val="left" w:pos="284" w:leader="none"/>
        </w:tabs>
        <w:jc w:val="both"/>
        <w:rPr>
          <w:rFonts w:ascii="Arial" w:hAnsi="Arial" w:cs="Arial"/>
          <w:lang w:eastAsia="pt-BR"/>
        </w:rPr>
      </w:pPr>
      <w:r>
        <w:rPr>
          <w:rFonts w:cs="Arial" w:ascii="Arial" w:hAnsi="Arial"/>
          <w:lang w:eastAsia="pt-BR"/>
        </w:rPr>
        <w:t>Prazo de entr</w:t>
      </w:r>
      <w:r>
        <w:rPr>
          <w:rFonts w:cs="Arial" w:ascii="Arial" w:hAnsi="Arial"/>
          <w:shd w:fill="auto" w:val="clear"/>
          <w:lang w:eastAsia="pt-BR"/>
        </w:rPr>
        <w:t xml:space="preserve">ega: </w:t>
      </w:r>
      <w:r>
        <w:rPr>
          <w:rFonts w:cs="Arial" w:ascii="Arial" w:hAnsi="Arial"/>
          <w:shd w:fill="auto" w:val="clear"/>
          <w:lang w:eastAsia="pt-BR"/>
        </w:rPr>
        <w:t xml:space="preserve">até o máximo de 10 (dez) dias úteis </w:t>
      </w:r>
      <w:r>
        <w:rPr>
          <w:rFonts w:cs="Arial" w:ascii="Arial" w:hAnsi="Arial"/>
          <w:shd w:fill="auto" w:val="clear"/>
          <w:lang w:eastAsia="pt-BR"/>
        </w:rPr>
        <w:t xml:space="preserve">a contar da Ordem de Fornecimento, emitida pela Unidade Requisitante. </w:t>
      </w:r>
    </w:p>
    <w:p>
      <w:pPr>
        <w:pStyle w:val="Normal"/>
        <w:numPr>
          <w:ilvl w:val="0"/>
          <w:numId w:val="10"/>
        </w:numPr>
        <w:tabs>
          <w:tab w:val="clear" w:pos="709"/>
          <w:tab w:val="left" w:pos="284" w:leader="none"/>
        </w:tabs>
        <w:jc w:val="both"/>
        <w:rPr>
          <w:highlight w:val="none"/>
          <w:shd w:fill="auto" w:val="clear"/>
        </w:rPr>
      </w:pPr>
      <w:r>
        <w:rPr>
          <w:rFonts w:cs="Arial" w:ascii="Arial" w:hAnsi="Arial"/>
          <w:shd w:fill="auto" w:val="clear"/>
          <w:lang w:eastAsia="pt-BR"/>
        </w:rPr>
        <w:t xml:space="preserve">Local de entrega: </w:t>
      </w:r>
      <w:r>
        <w:rPr>
          <w:rFonts w:cs="Arial" w:ascii="Arial" w:hAnsi="Arial"/>
          <w:shd w:fill="auto" w:val="clear"/>
          <w:lang w:eastAsia="pt-BR"/>
        </w:rPr>
        <w:t>Secretaria Municipal de Administração e Governo – Divisão de Serviços Auxiliares – 9º andar.</w:t>
      </w:r>
    </w:p>
    <w:p>
      <w:pPr>
        <w:pStyle w:val="Normal"/>
        <w:numPr>
          <w:ilvl w:val="0"/>
          <w:numId w:val="0"/>
        </w:numPr>
        <w:tabs>
          <w:tab w:val="clear" w:pos="709"/>
          <w:tab w:val="left" w:pos="284" w:leader="none"/>
        </w:tabs>
        <w:ind w:hanging="0" w:left="0"/>
        <w:jc w:val="both"/>
        <w:rPr>
          <w:rFonts w:ascii="Arial" w:hAnsi="Arial" w:cs="Arial"/>
          <w:highlight w:val="none"/>
          <w:shd w:fill="auto" w:val="clear"/>
          <w:lang w:eastAsia="pt-BR"/>
        </w:rPr>
      </w:pPr>
      <w:r>
        <w:rPr>
          <w:rFonts w:cs="Arial" w:ascii="Arial" w:hAnsi="Arial"/>
          <w:shd w:fill="auto" w:val="clear"/>
          <w:lang w:eastAsia="pt-BR"/>
        </w:rPr>
        <w:t>Av. Coronel Antônio Corrêa Barbosa nº 2.233 – Bairro: Chácara Nazareth – Piracicaba – SP – CEP: 13400-900</w:t>
      </w:r>
    </w:p>
    <w:p>
      <w:pPr>
        <w:pStyle w:val="Normal"/>
        <w:numPr>
          <w:ilvl w:val="0"/>
          <w:numId w:val="0"/>
        </w:numPr>
        <w:tabs>
          <w:tab w:val="clear" w:pos="709"/>
          <w:tab w:val="left" w:pos="284" w:leader="none"/>
        </w:tabs>
        <w:ind w:hanging="0" w:left="0"/>
        <w:jc w:val="both"/>
        <w:rPr>
          <w:rFonts w:ascii="Arial" w:hAnsi="Arial" w:cs="Arial"/>
          <w:highlight w:val="none"/>
          <w:shd w:fill="auto" w:val="clear"/>
          <w:lang w:eastAsia="pt-BR"/>
        </w:rPr>
      </w:pPr>
      <w:r>
        <w:rPr>
          <w:rFonts w:cs="Arial" w:ascii="Arial" w:hAnsi="Arial"/>
          <w:shd w:fill="auto" w:val="clear"/>
          <w:lang w:eastAsia="pt-BR"/>
        </w:rPr>
        <w:t>Das 8 às 16 horas de segunda a sexta-feira.</w:t>
      </w:r>
    </w:p>
    <w:p>
      <w:pPr>
        <w:pStyle w:val="Normal"/>
        <w:numPr>
          <w:ilvl w:val="0"/>
          <w:numId w:val="10"/>
        </w:numPr>
        <w:tabs>
          <w:tab w:val="clear" w:pos="709"/>
          <w:tab w:val="left" w:pos="284" w:leader="none"/>
        </w:tabs>
        <w:jc w:val="both"/>
        <w:rPr>
          <w:rFonts w:ascii="Arial" w:hAnsi="Arial" w:cs="Arial"/>
        </w:rPr>
      </w:pPr>
      <w:r>
        <w:rPr>
          <w:rFonts w:cs="Arial" w:ascii="Arial" w:hAnsi="Arial"/>
          <w:shd w:fill="auto" w:val="clear"/>
        </w:rPr>
        <w:t>A Contratada será responsável pelo transporte e descarregame</w:t>
      </w:r>
      <w:r>
        <w:rPr>
          <w:rFonts w:cs="Arial" w:ascii="Arial" w:hAnsi="Arial"/>
        </w:rPr>
        <w:t>nto do produto, devendo entregá-los em condições adequadas para o armazenamento.</w:t>
      </w:r>
    </w:p>
    <w:p>
      <w:pPr>
        <w:pStyle w:val="Normal"/>
        <w:tabs>
          <w:tab w:val="clear" w:pos="709"/>
          <w:tab w:val="left" w:pos="284" w:leader="none"/>
        </w:tabs>
        <w:jc w:val="both"/>
        <w:rPr>
          <w:rFonts w:ascii="Arial" w:hAnsi="Arial" w:cs="Arial"/>
          <w:lang w:eastAsia="pt-BR"/>
        </w:rPr>
      </w:pPr>
      <w:r>
        <w:rPr>
          <w:rFonts w:cs="Arial" w:ascii="Arial" w:hAnsi="Arial"/>
          <w:lang w:eastAsia="pt-BR"/>
        </w:rPr>
      </w:r>
    </w:p>
    <w:p>
      <w:pPr>
        <w:pStyle w:val="Normal"/>
        <w:shd w:val="clear" w:color="auto" w:fill="CCCCCC"/>
        <w:ind w:firstLine="567"/>
        <w:jc w:val="both"/>
        <w:rPr>
          <w:rFonts w:ascii="Arial" w:hAnsi="Arial" w:cs="Arial"/>
        </w:rPr>
      </w:pPr>
      <w:r>
        <w:rPr>
          <w:rFonts w:cs="Arial" w:ascii="Arial" w:hAnsi="Arial"/>
          <w:b/>
          <w:bCs/>
        </w:rPr>
        <w:t>6</w:t>
      </w:r>
      <w:r>
        <w:rPr>
          <w:rFonts w:cs="Arial" w:ascii="Arial" w:hAnsi="Arial"/>
          <w:b/>
          <w:bCs/>
        </w:rPr>
        <w:t xml:space="preserve">. DA GARANTIA: </w:t>
      </w:r>
    </w:p>
    <w:p>
      <w:pPr>
        <w:pStyle w:val="Normal"/>
        <w:numPr>
          <w:ilvl w:val="0"/>
          <w:numId w:val="17"/>
        </w:numPr>
        <w:tabs>
          <w:tab w:val="clear" w:pos="709"/>
          <w:tab w:val="left" w:pos="284" w:leader="none"/>
        </w:tabs>
        <w:jc w:val="both"/>
        <w:rPr>
          <w:rFonts w:ascii="Arial" w:hAnsi="Arial" w:cs="Arial"/>
        </w:rPr>
      </w:pPr>
      <w:r>
        <w:rPr>
          <w:rFonts w:cs="Arial" w:ascii="Arial" w:hAnsi="Arial"/>
          <w:lang w:eastAsia="pt-BR"/>
        </w:rPr>
        <w:t>A garantia deverá ser de, no mínimo, 03 (três) meses contados da data de recebimento;</w:t>
      </w:r>
    </w:p>
    <w:p>
      <w:pPr>
        <w:pStyle w:val="Normal"/>
        <w:numPr>
          <w:ilvl w:val="0"/>
          <w:numId w:val="10"/>
        </w:numPr>
        <w:tabs>
          <w:tab w:val="clear" w:pos="709"/>
          <w:tab w:val="left" w:pos="284" w:leader="none"/>
        </w:tabs>
        <w:jc w:val="both"/>
        <w:rPr>
          <w:rFonts w:ascii="Arial" w:hAnsi="Arial" w:cs="Arial"/>
        </w:rPr>
      </w:pPr>
      <w:r>
        <w:rPr>
          <w:rFonts w:cs="Arial" w:ascii="Arial" w:hAnsi="Arial"/>
          <w:lang w:eastAsia="pt-BR"/>
        </w:rPr>
        <w:t xml:space="preserve"> </w:t>
      </w:r>
      <w:r>
        <w:rPr>
          <w:rFonts w:cs="Arial" w:ascii="Arial" w:hAnsi="Arial"/>
          <w:lang w:eastAsia="pt-BR"/>
        </w:rPr>
        <w:t>Durante a vigência da garantia, a Contratada deverá substituir, sem nenhum ônus adicional, produtos defeituosos ou com desgaste anormal no prazo máximo de 10 (dez) dias a contar da notificação.</w:t>
      </w:r>
    </w:p>
    <w:p>
      <w:pPr>
        <w:pStyle w:val="Normal"/>
        <w:numPr>
          <w:ilvl w:val="0"/>
          <w:numId w:val="0"/>
        </w:numPr>
        <w:tabs>
          <w:tab w:val="clear" w:pos="709"/>
          <w:tab w:val="left" w:pos="284" w:leader="none"/>
        </w:tabs>
        <w:ind w:hanging="0" w:left="0"/>
        <w:jc w:val="both"/>
        <w:rPr>
          <w:highlight w:val="none"/>
          <w:shd w:fill="FFFF00" w:val="clear"/>
        </w:rPr>
      </w:pPr>
      <w:r>
        <w:rPr>
          <w:shd w:fill="FFFF00" w:val="clear"/>
        </w:rPr>
      </w:r>
    </w:p>
    <w:p>
      <w:pPr>
        <w:pStyle w:val="Normal"/>
        <w:numPr>
          <w:ilvl w:val="0"/>
          <w:numId w:val="0"/>
        </w:numPr>
        <w:tabs>
          <w:tab w:val="clear" w:pos="709"/>
          <w:tab w:val="left" w:pos="284" w:leader="none"/>
        </w:tabs>
        <w:ind w:hanging="0" w:left="0"/>
        <w:jc w:val="both"/>
        <w:rPr>
          <w:highlight w:val="none"/>
          <w:shd w:fill="FFFF00" w:val="clear"/>
        </w:rPr>
      </w:pPr>
      <w:r>
        <w:rPr>
          <w:shd w:fill="FFFF00" w:val="clear"/>
        </w:rPr>
      </w:r>
    </w:p>
    <w:p>
      <w:pPr>
        <w:pStyle w:val="Normal"/>
        <w:shd w:val="clear" w:color="auto" w:fill="CCCCCC"/>
        <w:ind w:firstLine="567"/>
        <w:jc w:val="both"/>
        <w:rPr>
          <w:rFonts w:ascii="Arial" w:hAnsi="Arial" w:cs="Arial"/>
        </w:rPr>
      </w:pPr>
      <w:r>
        <w:rPr>
          <w:rFonts w:cs="Arial" w:ascii="Arial" w:hAnsi="Arial"/>
          <w:b/>
          <w:bCs/>
        </w:rPr>
        <w:t>7</w:t>
      </w:r>
      <w:r>
        <w:rPr>
          <w:rFonts w:cs="Arial" w:ascii="Arial" w:hAnsi="Arial"/>
          <w:b/>
          <w:bCs/>
        </w:rPr>
        <w:t xml:space="preserve">. DA SUBCONTRATAÇÃO: </w:t>
      </w:r>
    </w:p>
    <w:p>
      <w:pPr>
        <w:pStyle w:val="Normal"/>
        <w:numPr>
          <w:ilvl w:val="0"/>
          <w:numId w:val="18"/>
        </w:numPr>
        <w:tabs>
          <w:tab w:val="clear" w:pos="709"/>
          <w:tab w:val="left" w:pos="284" w:leader="none"/>
        </w:tabs>
        <w:jc w:val="both"/>
        <w:rPr>
          <w:rFonts w:ascii="Arial" w:hAnsi="Arial" w:cs="Arial"/>
        </w:rPr>
      </w:pPr>
      <w:r>
        <w:rPr>
          <w:rFonts w:cs="Arial" w:ascii="Arial" w:hAnsi="Arial"/>
          <w:sz w:val="20"/>
          <w:szCs w:val="20"/>
          <w:lang w:eastAsia="pt-BR"/>
        </w:rPr>
        <w:t>Não é admitida a subcontratação do objeto contratual.</w:t>
      </w:r>
    </w:p>
    <w:p>
      <w:pPr>
        <w:pStyle w:val="Normal"/>
        <w:numPr>
          <w:ilvl w:val="0"/>
          <w:numId w:val="0"/>
        </w:numPr>
        <w:tabs>
          <w:tab w:val="clear" w:pos="709"/>
          <w:tab w:val="left" w:pos="284" w:leader="none"/>
        </w:tabs>
        <w:ind w:hanging="0" w:left="0"/>
        <w:jc w:val="both"/>
        <w:rPr>
          <w:highlight w:val="none"/>
          <w:shd w:fill="FFFF00" w:val="clear"/>
        </w:rPr>
      </w:pPr>
      <w:r>
        <w:rPr>
          <w:shd w:fill="FFFF00" w:val="clear"/>
        </w:rPr>
      </w:r>
    </w:p>
    <w:p>
      <w:pPr>
        <w:pStyle w:val="Normal"/>
        <w:shd w:val="clear" w:color="auto" w:fill="DDDDDD"/>
        <w:ind w:firstLine="567"/>
        <w:jc w:val="both"/>
        <w:rPr>
          <w:rFonts w:ascii="Arial" w:hAnsi="Arial" w:cs="Arial"/>
        </w:rPr>
      </w:pPr>
      <w:r>
        <w:rPr>
          <w:rFonts w:cs="Arial" w:ascii="Arial" w:hAnsi="Arial"/>
          <w:b/>
          <w:bCs/>
        </w:rPr>
        <w:t>8</w:t>
      </w:r>
      <w:r>
        <w:rPr>
          <w:rFonts w:cs="Arial" w:ascii="Arial" w:hAnsi="Arial"/>
          <w:b/>
          <w:bCs/>
        </w:rPr>
        <w:t>. DO FORNECIMENTO DE INFORMAÇÕES:</w:t>
      </w:r>
    </w:p>
    <w:p>
      <w:pPr>
        <w:pStyle w:val="Normal"/>
        <w:numPr>
          <w:ilvl w:val="0"/>
          <w:numId w:val="6"/>
        </w:numPr>
        <w:tabs>
          <w:tab w:val="clear" w:pos="709"/>
          <w:tab w:val="left" w:pos="284" w:leader="none"/>
          <w:tab w:val="left" w:pos="567" w:leader="none"/>
        </w:tabs>
        <w:jc w:val="both"/>
        <w:rPr>
          <w:rFonts w:ascii="Arial" w:hAnsi="Arial" w:cs="Arial"/>
        </w:rPr>
      </w:pPr>
      <w:r>
        <w:rPr>
          <w:rFonts w:cs="Arial" w:ascii="Arial" w:hAnsi="Arial"/>
        </w:rPr>
        <w:t xml:space="preserve">As solicitações de esclarecimentos referentes a presente licitação deverão ser inseridas no sistema de processamento da licitação, através do sítio eletrônico: </w:t>
      </w:r>
      <w:hyperlink r:id="rId3">
        <w:r>
          <w:rPr>
            <w:rStyle w:val="Style"/>
            <w:rFonts w:cs="Arial" w:ascii="Arial" w:hAnsi="Arial"/>
            <w:color w:val="0000FF"/>
            <w:u w:val="single"/>
          </w:rPr>
          <w:t>https://bnccompras.com</w:t>
        </w:r>
      </w:hyperlink>
      <w:r>
        <w:rPr>
          <w:rFonts w:cs="Arial" w:ascii="Arial" w:hAnsi="Arial"/>
        </w:rPr>
        <w:t>.</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6"/>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3255" w:leader="none"/>
        </w:tabs>
        <w:jc w:val="both"/>
        <w:rPr>
          <w:rFonts w:ascii="Arial" w:hAnsi="Arial" w:cs="Arial"/>
        </w:rPr>
      </w:pPr>
      <w:r>
        <w:rPr>
          <w:rFonts w:cs="Arial" w:ascii="Arial" w:hAnsi="Arial"/>
        </w:rPr>
        <w:tab/>
      </w:r>
    </w:p>
    <w:p>
      <w:pPr>
        <w:pStyle w:val="Normal"/>
        <w:shd w:val="clear" w:color="auto" w:fill="CCCCCC"/>
        <w:ind w:firstLine="567"/>
        <w:jc w:val="both"/>
        <w:rPr>
          <w:rFonts w:ascii="Arial" w:hAnsi="Arial" w:cs="Arial"/>
        </w:rPr>
      </w:pPr>
      <w:r>
        <w:rPr>
          <w:rFonts w:cs="Arial" w:ascii="Arial" w:hAnsi="Arial"/>
          <w:b/>
          <w:bCs/>
        </w:rPr>
        <w:t>9</w:t>
      </w:r>
      <w:r>
        <w:rPr>
          <w:rFonts w:cs="Arial" w:ascii="Arial" w:hAnsi="Arial"/>
          <w:b/>
          <w:bCs/>
        </w:rPr>
        <w:t>. EXIGÊNCIA PARA HABILITAÇÃO:</w:t>
      </w:r>
    </w:p>
    <w:p>
      <w:pPr>
        <w:pStyle w:val="Normal"/>
        <w:tabs>
          <w:tab w:val="clear" w:pos="709"/>
          <w:tab w:val="left" w:pos="284" w:leader="none"/>
        </w:tabs>
        <w:jc w:val="both"/>
        <w:rPr>
          <w:rFonts w:ascii="Arial" w:hAnsi="Arial" w:cs="Arial"/>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7"/>
        </w:numPr>
        <w:tabs>
          <w:tab w:val="clear" w:pos="709"/>
          <w:tab w:val="left" w:pos="284" w:leader="none"/>
        </w:tabs>
        <w:jc w:val="both"/>
        <w:rPr>
          <w:highlight w:val="none"/>
          <w:shd w:fill="auto" w:val="clear"/>
        </w:rPr>
      </w:pPr>
      <w:r>
        <w:rPr>
          <w:rFonts w:cs="Arial" w:ascii="Arial" w:hAnsi="Arial"/>
          <w:color w:val="000000"/>
          <w:shd w:fill="auto" w:val="clear"/>
        </w:rPr>
        <w:t>Certidão negativa de Débitos ou Positiva com Efeito de Negativa de</w:t>
      </w:r>
      <w:r>
        <w:rPr>
          <w:rFonts w:cs="Arial" w:ascii="Arial" w:hAnsi="Arial"/>
          <w:shd w:fill="auto" w:val="clear"/>
        </w:rPr>
        <w:t xml:space="preserve"> Tributos Estaduais relativos ao </w:t>
      </w:r>
      <w:r>
        <w:rPr>
          <w:rFonts w:cs="Arial" w:ascii="Arial" w:hAnsi="Arial"/>
          <w:shd w:fill="auto" w:val="clear"/>
        </w:rPr>
        <w:t>ICMS</w:t>
      </w:r>
      <w:r>
        <w:rPr>
          <w:rFonts w:cs="Arial" w:ascii="Arial" w:hAnsi="Arial"/>
          <w:shd w:fill="auto" w:val="clear"/>
        </w:rPr>
        <w:t>;</w:t>
      </w:r>
    </w:p>
    <w:p>
      <w:pPr>
        <w:pStyle w:val="Normal"/>
        <w:numPr>
          <w:ilvl w:val="2"/>
          <w:numId w:val="7"/>
        </w:numPr>
        <w:tabs>
          <w:tab w:val="clear" w:pos="709"/>
          <w:tab w:val="left" w:pos="284" w:leader="none"/>
          <w:tab w:val="left" w:pos="426" w:leader="none"/>
        </w:tabs>
        <w:jc w:val="both"/>
        <w:rPr>
          <w:highlight w:val="none"/>
          <w:shd w:fill="auto" w:val="clear"/>
        </w:rPr>
      </w:pPr>
      <w:r>
        <w:rPr>
          <w:rFonts w:cs="Arial" w:ascii="Arial" w:hAnsi="Arial"/>
          <w:color w:val="000000"/>
          <w:shd w:fill="auto" w:val="clear"/>
        </w:rPr>
        <w:t>Será exigida comprovação somente sobre débitos inscritos em dívida ativa.</w:t>
      </w:r>
    </w:p>
    <w:p>
      <w:pPr>
        <w:pStyle w:val="Normal"/>
        <w:numPr>
          <w:ilvl w:val="1"/>
          <w:numId w:val="7"/>
        </w:numPr>
        <w:tabs>
          <w:tab w:val="clear" w:pos="709"/>
          <w:tab w:val="left" w:pos="284" w:leader="none"/>
        </w:tabs>
        <w:jc w:val="both"/>
        <w:rPr>
          <w:highlight w:val="none"/>
          <w:shd w:fill="auto" w:val="clear"/>
        </w:rPr>
      </w:pPr>
      <w:r>
        <w:rPr>
          <w:rFonts w:cs="Arial" w:ascii="Arial" w:hAnsi="Arial"/>
          <w:color w:val="000000"/>
          <w:shd w:fill="auto" w:val="clear"/>
        </w:rPr>
        <w:t>Certidão de regularidade de débito para com o Fundo de Garantia por Tempo de Serviço (FGTS).</w:t>
      </w:r>
    </w:p>
    <w:p>
      <w:pPr>
        <w:pStyle w:val="Normal"/>
        <w:numPr>
          <w:ilvl w:val="1"/>
          <w:numId w:val="7"/>
        </w:numPr>
        <w:tabs>
          <w:tab w:val="clear" w:pos="709"/>
          <w:tab w:val="left" w:pos="284" w:leader="none"/>
        </w:tabs>
        <w:jc w:val="both"/>
        <w:rPr>
          <w:highlight w:val="none"/>
          <w:shd w:fill="auto" w:val="clear"/>
        </w:rPr>
      </w:pPr>
      <w:r>
        <w:rPr>
          <w:rFonts w:cs="Arial" w:ascii="Arial" w:hAnsi="Arial"/>
          <w:color w:val="000000"/>
          <w:shd w:fill="auto" w:val="clear"/>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7"/>
        </w:numPr>
        <w:tabs>
          <w:tab w:val="clear" w:pos="709"/>
          <w:tab w:val="left" w:pos="284" w:leader="none"/>
        </w:tabs>
        <w:jc w:val="both"/>
        <w:rPr>
          <w:rFonts w:ascii="Arial" w:hAnsi="Arial" w:cs="Arial"/>
        </w:rPr>
      </w:pPr>
      <w:r>
        <w:rPr>
          <w:rFonts w:cs="Arial" w:ascii="Arial" w:hAnsi="Arial"/>
        </w:rPr>
        <w:t>Certidão negativa de falência expedida pelo distribuidor da sede da pessoa jurídica, com data não superior a 180 (cento e oitenta) dias, da data limite para o recebimento das propostas da presente licitação.</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1.1. </w:t>
      </w:r>
      <w:r>
        <w:rPr>
          <w:rFonts w:cs="Arial" w:ascii="Arial" w:hAnsi="Arial"/>
        </w:rPr>
        <w:t>Havendo a exigência de complementação indicada na própria certidão de falência, deverá ser apresentada a respectiva certidão complementar, nos termos ali indicados, conforme orientação do Tribunal de Justiça da sede da Licitante.</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w:t>
      </w:r>
      <w:bookmarkStart w:id="0" w:name="_GoBack"/>
      <w:bookmarkEnd w:id="0"/>
      <w:r>
        <w:rPr>
          <w:rFonts w:cs="Arial" w:ascii="Arial" w:hAnsi="Arial"/>
        </w:rPr>
        <w:t xml:space="preserve"> documentos</w:t>
      </w:r>
      <w:r>
        <w:rPr>
          <w:rFonts w:cs="Arial" w:ascii="Arial" w:hAnsi="Arial"/>
          <w:color w:val="000000"/>
        </w:rPr>
        <w:t>:</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numPr>
          <w:ilvl w:val="0"/>
          <w:numId w:val="0"/>
        </w:numPr>
        <w:tabs>
          <w:tab w:val="clear" w:pos="709"/>
          <w:tab w:val="left" w:pos="284" w:leader="none"/>
          <w:tab w:val="left" w:pos="426" w:leader="none"/>
          <w:tab w:val="left" w:pos="567" w:leader="none"/>
        </w:tabs>
        <w:ind w:hanging="0" w:left="0"/>
        <w:jc w:val="both"/>
        <w:rPr>
          <w:highlight w:val="none"/>
          <w:shd w:fill="FFFF00" w:val="clear"/>
        </w:rPr>
      </w:pPr>
      <w:r>
        <w:rPr>
          <w:rFonts w:cs="Arial" w:ascii="Arial" w:hAnsi="Arial"/>
        </w:rPr>
      </w:r>
    </w:p>
    <w:p>
      <w:pPr>
        <w:pStyle w:val="Normal"/>
        <w:numPr>
          <w:ilvl w:val="0"/>
          <w:numId w:val="7"/>
        </w:numPr>
        <w:tabs>
          <w:tab w:val="clear" w:pos="709"/>
          <w:tab w:val="left" w:pos="284" w:leader="none"/>
          <w:tab w:val="left" w:pos="426" w:leader="none"/>
          <w:tab w:val="left" w:pos="567" w:leader="none"/>
        </w:tabs>
        <w:jc w:val="both"/>
        <w:rPr>
          <w:rFonts w:ascii="Arial" w:hAnsi="Arial" w:cs="Arial"/>
        </w:rPr>
      </w:pPr>
      <w:r>
        <w:rPr>
          <w:rFonts w:cs="Arial" w:ascii="Arial" w:hAnsi="Arial"/>
          <w:b/>
        </w:rPr>
        <w:t>CATÁLOGOS</w:t>
      </w:r>
    </w:p>
    <w:p>
      <w:pPr>
        <w:pStyle w:val="Normal"/>
        <w:numPr>
          <w:ilvl w:val="1"/>
          <w:numId w:val="19"/>
        </w:numPr>
        <w:tabs>
          <w:tab w:val="clear" w:pos="709"/>
          <w:tab w:val="left" w:pos="284" w:leader="none"/>
          <w:tab w:val="left" w:pos="426" w:leader="none"/>
          <w:tab w:val="left" w:pos="567" w:leader="none"/>
        </w:tabs>
        <w:jc w:val="both"/>
        <w:rPr>
          <w:rFonts w:ascii="Arial" w:hAnsi="Arial" w:cs="Arial"/>
        </w:rPr>
      </w:pPr>
      <w:r>
        <w:rPr>
          <w:rFonts w:cs="Arial" w:ascii="Arial" w:hAnsi="Arial"/>
        </w:rPr>
        <w:t>Deverá(ão) ser apresentado(s) junto com a proposta, sob pena de desclassificação pelo não cumprimento:</w:t>
      </w:r>
    </w:p>
    <w:p>
      <w:pPr>
        <w:pStyle w:val="Normal"/>
        <w:numPr>
          <w:ilvl w:val="2"/>
          <w:numId w:val="7"/>
        </w:numPr>
        <w:tabs>
          <w:tab w:val="clear" w:pos="709"/>
          <w:tab w:val="left" w:pos="284" w:leader="none"/>
          <w:tab w:val="left" w:pos="426" w:leader="none"/>
          <w:tab w:val="left" w:pos="567" w:leader="none"/>
        </w:tabs>
        <w:jc w:val="both"/>
        <w:rPr>
          <w:rFonts w:ascii="Arial" w:hAnsi="Arial" w:cs="Arial"/>
        </w:rPr>
      </w:pPr>
      <w:r>
        <w:rPr>
          <w:rFonts w:cs="Arial" w:ascii="Arial" w:hAnsi="Arial"/>
        </w:rPr>
        <w:t>Catálogos técnicos contendo descritivo/folder/foto do produto ofertado o descritivo do produto ofertado, comprovando as especificações técnicas do edital, sob pena de desclassificação pelo não cumprimento.</w:t>
      </w:r>
    </w:p>
    <w:p>
      <w:pPr>
        <w:pStyle w:val="Normal"/>
        <w:tabs>
          <w:tab w:val="clear" w:pos="709"/>
          <w:tab w:val="left" w:pos="284" w:leader="none"/>
          <w:tab w:val="left" w:pos="426" w:leader="none"/>
          <w:tab w:val="left" w:pos="567" w:leader="none"/>
        </w:tabs>
        <w:jc w:val="both"/>
        <w:rPr>
          <w:rFonts w:ascii="Arial" w:hAnsi="Arial" w:cs="Arial"/>
          <w:highlight w:val="none"/>
          <w:shd w:fill="auto" w:val="clear"/>
        </w:rPr>
      </w:pPr>
      <w:r>
        <w:rPr>
          <w:rFonts w:cs="Arial" w:ascii="Arial" w:hAnsi="Arial"/>
          <w:shd w:fill="auto" w:val="clear"/>
        </w:rPr>
      </w:r>
    </w:p>
    <w:p>
      <w:pPr>
        <w:pStyle w:val="Normal"/>
        <w:ind w:firstLine="567"/>
        <w:jc w:val="both"/>
        <w:rPr>
          <w:highlight w:val="none"/>
          <w:shd w:fill="auto" w:val="clear"/>
        </w:rPr>
      </w:pPr>
      <w:r>
        <w:rPr>
          <w:rFonts w:cs="Arial" w:ascii="Arial" w:hAnsi="Arial"/>
          <w:shd w:fill="auto" w:val="clear"/>
        </w:rPr>
        <w:t xml:space="preserve">Piracicaba, </w:t>
      </w:r>
      <w:r>
        <w:rPr>
          <w:rFonts w:cs="Arial" w:ascii="Arial" w:hAnsi="Arial"/>
          <w:shd w:fill="auto" w:val="clear"/>
        </w:rPr>
        <w:t>17</w:t>
      </w:r>
      <w:r>
        <w:rPr>
          <w:rFonts w:cs="Arial" w:ascii="Arial" w:hAnsi="Arial"/>
          <w:shd w:fill="auto" w:val="clear"/>
        </w:rPr>
        <w:t xml:space="preserve"> de </w:t>
      </w:r>
      <w:r>
        <w:rPr>
          <w:rFonts w:cs="Arial" w:ascii="Arial" w:hAnsi="Arial"/>
          <w:shd w:fill="auto" w:val="clear"/>
        </w:rPr>
        <w:t>junho</w:t>
      </w:r>
      <w:r>
        <w:rPr>
          <w:rFonts w:cs="Arial" w:ascii="Arial" w:hAnsi="Arial"/>
          <w:shd w:fill="auto" w:val="clear"/>
        </w:rPr>
        <w:t xml:space="preserve"> de 2026.</w:t>
      </w:r>
    </w:p>
    <w:p>
      <w:pPr>
        <w:pStyle w:val="Normal"/>
        <w:ind w:firstLine="567"/>
        <w:jc w:val="both"/>
        <w:rPr>
          <w:rFonts w:ascii="Arial" w:hAnsi="Arial" w:cs="Arial"/>
          <w:highlight w:val="none"/>
          <w:shd w:fill="auto" w:val="clear"/>
        </w:rPr>
      </w:pPr>
      <w:r>
        <w:rPr>
          <w:rFonts w:cs="Arial" w:ascii="Arial" w:hAnsi="Arial"/>
          <w:shd w:fill="auto" w:val="clear"/>
        </w:rPr>
      </w:r>
    </w:p>
    <w:p>
      <w:pPr>
        <w:pStyle w:val="Normal"/>
        <w:rPr>
          <w:rFonts w:ascii="Arial" w:hAnsi="Arial" w:cs="Arial"/>
          <w:highlight w:val="none"/>
          <w:shd w:fill="auto" w:val="clear"/>
        </w:rPr>
      </w:pPr>
      <w:r>
        <w:rPr>
          <w:rFonts w:cs="Arial" w:ascii="Arial" w:hAnsi="Arial"/>
          <w:shd w:fill="auto" w:val="clear"/>
        </w:rPr>
      </w:r>
    </w:p>
    <w:p>
      <w:pPr>
        <w:pStyle w:val="Normal"/>
        <w:jc w:val="center"/>
        <w:rPr>
          <w:highlight w:val="none"/>
          <w:shd w:fill="auto" w:val="clear"/>
        </w:rPr>
      </w:pPr>
      <w:r>
        <w:rPr>
          <w:rFonts w:cs="Arial" w:ascii="Arial" w:hAnsi="Arial"/>
          <w:b/>
          <w:shd w:fill="auto" w:val="clear"/>
        </w:rPr>
        <w:t>Larissa Palomo Monferdini</w:t>
      </w:r>
    </w:p>
    <w:p>
      <w:pPr>
        <w:pStyle w:val="Normal"/>
        <w:jc w:val="center"/>
        <w:rPr>
          <w:highlight w:val="none"/>
          <w:shd w:fill="auto" w:val="clear"/>
        </w:rPr>
      </w:pPr>
      <w:r>
        <w:rPr>
          <w:rFonts w:cs="Arial" w:ascii="Arial" w:hAnsi="Arial"/>
          <w:b/>
          <w:shd w:fill="auto" w:val="clear"/>
        </w:rPr>
        <w:t>Chefe de Setor</w:t>
      </w:r>
      <w:r>
        <w:br w:type="page"/>
      </w:r>
    </w:p>
    <w:p>
      <w:pPr>
        <w:pStyle w:val="Heading2"/>
        <w:numPr>
          <w:ilvl w:val="1"/>
          <w:numId w:val="1"/>
        </w:numPr>
        <w:spacing w:before="0" w:after="0"/>
        <w:ind w:hanging="0" w:left="0"/>
        <w:rPr/>
      </w:pPr>
      <w:r>
        <w:rPr/>
        <w:t>REGULAMENTO GERAL</w:t>
      </w:r>
    </w:p>
    <w:p>
      <w:pPr>
        <w:pStyle w:val="Heading2"/>
        <w:tabs>
          <w:tab w:val="clear" w:pos="0"/>
          <w:tab w:val="left" w:pos="708" w:leader="none"/>
          <w:tab w:val="left" w:pos="851" w:leader="none"/>
        </w:tabs>
        <w:ind w:hanging="0" w:left="0"/>
        <w:rPr>
          <w:b w:val="false"/>
        </w:rPr>
      </w:pPr>
      <w:r>
        <w:rPr>
          <w:b w:val="false"/>
          <w:lang w:val="pt-BR"/>
        </w:rPr>
        <w:t>DISPENSA ELETRÔNICA</w:t>
      </w:r>
    </w:p>
    <w:p>
      <w:pPr>
        <w:pStyle w:val="Heading2"/>
        <w:numPr>
          <w:ilvl w:val="0"/>
          <w:numId w:val="1"/>
        </w:numPr>
        <w:tabs>
          <w:tab w:val="left" w:pos="0" w:leader="none"/>
          <w:tab w:val="left" w:pos="708" w:leader="none"/>
          <w:tab w:val="left" w:pos="851" w:leader="none"/>
        </w:tabs>
        <w:ind w:hanging="0" w:left="576"/>
        <w:rPr/>
      </w:pPr>
      <w:r>
        <w:rPr/>
      </w:r>
    </w:p>
    <w:p>
      <w:pPr>
        <w:pStyle w:val="Normal"/>
        <w:ind w:firstLine="284" w:right="-1"/>
        <w:jc w:val="both"/>
        <w:rPr>
          <w:rFonts w:ascii="Arial" w:hAnsi="Arial" w:cs="Arial"/>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1. REFERÊNCIA DE TEMPO</w:t>
      </w:r>
    </w:p>
    <w:p>
      <w:pPr>
        <w:pStyle w:val="Normal"/>
        <w:numPr>
          <w:ilvl w:val="0"/>
          <w:numId w:val="1"/>
        </w:numPr>
        <w:ind w:firstLine="284" w:left="0" w:right="-1"/>
        <w:jc w:val="both"/>
        <w:rPr>
          <w:rFonts w:ascii="Arial" w:hAnsi="Arial" w:cs="Arial"/>
        </w:rPr>
      </w:pPr>
      <w:r>
        <w:rPr>
          <w:rFonts w:cs="Arial" w:ascii="Arial" w:hAnsi="Arial"/>
        </w:rPr>
      </w:r>
    </w:p>
    <w:p>
      <w:pPr>
        <w:pStyle w:val="Heading3"/>
        <w:numPr>
          <w:ilvl w:val="2"/>
          <w:numId w:val="1"/>
        </w:numPr>
        <w:ind w:firstLine="284" w:left="0" w:right="-1"/>
        <w:jc w:val="both"/>
        <w:rPr>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2. CONDIÇÕES PARA PARTICIPAÇÃO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Style w:val="Style"/>
            <w:rFonts w:cs="Arial" w:ascii="Arial" w:hAnsi="Arial"/>
            <w:color w:val="0000FF"/>
            <w:u w:val="single"/>
          </w:rPr>
          <w:t>https://bnccompras.com</w:t>
        </w:r>
      </w:hyperlink>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Heading9"/>
        <w:numPr>
          <w:ilvl w:val="8"/>
          <w:numId w:val="1"/>
        </w:numPr>
        <w:ind w:firstLine="284" w:left="0" w:right="-1"/>
        <w:rPr>
          <w:b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ind w:firstLine="284" w:left="0" w:right="-1"/>
        <w:jc w:val="both"/>
        <w:rPr>
          <w:rFonts w:ascii="Arial" w:hAnsi="Arial" w:cs="Arial"/>
        </w:rPr>
      </w:pPr>
      <w:r>
        <w:rPr>
          <w:rFonts w:cs="Arial" w:ascii="Arial" w:hAnsi="Arial"/>
        </w:rPr>
      </w:r>
    </w:p>
    <w:p>
      <w:pPr>
        <w:pStyle w:val="Standard"/>
        <w:numPr>
          <w:ilvl w:val="0"/>
          <w:numId w:val="1"/>
        </w:numPr>
        <w:ind w:firstLine="284" w:left="0" w:right="-1"/>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ind w:firstLine="284" w:left="0" w:right="-1"/>
        <w:jc w:val="both"/>
        <w:rPr>
          <w:rFonts w:ascii="Arial" w:hAnsi="Arial" w:cs="Arial"/>
          <w:b/>
        </w:rPr>
      </w:pPr>
      <w:r>
        <w:rPr>
          <w:rFonts w:cs="Arial" w:ascii="Arial" w:hAnsi="Arial"/>
          <w:b/>
        </w:rPr>
      </w:r>
    </w:p>
    <w:p>
      <w:pPr>
        <w:pStyle w:val="Standard"/>
        <w:ind w:firstLine="284" w:right="-1"/>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caps/>
        </w:rPr>
        <w:t>3. credenciamento NO APLICATIVO LICITAÇÕES</w:t>
      </w:r>
    </w:p>
    <w:p>
      <w:pPr>
        <w:pStyle w:val="Normal"/>
        <w:numPr>
          <w:ilvl w:val="0"/>
          <w:numId w:val="1"/>
        </w:numPr>
        <w:ind w:firstLine="284" w:left="0" w:right="-1"/>
        <w:jc w:val="both"/>
        <w:rPr>
          <w:rFonts w:ascii="Arial" w:hAnsi="Arial" w:cs="Arial"/>
        </w:rPr>
      </w:pPr>
      <w:r>
        <w:rPr>
          <w:rFonts w:cs="Arial" w:ascii="Arial" w:hAnsi="Arial"/>
        </w:rPr>
      </w:r>
    </w:p>
    <w:p>
      <w:pPr>
        <w:pStyle w:val="Heading1"/>
        <w:numPr>
          <w:ilvl w:val="0"/>
          <w:numId w:val="1"/>
        </w:numPr>
        <w:ind w:firstLine="284" w:left="0" w:right="-1"/>
        <w:jc w:val="both"/>
        <w:rPr>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rStyle w:val="Style"/>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4. ENVIO DAS PROPOSTAS ELETRÔNICAS DE PREÇOS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b/>
        </w:rPr>
      </w:pPr>
      <w:r>
        <w:rPr>
          <w:rFonts w:cs="Arial" w:ascii="Arial" w:hAnsi="Arial"/>
          <w:b/>
        </w:rPr>
        <w:t xml:space="preserve">5. HABILITAÇÃO: </w:t>
      </w:r>
    </w:p>
    <w:p>
      <w:pPr>
        <w:pStyle w:val="Normal"/>
        <w:numPr>
          <w:ilvl w:val="0"/>
          <w:numId w:val="1"/>
        </w:numPr>
        <w:ind w:firstLine="284" w:left="0"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ind w:firstLine="284" w:left="0" w:right="-1"/>
        <w:jc w:val="both"/>
        <w:rPr>
          <w:rFonts w:ascii="Arial" w:hAnsi="Arial" w:eastAsia="Arial" w:cs="Arial"/>
        </w:rPr>
      </w:pPr>
      <w:r>
        <w:rPr>
          <w:rFonts w:eastAsia="Arial" w:cs="Arial" w:ascii="Arial" w:hAnsi="Arial"/>
        </w:rPr>
        <w:t xml:space="preserve">  </w:t>
      </w:r>
    </w:p>
    <w:p>
      <w:pPr>
        <w:pStyle w:val="BodyTextIndent"/>
        <w:ind w:firstLine="284" w:right="-1"/>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ind w:firstLine="284" w:left="0" w:right="-1"/>
        <w:jc w:val="both"/>
        <w:rPr>
          <w:rFonts w:ascii="Arial" w:hAnsi="Arial" w:cs="Arial"/>
          <w:strike/>
        </w:rPr>
      </w:pPr>
      <w:r>
        <w:rPr>
          <w:rFonts w:cs="Arial" w:ascii="Arial" w:hAnsi="Arial"/>
          <w:strike/>
        </w:rPr>
      </w:r>
    </w:p>
    <w:p>
      <w:pPr>
        <w:pStyle w:val="Normal"/>
        <w:ind w:firstLine="284" w:right="-1"/>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ind w:firstLine="284" w:left="0" w:right="-1"/>
        <w:jc w:val="both"/>
        <w:rPr>
          <w:rFonts w:ascii="Arial" w:hAnsi="Arial" w:cs="Arial"/>
          <w:highlight w:val="yellow"/>
        </w:rPr>
      </w:pPr>
      <w:r>
        <w:rPr>
          <w:rFonts w:cs="Arial" w:ascii="Arial" w:hAnsi="Arial"/>
        </w:rPr>
        <w:t xml:space="preserve"> </w:t>
      </w:r>
    </w:p>
    <w:p>
      <w:pPr>
        <w:pStyle w:val="Normal"/>
        <w:ind w:firstLine="284" w:right="-1"/>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firstLine="284" w:right="-1"/>
        <w:jc w:val="both"/>
        <w:rPr>
          <w:rFonts w:ascii="Arial" w:hAnsi="Arial" w:cs="Arial"/>
          <w:b/>
          <w:highlight w:val="yellow"/>
        </w:rPr>
      </w:pPr>
      <w:r>
        <w:rPr>
          <w:rFonts w:cs="Arial" w:ascii="Arial" w:hAnsi="Arial"/>
          <w:b/>
          <w:highlight w:val="yellow"/>
        </w:rPr>
      </w:r>
    </w:p>
    <w:p>
      <w:pPr>
        <w:pStyle w:val="Normal"/>
        <w:ind w:firstLine="284" w:right="-1"/>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b/>
          <w:bCs/>
        </w:rPr>
      </w:pPr>
      <w:r>
        <w:rPr>
          <w:rFonts w:cs="Arial" w:ascii="Arial" w:hAnsi="Arial"/>
          <w:b/>
          <w:bCs/>
        </w:rPr>
        <w:t xml:space="preserve">7. FASE DE JULGAMENTO </w:t>
      </w:r>
    </w:p>
    <w:p>
      <w:pPr>
        <w:pStyle w:val="Normal"/>
        <w:ind w:firstLine="284"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firstLine="284" w:right="-1"/>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firstLine="284" w:right="-1"/>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firstLine="284"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firstLine="284"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8. DOS PAGAMENTOS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Hyperlink"/>
            <w:rFonts w:cs="Arial" w:ascii="Arial" w:hAnsi="Arial"/>
            <w:color w:val="0000FF"/>
          </w:rPr>
          <w:t>notafiscal@piracicaba.sp.gov.br</w:t>
        </w:r>
      </w:hyperlink>
      <w:r>
        <w:rPr>
          <w:rStyle w:val="Hyperlink"/>
          <w:rFonts w:cs="Arial" w:ascii="Arial" w:hAnsi="Arial"/>
          <w:color w:val="0000FF"/>
        </w:rPr>
        <w:t>.</w:t>
      </w:r>
    </w:p>
    <w:p>
      <w:pPr>
        <w:pStyle w:val="Normal"/>
        <w:ind w:hanging="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 SANÇÕES ADMINISTRATIVAS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9.1.1.</w:t>
      </w:r>
      <w:r>
        <w:rPr>
          <w:rFonts w:cs="Arial" w:ascii="Arial" w:hAnsi="Arial"/>
        </w:rPr>
        <w:t xml:space="preserve"> </w:t>
      </w:r>
      <w:bookmarkStart w:id="1" w:name="_Hlk114652595"/>
      <w:bookmarkStart w:id="2" w:name="_Ref114668085"/>
      <w:r>
        <w:rPr>
          <w:rFonts w:cs="Arial" w:ascii="Arial" w:hAnsi="Arial"/>
        </w:rPr>
        <w:t>Deixar de entregar a documentação exigida para o certame ou não entregar qualquer documento que tenha sido solicitado pelo/a pregoeiro/a durante o certame;</w:t>
      </w:r>
      <w:bookmarkEnd w:id="2"/>
    </w:p>
    <w:p>
      <w:pPr>
        <w:pStyle w:val="Normal"/>
        <w:numPr>
          <w:ilvl w:val="0"/>
          <w:numId w:val="1"/>
        </w:numPr>
        <w:ind w:firstLine="284" w:left="0" w:right="-1"/>
        <w:jc w:val="both"/>
        <w:rPr>
          <w:rFonts w:ascii="Arial" w:hAnsi="Arial" w:cs="Arial"/>
        </w:rPr>
      </w:pPr>
      <w:r>
        <w:rPr>
          <w:rFonts w:cs="Arial" w:ascii="Arial" w:hAnsi="Arial"/>
        </w:rPr>
      </w:r>
      <w:bookmarkStart w:id="3" w:name="_Ref114668108"/>
      <w:bookmarkStart w:id="4" w:name="_Ref114668108"/>
    </w:p>
    <w:p>
      <w:pPr>
        <w:pStyle w:val="Normal"/>
        <w:ind w:firstLine="284" w:right="-1"/>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4"/>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ind w:firstLine="284" w:left="0" w:right="-1"/>
        <w:jc w:val="both"/>
        <w:rPr>
          <w:rFonts w:ascii="Arial" w:hAnsi="Arial" w:cs="Arial"/>
        </w:rPr>
      </w:pPr>
      <w:r>
        <w:rPr>
          <w:rFonts w:cs="Arial" w:ascii="Arial" w:hAnsi="Arial"/>
        </w:rPr>
      </w:r>
      <w:bookmarkStart w:id="5" w:name="_Ref114668139"/>
      <w:bookmarkStart w:id="6" w:name="_Ref114668139"/>
    </w:p>
    <w:p>
      <w:pPr>
        <w:pStyle w:val="Normal"/>
        <w:ind w:firstLine="284" w:right="-1"/>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6"/>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ind w:firstLine="284" w:left="0" w:right="-1"/>
        <w:jc w:val="both"/>
        <w:rPr>
          <w:rFonts w:ascii="Arial" w:hAnsi="Arial" w:cs="Arial"/>
        </w:rPr>
      </w:pPr>
      <w:r>
        <w:rPr>
          <w:rFonts w:cs="Arial" w:ascii="Arial" w:hAnsi="Arial"/>
        </w:rPr>
      </w:r>
      <w:bookmarkStart w:id="7" w:name="_Ref114668249"/>
      <w:bookmarkStart w:id="8" w:name="_Ref114668249"/>
    </w:p>
    <w:p>
      <w:pPr>
        <w:pStyle w:val="Normal"/>
        <w:numPr>
          <w:ilvl w:val="0"/>
          <w:numId w:val="1"/>
        </w:numPr>
        <w:ind w:firstLine="284" w:left="0" w:right="-1"/>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8"/>
    </w:p>
    <w:p>
      <w:pPr>
        <w:pStyle w:val="Normal"/>
        <w:numPr>
          <w:ilvl w:val="0"/>
          <w:numId w:val="1"/>
        </w:numPr>
        <w:ind w:firstLine="284" w:left="0" w:right="-1"/>
        <w:jc w:val="both"/>
        <w:rPr>
          <w:rFonts w:ascii="Arial" w:hAnsi="Arial" w:cs="Arial"/>
        </w:rPr>
      </w:pPr>
      <w:r>
        <w:rPr>
          <w:rFonts w:cs="Arial" w:ascii="Arial" w:hAnsi="Arial"/>
        </w:rPr>
      </w:r>
      <w:bookmarkStart w:id="9" w:name="_Ref114668245"/>
      <w:bookmarkStart w:id="10" w:name="_Ref114668245"/>
    </w:p>
    <w:p>
      <w:pPr>
        <w:pStyle w:val="Normal"/>
        <w:numPr>
          <w:ilvl w:val="0"/>
          <w:numId w:val="1"/>
        </w:numPr>
        <w:ind w:firstLine="284" w:left="0" w:right="-1"/>
        <w:jc w:val="both"/>
        <w:rPr>
          <w:rFonts w:ascii="Arial" w:hAnsi="Arial" w:cs="Arial"/>
        </w:rPr>
      </w:pPr>
      <w:r>
        <w:rPr>
          <w:rFonts w:cs="Arial" w:ascii="Arial" w:hAnsi="Arial"/>
          <w:b/>
          <w:bCs/>
        </w:rPr>
        <w:t>9.1.5.</w:t>
      </w:r>
      <w:r>
        <w:rPr>
          <w:rFonts w:cs="Arial" w:ascii="Arial" w:hAnsi="Arial"/>
        </w:rPr>
        <w:t xml:space="preserve"> Fraudar a licitação</w:t>
      </w:r>
      <w:bookmarkEnd w:id="10"/>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11" w:name="_Ref114668247"/>
      <w:bookmarkStart w:id="12" w:name="_Ref114668247"/>
    </w:p>
    <w:p>
      <w:pPr>
        <w:pStyle w:val="Normal"/>
        <w:numPr>
          <w:ilvl w:val="0"/>
          <w:numId w:val="1"/>
        </w:numPr>
        <w:ind w:firstLine="284" w:left="0" w:right="-1"/>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2"/>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ind w:firstLine="284" w:left="0" w:right="-1"/>
        <w:jc w:val="both"/>
        <w:rPr>
          <w:rFonts w:ascii="Arial" w:hAnsi="Arial" w:cs="Arial"/>
        </w:rPr>
      </w:pPr>
      <w:r>
        <w:rPr>
          <w:rFonts w:cs="Arial" w:ascii="Arial" w:hAnsi="Arial"/>
        </w:rPr>
      </w:r>
      <w:bookmarkStart w:id="13" w:name="_Ref114668251"/>
      <w:bookmarkStart w:id="14" w:name="_Ref114668251"/>
    </w:p>
    <w:p>
      <w:pPr>
        <w:pStyle w:val="Normal"/>
        <w:numPr>
          <w:ilvl w:val="0"/>
          <w:numId w:val="1"/>
        </w:numPr>
        <w:ind w:firstLine="284" w:left="0" w:right="-1"/>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4"/>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15" w:name="_Ref114668252"/>
      <w:bookmarkStart w:id="16" w:name="_Ref114668252"/>
    </w:p>
    <w:p>
      <w:pPr>
        <w:pStyle w:val="Normal"/>
        <w:numPr>
          <w:ilvl w:val="0"/>
          <w:numId w:val="1"/>
        </w:numPr>
        <w:ind w:firstLine="284" w:left="0" w:right="-1"/>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1"/>
      <w:bookmarkEnd w:id="16"/>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ind w:firstLine="284" w:left="0" w:right="-1"/>
        <w:jc w:val="both"/>
        <w:rPr>
          <w:rFonts w:ascii="Arial" w:hAnsi="Arial" w:cs="Arial"/>
          <w:b/>
        </w:rPr>
      </w:pPr>
      <w:r>
        <w:rPr>
          <w:rFonts w:cs="Arial" w:ascii="Arial" w:hAnsi="Arial"/>
          <w:b/>
        </w:rPr>
      </w:r>
    </w:p>
    <w:p>
      <w:pPr>
        <w:pStyle w:val="Normal"/>
        <w:numPr>
          <w:ilvl w:val="0"/>
          <w:numId w:val="1"/>
        </w:numPr>
        <w:ind w:firstLine="284" w:left="0" w:right="-1"/>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Heading1"/>
        <w:tabs>
          <w:tab w:val="clear" w:pos="0"/>
        </w:tabs>
        <w:ind w:firstLine="284" w:left="0" w:right="-1"/>
        <w:jc w:val="both"/>
        <w:rPr>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rStyle w:val="Style"/>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firstLine="284" w:left="0"/>
        <w:jc w:val="both"/>
        <w:rPr>
          <w:rFonts w:ascii="Arial" w:hAnsi="Arial" w:cs="Arial"/>
        </w:rPr>
      </w:pPr>
      <w:r>
        <w:rPr>
          <w:rFonts w:cs="Arial" w:ascii="Arial" w:hAnsi="Arial"/>
        </w:rPr>
      </w:r>
      <w:r>
        <w:br w:type="page"/>
      </w:r>
    </w:p>
    <w:p>
      <w:pPr>
        <w:pStyle w:val="BodyTextIndent"/>
        <w:widowControl w:val="false"/>
        <w:overflowPunct w:val="true"/>
        <w:spacing w:lineRule="auto" w:line="240" w:before="0" w:after="0"/>
        <w:jc w:val="center"/>
        <w:textAlignment w:val="auto"/>
        <w:rPr>
          <w:b/>
          <w:bCs/>
          <w:color w:val="auto"/>
          <w:sz w:val="20"/>
          <w:szCs w:val="20"/>
          <w:lang w:val="pt-BR"/>
        </w:rPr>
      </w:pPr>
      <w:r>
        <w:rPr>
          <w:b/>
          <w:bCs/>
          <w:color w:val="auto"/>
          <w:sz w:val="20"/>
          <w:szCs w:val="20"/>
        </w:rPr>
        <w:t>ANEXO I</w:t>
      </w:r>
    </w:p>
    <w:p>
      <w:pPr>
        <w:pStyle w:val="Normal"/>
        <w:jc w:val="center"/>
        <w:rPr>
          <w:rFonts w:ascii="Arial" w:hAnsi="Arial" w:cs="Arial"/>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2"/>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2"/>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2"/>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2"/>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2"/>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2"/>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2"/>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hanging="0" w:left="72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BodyTextIndent"/>
        <w:widowControl w:val="false"/>
        <w:overflowPunct w:val="true"/>
        <w:spacing w:lineRule="auto" w:line="240" w:before="0" w:after="0"/>
        <w:jc w:val="center"/>
        <w:textAlignment w:val="auto"/>
        <w:rPr>
          <w:b/>
          <w:bCs/>
          <w:color w:val="auto"/>
          <w:sz w:val="20"/>
          <w:szCs w:val="20"/>
          <w:lang w:val="pt-BR"/>
        </w:rPr>
      </w:pPr>
      <w:r>
        <w:rPr>
          <w:b/>
          <w:bCs/>
          <w:color w:val="auto"/>
          <w:sz w:val="20"/>
          <w:szCs w:val="20"/>
        </w:rPr>
        <w:t>ANEXO II</w:t>
      </w:r>
    </w:p>
    <w:p>
      <w:pPr>
        <w:pStyle w:val="Normal"/>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BodyTextIndent"/>
        <w:widowControl w:val="false"/>
        <w:overflowPunct w:val="tru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Cs/>
        </w:rPr>
      </w:pPr>
      <w:r>
        <w:rPr>
          <w:rFonts w:cs="Arial" w:ascii="Arial" w:hAnsi="Arial"/>
        </w:rPr>
        <w:t>====================================================================================</w:t>
      </w:r>
    </w:p>
    <w:p>
      <w:pPr>
        <w:pStyle w:val="Normal"/>
        <w:jc w:val="center"/>
        <w:rPr>
          <w:rFonts w:ascii="Arial" w:hAnsi="Arial" w:cs="Arial"/>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Cs/>
        </w:rPr>
      </w:pPr>
      <w:r>
        <w:rPr>
          <w:rFonts w:cs="Arial" w:ascii="Arial" w:hAnsi="Arial"/>
        </w:rPr>
        <w:t>====================================================================================</w:t>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textAlignment w:val="auto"/>
        <w:rPr>
          <w:color w:val="auto"/>
          <w:sz w:val="20"/>
          <w:szCs w:val="20"/>
        </w:rPr>
      </w:pPr>
      <w:r>
        <w:rPr>
          <w:color w:val="auto"/>
          <w:sz w:val="20"/>
          <w:szCs w:val="20"/>
        </w:rPr>
      </w:r>
    </w:p>
    <w:p>
      <w:pPr>
        <w:pStyle w:val="BodyTextIndent"/>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32"/>
        <w:gridCol w:w="862"/>
        <w:gridCol w:w="4533"/>
        <w:gridCol w:w="1416"/>
        <w:gridCol w:w="1705"/>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Item</w:t>
            </w:r>
          </w:p>
        </w:tc>
        <w:tc>
          <w:tcPr>
            <w:tcW w:w="832" w:type="dxa"/>
            <w:tcBorders>
              <w:top w:val="single" w:sz="4" w:space="0" w:color="000000"/>
              <w:left w:val="single" w:sz="4" w:space="0" w:color="000000"/>
              <w:bottom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Quant.</w:t>
            </w:r>
          </w:p>
        </w:tc>
        <w:tc>
          <w:tcPr>
            <w:tcW w:w="862" w:type="dxa"/>
            <w:tcBorders>
              <w:top w:val="single" w:sz="4" w:space="0" w:color="000000"/>
              <w:left w:val="single" w:sz="4" w:space="0" w:color="000000"/>
              <w:bottom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Valor Unitário</w:t>
            </w:r>
          </w:p>
        </w:tc>
        <w:tc>
          <w:tcPr>
            <w:tcW w:w="1705" w:type="dxa"/>
            <w:tcBorders>
              <w:top w:val="single" w:sz="4" w:space="0" w:color="000000"/>
              <w:left w:val="single" w:sz="4" w:space="0" w:color="000000"/>
              <w:bottom w:val="single" w:sz="4" w:space="0" w:color="000000"/>
              <w:right w:val="single" w:sz="4" w:space="0" w:color="000000"/>
            </w:tcBorders>
            <w:vAlign w:val="center"/>
          </w:tcPr>
          <w:p>
            <w:pPr>
              <w:pStyle w:val="Contedodatabelauser"/>
              <w:widowControl w:val="false"/>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BodyTextIndent"/>
        <w:widowControl w:val="false"/>
        <w:overflowPunct w:val="tru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Fonts w:cs="Arial" w:ascii="Arial" w:hAnsi="Arial"/>
        </w:rPr>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850" w:gutter="0" w:header="1146" w:top="1418" w:footer="420" w:bottom="568"/>
      <w:pgNumType w:fmt="decimal"/>
      <w:formProt w:val="false"/>
      <w:textDirection w:val="lrTb"/>
      <w:docGrid w:type="default" w:linePitch="600" w:charSpace="6553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swiss"/>
    <w:pitch w:val="variable"/>
  </w:font>
  <w:font w:name="Tahoma">
    <w:charset w:val="00"/>
    <w:family w:val="roman"/>
    <w:pitch w:val="variable"/>
  </w:font>
  <w:font w:name="Arial MT">
    <w:charset w:val="00"/>
    <w:family w:val="roman"/>
    <w:pitch w:val="variable"/>
  </w:font>
  <w:font w:name="Arial">
    <w:charset w:val="01"/>
    <w:family w:val="swiss"/>
    <w:pitch w:val="variable"/>
  </w:font>
  <w:font w:name="Book Antiqua">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user"/>
      <w:jc w:val="center"/>
      <w:rPr>
        <w:rFonts w:ascii="Arial" w:hAnsi="Arial" w:cs="Arial"/>
        <w:b/>
        <w:sz w:val="16"/>
      </w:rPr>
    </w:pPr>
    <w:r>
      <w:rPr>
        <w:rFonts w:cs="Arial" w:ascii="Arial" w:hAnsi="Arial"/>
        <w:color w:val="000000"/>
        <w:sz w:val="16"/>
      </w:rPr>
      <w:t xml:space="preserve">Dispensa Eletrônica nº </w:t>
    </w:r>
    <w:r>
      <w:rPr>
        <w:rFonts w:cs="Arial" w:ascii="Arial" w:hAnsi="Arial"/>
        <w:color w:val="000000"/>
        <w:sz w:val="16"/>
      </w:rPr>
      <w:t>061</w:t>
    </w:r>
    <w:r>
      <w:rPr>
        <w:rFonts w:cs="Arial" w:ascii="Arial" w:hAnsi="Arial"/>
        <w:color w:val="000000"/>
        <w:sz w:val="16"/>
      </w:rPr>
      <w:t xml:space="preserve">/2026 – Página </w:t>
    </w:r>
    <w:r>
      <w:rPr>
        <w:rFonts w:cs="Arial" w:ascii="Arial" w:hAnsi="Arial"/>
        <w:b/>
        <w:color w:val="000000"/>
        <w:sz w:val="16"/>
      </w:rPr>
      <w:fldChar w:fldCharType="begin"/>
    </w:r>
    <w:r>
      <w:rPr>
        <w:rFonts w:cs="Arial" w:ascii="Arial" w:hAnsi="Arial"/>
        <w:b/>
        <w:color w:val="000000"/>
        <w:sz w:val="16"/>
      </w:rPr>
      <w:instrText xml:space="preserve"> PAGE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r>
      <w:rPr>
        <w:rFonts w:cs="Arial" w:ascii="Arial" w:hAnsi="Arial"/>
        <w:color w:val="000000"/>
        <w:sz w:val="16"/>
      </w:rPr>
      <w:t xml:space="preserve"> de </w:t>
    </w:r>
    <w:r>
      <w:rPr>
        <w:rFonts w:cs="Arial" w:ascii="Arial" w:hAnsi="Arial"/>
        <w:b/>
        <w:color w:val="000000"/>
        <w:sz w:val="16"/>
      </w:rPr>
      <w:fldChar w:fldCharType="begin"/>
    </w:r>
    <w:r>
      <w:rPr>
        <w:rFonts w:cs="Arial" w:ascii="Arial" w:hAnsi="Arial"/>
        <w:b/>
        <w:color w:val="000000"/>
        <w:sz w:val="16"/>
      </w:rPr>
      <w:instrText xml:space="preserve"> NUMPAGES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p>
  <w:p>
    <w:pPr>
      <w:pStyle w:val="Contedodoquadrouser"/>
      <w:jc w:val="center"/>
      <w:rPr>
        <w:rFonts w:ascii="Arial" w:hAnsi="Arial" w:cs="Arial"/>
        <w:b/>
        <w:sz w:val="16"/>
      </w:rPr>
    </w:pPr>
    <w:r>
      <w:rPr>
        <w:rFonts w:cs="Arial" w:ascii="Arial" w:hAnsi="Arial"/>
        <w:b/>
        <w:sz w:val="16"/>
      </w:rPr>
      <w:drawing>
        <wp:anchor distT="0" distB="0" distL="114300" distR="114300" simplePos="0" relativeHeight="50" behindDoc="1" locked="0" layoutInCell="0" allowOverlap="1">
          <wp:simplePos x="0" y="0"/>
          <wp:positionH relativeFrom="column">
            <wp:posOffset>144145</wp:posOffset>
          </wp:positionH>
          <wp:positionV relativeFrom="paragraph">
            <wp:posOffset>53975</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pPr>
      <w:pStyle w:val="Contedodoquadrouser"/>
      <w:ind w:hanging="3346" w:left="3346"/>
      <w:rPr>
        <w:color w:val="000000"/>
      </w:rPr>
    </w:pPr>
    <w:r>
      <w:rPr>
        <w:color w:val="000000"/>
      </w:rPr>
    </w:r>
  </w:p>
  <w:p>
    <w:pPr>
      <w:pStyle w:val="Contedodoquadrouser"/>
      <w:ind w:hanging="0" w:left="3346"/>
      <w:rPr>
        <w:rFonts w:ascii="Arial" w:hAnsi="Arial" w:cs="Arial"/>
        <w:sz w:val="16"/>
      </w:rPr>
    </w:pPr>
    <w:r>
      <w:rPr>
        <w:rFonts w:cs="Arial" w:ascii="Arial" w:hAnsi="Arial"/>
        <w:sz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user"/>
      <w:jc w:val="center"/>
      <w:rPr>
        <w:rFonts w:ascii="Arial" w:hAnsi="Arial" w:cs="Arial"/>
        <w:b/>
        <w:sz w:val="16"/>
      </w:rPr>
    </w:pPr>
    <w:r>
      <w:rPr>
        <w:rFonts w:cs="Arial" w:ascii="Arial" w:hAnsi="Arial"/>
        <w:color w:val="000000"/>
        <w:sz w:val="16"/>
      </w:rPr>
      <w:t xml:space="preserve">Dispensa Eletrônica nº </w:t>
    </w:r>
    <w:r>
      <w:rPr>
        <w:rFonts w:cs="Arial" w:ascii="Arial" w:hAnsi="Arial"/>
        <w:color w:val="000000"/>
        <w:sz w:val="16"/>
      </w:rPr>
      <w:t>061</w:t>
    </w:r>
    <w:r>
      <w:rPr>
        <w:rFonts w:cs="Arial" w:ascii="Arial" w:hAnsi="Arial"/>
        <w:color w:val="000000"/>
        <w:sz w:val="16"/>
      </w:rPr>
      <w:t xml:space="preserve">/2026 – Página </w:t>
    </w:r>
    <w:r>
      <w:rPr>
        <w:rFonts w:cs="Arial" w:ascii="Arial" w:hAnsi="Arial"/>
        <w:b/>
        <w:color w:val="000000"/>
        <w:sz w:val="16"/>
      </w:rPr>
      <w:fldChar w:fldCharType="begin"/>
    </w:r>
    <w:r>
      <w:rPr>
        <w:rFonts w:cs="Arial" w:ascii="Arial" w:hAnsi="Arial"/>
        <w:b/>
        <w:color w:val="000000"/>
        <w:sz w:val="16"/>
      </w:rPr>
      <w:instrText xml:space="preserve"> PAGE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r>
      <w:rPr>
        <w:rFonts w:cs="Arial" w:ascii="Arial" w:hAnsi="Arial"/>
        <w:color w:val="000000"/>
        <w:sz w:val="16"/>
      </w:rPr>
      <w:t xml:space="preserve"> de </w:t>
    </w:r>
    <w:r>
      <w:rPr>
        <w:rFonts w:cs="Arial" w:ascii="Arial" w:hAnsi="Arial"/>
        <w:b/>
        <w:color w:val="000000"/>
        <w:sz w:val="16"/>
      </w:rPr>
      <w:fldChar w:fldCharType="begin"/>
    </w:r>
    <w:r>
      <w:rPr>
        <w:rFonts w:cs="Arial" w:ascii="Arial" w:hAnsi="Arial"/>
        <w:b/>
        <w:color w:val="000000"/>
        <w:sz w:val="16"/>
      </w:rPr>
      <w:instrText xml:space="preserve"> NUMPAGES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p>
  <w:p>
    <w:pPr>
      <w:pStyle w:val="Contedodoquadrouser"/>
      <w:jc w:val="center"/>
      <w:rPr>
        <w:rFonts w:ascii="Arial" w:hAnsi="Arial" w:cs="Arial"/>
        <w:b/>
        <w:sz w:val="16"/>
      </w:rPr>
    </w:pPr>
    <w:r>
      <w:rPr>
        <w:rFonts w:cs="Arial" w:ascii="Arial" w:hAnsi="Arial"/>
        <w:b/>
        <w:sz w:val="16"/>
      </w:rPr>
      <w:drawing>
        <wp:anchor distT="0" distB="0" distL="114300" distR="114300" simplePos="0" relativeHeight="50" behindDoc="1" locked="0" layoutInCell="0" allowOverlap="1">
          <wp:simplePos x="0" y="0"/>
          <wp:positionH relativeFrom="column">
            <wp:posOffset>144145</wp:posOffset>
          </wp:positionH>
          <wp:positionV relativeFrom="paragraph">
            <wp:posOffset>53975</wp:posOffset>
          </wp:positionV>
          <wp:extent cx="6111875" cy="511810"/>
          <wp:effectExtent l="0" t="0" r="0" b="0"/>
          <wp:wrapSquare wrapText="bothSides"/>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pPr>
      <w:pStyle w:val="Contedodoquadrouser"/>
      <w:ind w:hanging="3346" w:left="3346"/>
      <w:rPr>
        <w:color w:val="000000"/>
      </w:rPr>
    </w:pPr>
    <w:r>
      <w:rPr>
        <w:color w:val="000000"/>
      </w:rPr>
    </w:r>
  </w:p>
  <w:p>
    <w:pPr>
      <w:pStyle w:val="Contedodoquadrouser"/>
      <w:ind w:hanging="0" w:left="3346"/>
      <w:rPr>
        <w:rFonts w:ascii="Arial" w:hAnsi="Arial" w:cs="Arial"/>
        <w:sz w:val="16"/>
      </w:rPr>
    </w:pPr>
    <w:r>
      <w:rPr>
        <w:rFonts w:cs="Arial" w:ascii="Arial" w:hAnsi="Arial"/>
        <w:sz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114300" distR="114300" simplePos="0" relativeHeight="13"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distT="0" distB="0" distL="0" distR="0" simplePos="0" relativeHeight="36"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2" name="Textbox 3"/>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hanging="0" w:right="217"/>
                            <w:jc w:val="center"/>
                            <w:rPr>
                              <w:color w:val="000000"/>
                            </w:rPr>
                          </w:pPr>
                          <w:r>
                            <w:rPr>
                              <w:rFonts w:ascii="Book antiqua" w:hAnsi="Book antiqua"/>
                              <w:color w:val="000000"/>
                              <w:sz w:val="26"/>
                              <w:szCs w:val="26"/>
                            </w:rPr>
                            <w:t>Divisão de Compras</w:t>
                          </w:r>
                        </w:p>
                      </w:txbxContent>
                    </wps:txbx>
                    <wps:bodyPr lIns="0" rIns="0" tIns="0" bIns="0" anchor="t">
                      <a:noAutofit/>
                    </wps:bodyPr>
                  </wps:wsp>
                </a:graphicData>
              </a:graphic>
            </wp:anchor>
          </w:drawing>
        </mc:Choice>
        <mc:Fallback>
          <w:pict>
            <v:rect id="shape_0" stroked="f" o:allowincell="f" style="position:absolute;margin-left:183.7pt;margin-top:10.9pt;width:336.35pt;height:56.85pt;mso-wrap-style:square;v-text-anchor:top;mso-position-horizontal-relative:page;mso-position-vertical-relative:page" wp14:anchorId="2575256A">
              <v:fill o:detectmouseclick="t" on="false"/>
              <v:stroke color="#3465a4" joinstyle="round" endcap="flat"/>
              <v:textbo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hanging="0" w:right="217"/>
                      <w:jc w:val="center"/>
                      <w:rPr>
                        <w:color w:val="000000"/>
                      </w:rPr>
                    </w:pPr>
                    <w:r>
                      <w:rPr>
                        <w:rFonts w:ascii="Book antiqua" w:hAnsi="Book antiqua"/>
                        <w:color w:val="000000"/>
                        <w:sz w:val="26"/>
                        <w:szCs w:val="26"/>
                      </w:rPr>
                      <w:t>Divisão de Compras</w:t>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114300" distR="114300" simplePos="0" relativeHeight="13"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3"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distT="0" distB="0" distL="0" distR="0" simplePos="0" relativeHeight="36"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4" name="Textbox 3"/>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hanging="0" w:right="217"/>
                            <w:jc w:val="center"/>
                            <w:rPr>
                              <w:color w:val="000000"/>
                            </w:rPr>
                          </w:pPr>
                          <w:r>
                            <w:rPr>
                              <w:rFonts w:ascii="Book antiqua" w:hAnsi="Book antiqua"/>
                              <w:color w:val="000000"/>
                              <w:sz w:val="26"/>
                              <w:szCs w:val="26"/>
                            </w:rPr>
                            <w:t>Divisão de Compras</w:t>
                          </w:r>
                        </w:p>
                      </w:txbxContent>
                    </wps:txbx>
                    <wps:bodyPr lIns="0" rIns="0" tIns="0" bIns="0" anchor="t">
                      <a:noAutofit/>
                    </wps:bodyPr>
                  </wps:wsp>
                </a:graphicData>
              </a:graphic>
            </wp:anchor>
          </w:drawing>
        </mc:Choice>
        <mc:Fallback>
          <w:pict>
            <v:rect id="shape_0" stroked="f" o:allowincell="f" style="position:absolute;margin-left:183.7pt;margin-top:10.9pt;width:336.35pt;height:56.85pt;mso-wrap-style:square;v-text-anchor:top;mso-position-horizontal-relative:page;mso-position-vertical-relative:page" wp14:anchorId="2575256A">
              <v:fill o:detectmouseclick="t" on="false"/>
              <v:stroke color="#3465a4" joinstyle="round" endcap="flat"/>
              <v:textbox>
                <w:txbxContent>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ind w:hanging="0" w:right="217"/>
                      <w:jc w:val="center"/>
                      <w:rPr>
                        <w:color w:val="000000"/>
                      </w:rPr>
                    </w:pPr>
                    <w:r>
                      <w:rPr>
                        <w:rFonts w:ascii="Book antiqua" w:hAnsi="Book antiqua"/>
                        <w:color w:val="000000"/>
                        <w:sz w:val="26"/>
                        <w:szCs w:val="26"/>
                      </w:rPr>
                      <w:t>Divisão de Compras</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4">
    <w:lvl w:ilvl="0">
      <w:start w:val="1"/>
      <w:numFmt w:val="lowerLetter"/>
      <w:lvlText w:val="%1)"/>
      <w:lvlJc w:val="left"/>
      <w:pPr>
        <w:tabs>
          <w:tab w:val="num" w:pos="0"/>
        </w:tabs>
        <w:ind w:left="0" w:hanging="0"/>
      </w:pPr>
      <w:rPr>
        <w:rFonts w:ascii="Arial" w:hAnsi="Arial"/>
        <w:b/>
        <w:bCs/>
        <w:sz w:val="20"/>
        <w:szCs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5">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7">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8">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9">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10">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11">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12">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13">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1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3"/>
    <w:lvlOverride w:ilvl="0">
      <w:startOverride w:val="1"/>
    </w:lvlOverride>
  </w:num>
  <w:num w:numId="16">
    <w:abstractNumId w:val="10"/>
    <w:lvlOverride w:ilvl="0">
      <w:startOverride w:val="1"/>
    </w:lvlOverride>
  </w:num>
  <w:num w:numId="17">
    <w:abstractNumId w:val="10"/>
    <w:lvlOverride w:ilvl="0">
      <w:startOverride w:val="1"/>
    </w:lvlOverride>
  </w:num>
  <w:num w:numId="18">
    <w:abstractNumId w:val="10"/>
    <w:lvlOverride w:ilvl="0">
      <w:startOverride w:val="1"/>
    </w:lvlOverride>
  </w:num>
  <w:num w:numId="19">
    <w:abstractNumId w:val="7"/>
    <w:lvlOverride w:ilvl="0">
      <w:startOverride w:val="1"/>
    </w:lvlOverride>
    <w:lvlOverride w:ilvl="1">
      <w:startOverride w:val="1"/>
    </w:lvlOverride>
  </w:num>
</w:numbering>
</file>

<file path=word/settings.xml><?xml version="1.0" encoding="utf-8"?>
<w:settings xmlns:w="http://schemas.openxmlformats.org/wordprocessingml/2006/main">
  <w:zoom w:percent="140"/>
  <w:displayBackgroundShape/>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tabs>
        <w:tab w:val="clear" w:pos="709"/>
        <w:tab w:val="left" w:pos="0" w:leader="none"/>
      </w:tabs>
      <w:ind w:hanging="432" w:left="432"/>
      <w:jc w:val="center"/>
      <w:outlineLvl w:val="0"/>
    </w:pPr>
    <w:rPr>
      <w:rFonts w:ascii="Arial" w:hAnsi="Arial" w:cs="Arial"/>
      <w:b/>
      <w:bCs/>
      <w:sz w:val="32"/>
      <w:szCs w:val="32"/>
      <w:lang w:val="x-none"/>
    </w:rPr>
  </w:style>
  <w:style w:type="paragraph" w:styleId="Heading2">
    <w:name w:val="heading 2"/>
    <w:basedOn w:val="Normal"/>
    <w:next w:val="Normal"/>
    <w:qFormat/>
    <w:pPr>
      <w:keepNext w:val="true"/>
      <w:tabs>
        <w:tab w:val="clear" w:pos="709"/>
        <w:tab w:val="left" w:pos="0" w:leader="none"/>
      </w:tabs>
      <w:ind w:hanging="576" w:left="576"/>
      <w:jc w:val="center"/>
      <w:outlineLvl w:val="1"/>
    </w:pPr>
    <w:rPr>
      <w:rFonts w:ascii="Arial" w:hAnsi="Arial" w:cs="Arial"/>
      <w:b/>
      <w:bCs/>
      <w:sz w:val="24"/>
      <w:szCs w:val="24"/>
      <w:lang w:val="x-none"/>
    </w:rPr>
  </w:style>
  <w:style w:type="paragraph" w:styleId="Heading3">
    <w:name w:val="heading 3"/>
    <w:basedOn w:val="Normal"/>
    <w:next w:val="Normal"/>
    <w:qFormat/>
    <w:pPr>
      <w:keepNext w:val="true"/>
      <w:tabs>
        <w:tab w:val="clear" w:pos="709"/>
        <w:tab w:val="left" w:pos="0" w:leader="none"/>
      </w:tabs>
      <w:ind w:hanging="720" w:left="720"/>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tabs>
        <w:tab w:val="clear" w:pos="709"/>
        <w:tab w:val="left" w:pos="0" w:leader="none"/>
      </w:tabs>
      <w:ind w:hanging="864" w:left="864"/>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tabs>
        <w:tab w:val="clear" w:pos="709"/>
        <w:tab w:val="left" w:pos="0" w:leader="none"/>
      </w:tabs>
      <w:ind w:hanging="1008" w:left="1008"/>
      <w:jc w:val="center"/>
      <w:outlineLvl w:val="4"/>
    </w:pPr>
    <w:rPr>
      <w:b/>
      <w:sz w:val="28"/>
      <w:lang w:val="x-none"/>
    </w:rPr>
  </w:style>
  <w:style w:type="paragraph" w:styleId="Heading6">
    <w:name w:val="heading 6"/>
    <w:basedOn w:val="Normal"/>
    <w:next w:val="Normal"/>
    <w:qFormat/>
    <w:pPr>
      <w:keepNext w:val="true"/>
      <w:tabs>
        <w:tab w:val="clear" w:pos="709"/>
        <w:tab w:val="left" w:pos="0" w:leader="none"/>
      </w:tabs>
      <w:ind w:hanging="1152" w:left="1152"/>
      <w:jc w:val="center"/>
      <w:outlineLvl w:val="5"/>
    </w:pPr>
    <w:rPr>
      <w:rFonts w:ascii="Arial" w:hAnsi="Arial" w:cs="Arial"/>
      <w:b/>
      <w:bCs/>
      <w:color w:val="0000FF"/>
      <w:lang w:val="x-none"/>
    </w:rPr>
  </w:style>
  <w:style w:type="paragraph" w:styleId="Heading7">
    <w:name w:val="heading 7"/>
    <w:basedOn w:val="Normal"/>
    <w:next w:val="Normal"/>
    <w:qFormat/>
    <w:pPr>
      <w:keepNext w:val="true"/>
      <w:tabs>
        <w:tab w:val="clear" w:pos="709"/>
        <w:tab w:val="left" w:pos="0" w:leader="none"/>
      </w:tabs>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tabs>
        <w:tab w:val="clear" w:pos="709"/>
        <w:tab w:val="left" w:pos="0" w:leader="none"/>
      </w:tabs>
      <w:ind w:firstLine="561"/>
      <w:jc w:val="both"/>
      <w:outlineLvl w:val="7"/>
    </w:pPr>
    <w:rPr>
      <w:rFonts w:ascii="Arial" w:hAnsi="Arial"/>
      <w:b/>
      <w:bCs/>
      <w:sz w:val="22"/>
      <w:szCs w:val="22"/>
      <w:lang w:val="x-none"/>
    </w:rPr>
  </w:style>
  <w:style w:type="paragraph" w:styleId="Heading9">
    <w:name w:val="heading 9"/>
    <w:basedOn w:val="Normal"/>
    <w:next w:val="Normal"/>
    <w:qFormat/>
    <w:pPr>
      <w:keepNext w:val="true"/>
      <w:tabs>
        <w:tab w:val="clear" w:pos="709"/>
        <w:tab w:val="left" w:pos="0" w:leader="none"/>
      </w:tabs>
      <w:ind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user" w:customStyle="1">
    <w:name w:val="Símbolos de numeração (user)"/>
    <w:qFormat/>
    <w:rPr>
      <w:rFonts w:ascii="Arial" w:hAnsi="Arial"/>
      <w:b/>
      <w:bCs/>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Hyperlink">
    <w:name w:val="Hyperlink"/>
    <w:basedOn w:val="DefaultParagraphFont"/>
    <w:unhideWhenUsed/>
    <w:rsid w:val="00dc4724"/>
    <w:rPr>
      <w:color w:themeColor="hyperlink" w:val="0563C1"/>
      <w:u w:val="single"/>
    </w:rPr>
  </w:style>
  <w:style w:type="character" w:styleId="Fontepargpadro20" w:customStyle="1">
    <w:name w:val="Fonte parág. padrão20"/>
    <w:qFormat/>
    <w:rsid w:val="00863310"/>
    <w:rPr/>
  </w:style>
  <w:style w:type="character" w:styleId="Marcadoresuser" w:customStyle="1">
    <w:name w:val="Marcadores (user)"/>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customStyle="1">
    <w:name w:val="Índice (user)"/>
    <w:basedOn w:val="Normal"/>
    <w:qFormat/>
    <w:pPr>
      <w:suppressLineNumbers/>
    </w:pPr>
    <w:rPr>
      <w:rFonts w:cs="Mangal"/>
    </w:rPr>
  </w:style>
  <w:style w:type="paragraph" w:styleId="Title">
    <w:name w:val="Title"/>
    <w:basedOn w:val="Ttulo21"/>
    <w:next w:val="BodyText"/>
    <w:qFormat/>
    <w:pPr/>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hanging="0"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tabs>
        <w:tab w:val="clear" w:pos="709"/>
        <w:tab w:val="left" w:pos="851" w:leader="none"/>
      </w:tabs>
      <w:spacing w:lineRule="auto" w:line="264" w:before="0" w:after="180"/>
      <w:ind w:hanging="851" w:left="851"/>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user" w:customStyle="1">
    <w:name w:val="Conteúdo da tabela (user)"/>
    <w:basedOn w:val="Normal"/>
    <w:qFormat/>
    <w:pPr>
      <w:suppressLineNumbers/>
    </w:pPr>
    <w:rPr/>
  </w:style>
  <w:style w:type="paragraph" w:styleId="Ttulodatabela" w:customStyle="1">
    <w:name w:val="Título da tabela"/>
    <w:basedOn w:val="Contedodatabelauser"/>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user" w:customStyle="1">
    <w:name w:val="Título de tabela (user)"/>
    <w:basedOn w:val="Contedodatabelauser"/>
    <w:qFormat/>
    <w:pPr>
      <w:jc w:val="center"/>
    </w:pPr>
    <w:rPr>
      <w:b/>
      <w:bCs/>
    </w:rPr>
  </w:style>
  <w:style w:type="paragraph" w:styleId="Contedodoquadrouser" w:customStyle="1">
    <w:name w:val="Conteúdo do quadro (user)"/>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hanging="0"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hanging="0"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tabs>
        <w:tab w:val="left" w:pos="0" w:leader="none"/>
        <w:tab w:val="left" w:pos="567" w:leader="none"/>
      </w:tabs>
      <w:suppressAutoHyphens w:val="false"/>
      <w:spacing w:before="240" w:after="0"/>
      <w:ind w:hanging="360" w:left="360"/>
      <w:jc w:val="both"/>
    </w:pPr>
    <w:rPr>
      <w:rFonts w:eastAsia="MS Gothic"/>
      <w:kern w:val="0"/>
      <w:sz w:val="20"/>
      <w:szCs w:val="20"/>
      <w:lang w:val="pt-BR" w:eastAsia="pt-BR"/>
    </w:rPr>
  </w:style>
  <w:style w:type="paragraph" w:styleId="Nivel2" w:customStyle="1">
    <w:name w:val="Nivel 2"/>
    <w:basedOn w:val="Normal"/>
    <w:link w:val="Nivel2Char"/>
    <w:qFormat/>
    <w:rsid w:val="00ed126a"/>
    <w:pPr>
      <w:tabs>
        <w:tab w:val="clear" w:pos="709"/>
        <w:tab w:val="left" w:pos="0" w:leader="none"/>
      </w:tabs>
      <w:suppressAutoHyphens w:val="false"/>
      <w:spacing w:lineRule="auto" w:line="276" w:before="120" w:after="120"/>
      <w:ind w:hanging="432" w:left="4969"/>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tabs>
        <w:tab w:val="clear" w:pos="709"/>
        <w:tab w:val="left" w:pos="0" w:leader="none"/>
      </w:tabs>
      <w:suppressAutoHyphens w:val="false"/>
      <w:spacing w:lineRule="auto" w:line="276" w:before="120" w:after="120"/>
      <w:ind w:hanging="504" w:left="3198"/>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ind w:hanging="0" w:left="851"/>
    </w:pPr>
    <w:rPr>
      <w:color w:val="auto"/>
    </w:rPr>
  </w:style>
  <w:style w:type="paragraph" w:styleId="Nivel5" w:customStyle="1">
    <w:name w:val="Nivel 5"/>
    <w:basedOn w:val="Nivel4"/>
    <w:qFormat/>
    <w:rsid w:val="00ed126a"/>
    <w:pPr>
      <w:ind w:hanging="0" w:left="1276"/>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TableParagraph" w:customStyle="1">
    <w:name w:val="Table Paragraph"/>
    <w:basedOn w:val="Normal"/>
    <w:uiPriority w:val="1"/>
    <w:qFormat/>
    <w:rsid w:val="00a32f70"/>
    <w:pPr>
      <w:widowControl w:val="false"/>
      <w:suppressAutoHyphens w:val="false"/>
    </w:pPr>
    <w:rPr>
      <w:rFonts w:ascii="Arial MT" w:hAnsi="Arial MT" w:eastAsia="Arial MT" w:cs="Arial MT"/>
      <w:kern w:val="0"/>
      <w:sz w:val="22"/>
      <w:szCs w:val="22"/>
      <w:lang w:val="pt-PT" w:eastAsia="en-US"/>
    </w:rPr>
  </w:style>
  <w:style w:type="paragraph" w:styleId="Contedodoquadro">
    <w:name w:val="Conteúdo do quadro"/>
    <w:basedOn w:val="Normal"/>
    <w:qFormat/>
    <w:pPr/>
    <w:rPr/>
  </w:style>
  <w:style w:type="numbering" w:styleId="Semlista" w:default="1">
    <w:name w:val="Sem lista"/>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Relationship Id="rId19" Type="http://schemas.openxmlformats.org/officeDocument/2006/relationships/customXml" Target="../customXml/item2.xml"/><Relationship Id="rId20" Type="http://schemas.openxmlformats.org/officeDocument/2006/relationships/customXml" Target="../customXml/item3.xml"/><Relationship Id="rId21"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9235B4D-0EA0-455B-979B-80C4BEDCC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Application>LibreOffice/25.8.6.2$Windows_X86_64 LibreOffice_project/b4b39682cd9868fa725bc664aff94278d315bd04</Application>
  <AppVersion>15.0000</AppVersion>
  <Pages>12</Pages>
  <Words>4735</Words>
  <Characters>27552</Characters>
  <CharactersWithSpaces>32053</CharactersWithSpaces>
  <Paragraphs>270</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dc:description/>
  <dc:language>pt-BR</dc:language>
  <cp:lastModifiedBy/>
  <dcterms:modified xsi:type="dcterms:W3CDTF">2026-06-17T12:42:53Z</dcterms:modified>
  <cp:revision>78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